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after="0" w:line="240" w:lineRule="auto"/>
        <w:ind w:right="0" w:firstLine="0"/>
        <w:jc w:val="left"/>
      </w:pPr>
      <w:r>
        <w:rPr>
          <w:spacing w:val="0"/>
          <w:w w:val="100"/>
          <w:position w:val="0"/>
        </w:rPr>
        <w:t>开诚共享明德向善</w:t>
      </w:r>
    </w:p>
    <w:p>
      <w:pPr>
        <w:pStyle w:val="Style4"/>
        <w:keepNext w:val="0"/>
        <w:keepLines w:val="0"/>
        <w:widowControl w:val="0"/>
        <w:shd w:val="clear" w:color="auto" w:fill="auto"/>
        <w:bidi w:val="0"/>
        <w:spacing w:before="0" w:line="240" w:lineRule="auto"/>
        <w:ind w:right="0" w:firstLine="0"/>
        <w:jc w:val="left"/>
      </w:pPr>
      <w:r>
        <w:rPr>
          <w:rFonts w:ascii="SimSun" w:eastAsia="SimSun" w:hAnsi="SimSun" w:cs="SimSun"/>
          <w:b/>
          <w:bCs/>
          <w:spacing w:val="0"/>
          <w:w w:val="100"/>
          <w:position w:val="0"/>
          <w:sz w:val="18"/>
          <w:szCs w:val="18"/>
        </w:rPr>
        <w:t>股票代码：</w:t>
      </w:r>
      <w:r>
        <w:rPr>
          <w:spacing w:val="0"/>
          <w:w w:val="100"/>
          <w:position w:val="0"/>
        </w:rPr>
        <w:t>300675.sz</w:t>
      </w:r>
    </w:p>
    <w:p>
      <w:pPr>
        <w:pStyle w:val="Style7"/>
        <w:keepNext w:val="0"/>
        <w:keepLines w:val="0"/>
        <w:widowControl w:val="0"/>
        <w:shd w:val="clear" w:color="auto" w:fill="auto"/>
        <w:bidi w:val="0"/>
        <w:spacing w:before="0"/>
        <w:ind w:left="0" w:right="0" w:firstLine="0"/>
        <w:jc w:val="center"/>
      </w:pPr>
      <w:r>
        <w:rPr>
          <w:spacing w:val="0"/>
          <w:w w:val="100"/>
          <w:position w:val="0"/>
        </w:rPr>
        <w:t>深圳市建筑科学研究院股份有限公司</w:t>
        <w:br/>
      </w:r>
      <w:r>
        <w:rPr>
          <w:rFonts w:ascii="Arial" w:eastAsia="Arial" w:hAnsi="Arial" w:cs="Arial"/>
          <w:b/>
          <w:bCs/>
          <w:spacing w:val="0"/>
          <w:w w:val="100"/>
          <w:position w:val="0"/>
        </w:rPr>
        <w:t>2021</w:t>
      </w:r>
      <w:r>
        <w:rPr>
          <w:spacing w:val="0"/>
          <w:w w:val="100"/>
          <w:position w:val="0"/>
        </w:rPr>
        <w:t>年年度报告</w:t>
      </w:r>
    </w:p>
    <w:p>
      <w:pPr>
        <w:pStyle w:val="Style10"/>
        <w:keepNext w:val="0"/>
        <w:keepLines w:val="0"/>
        <w:widowControl w:val="0"/>
        <w:shd w:val="clear" w:color="auto" w:fill="auto"/>
        <w:bidi w:val="0"/>
        <w:spacing w:before="0" w:after="1620" w:line="240" w:lineRule="auto"/>
        <w:ind w:left="0" w:right="0" w:firstLine="0"/>
        <w:jc w:val="center"/>
      </w:pPr>
      <w:r>
        <w:rPr>
          <w:color w:val="6DA740"/>
          <w:spacing w:val="0"/>
          <w:w w:val="100"/>
          <w:position w:val="0"/>
        </w:rPr>
        <w:t>2022-005</w:t>
      </w:r>
    </w:p>
    <w:p>
      <w:pPr>
        <w:widowControl w:val="0"/>
        <w:jc w:val="center"/>
        <w:rPr>
          <w:sz w:val="2"/>
          <w:szCs w:val="2"/>
        </w:rPr>
      </w:pPr>
      <w:r>
        <w:drawing>
          <wp:inline>
            <wp:extent cx="6126480" cy="441960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6126480" cy="4419600"/>
                    </a:xfrm>
                    <a:prstGeom prst="rect"/>
                  </pic:spPr>
                </pic:pic>
              </a:graphicData>
            </a:graphic>
          </wp:inline>
        </w:drawing>
      </w:r>
    </w:p>
    <w:p>
      <w:pPr>
        <w:pStyle w:val="Style13"/>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0"/>
        <w:keepNext w:val="0"/>
        <w:keepLines w:val="0"/>
        <w:widowControl w:val="0"/>
        <w:shd w:val="clear" w:color="auto" w:fill="auto"/>
        <w:bidi w:val="0"/>
        <w:spacing w:before="0" w:line="624"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实、准确、完整，不存在虚假记载、误导性陈述或者重大遗漏，并承担个别和连 带的法律责任。</w:t>
      </w:r>
    </w:p>
    <w:p>
      <w:pPr>
        <w:pStyle w:val="Style10"/>
        <w:keepNext w:val="0"/>
        <w:keepLines w:val="0"/>
        <w:widowControl w:val="0"/>
        <w:shd w:val="clear" w:color="auto" w:fill="auto"/>
        <w:bidi w:val="0"/>
        <w:spacing w:before="0" w:line="624" w:lineRule="exact"/>
        <w:ind w:left="0" w:right="0"/>
        <w:jc w:val="both"/>
      </w:pPr>
      <w:r>
        <w:rPr>
          <w:color w:val="000000"/>
          <w:spacing w:val="0"/>
          <w:w w:val="100"/>
          <w:position w:val="0"/>
        </w:rPr>
        <w:t>公司负责人叶青、主管会计工作负责人叶小平及会计机构负责人（会计主管 人员）周元声明：保证本年度报告中财务报告的真实、准确、完整。</w:t>
      </w:r>
    </w:p>
    <w:p>
      <w:pPr>
        <w:pStyle w:val="Style10"/>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0"/>
        <w:keepNext w:val="0"/>
        <w:keepLines w:val="0"/>
        <w:widowControl w:val="0"/>
        <w:shd w:val="clear" w:color="auto" w:fill="auto"/>
        <w:bidi w:val="0"/>
        <w:spacing w:before="0"/>
        <w:ind w:left="0" w:right="0"/>
        <w:jc w:val="both"/>
      </w:pPr>
      <w:r>
        <w:rPr>
          <w:color w:val="000000"/>
          <w:spacing w:val="0"/>
          <w:w w:val="100"/>
          <w:position w:val="0"/>
        </w:rPr>
        <w:t>本年度报告中涉及未来计划或规划等前瞻性陈述的，均不构成公司对投资 者的实质承诺，投资者及相关人士均应对此保持足够的风险认识，并且应当理 解计划、预测与承诺之间的差异。敬请投资者注意投资风险。公司不存在因经营 状况、财务状况和持续盈利能力方面有严重不利影响的风险因素。有关公司可 能面对的风险及公司应对措施等详见本报告第三节“公司未来发展的展望”中相 关内容。</w:t>
      </w:r>
    </w:p>
    <w:p>
      <w:pPr>
        <w:pStyle w:val="Style10"/>
        <w:keepNext w:val="0"/>
        <w:keepLines w:val="0"/>
        <w:widowControl w:val="0"/>
        <w:shd w:val="clear" w:color="auto" w:fill="auto"/>
        <w:bidi w:val="0"/>
        <w:spacing w:before="0" w:line="631" w:lineRule="exact"/>
        <w:ind w:left="0" w:right="0"/>
        <w:jc w:val="both"/>
        <w:sectPr>
          <w:footnotePr>
            <w:pos w:val="pageBottom"/>
            <w:numFmt w:val="decimal"/>
            <w:numRestart w:val="continuous"/>
          </w:footnotePr>
          <w:pgSz w:w="11900" w:h="16840"/>
          <w:pgMar w:top="1854" w:right="1109" w:bottom="1768" w:left="1104" w:header="0" w:footer="3" w:gutter="0"/>
          <w:cols w:space="720"/>
          <w:noEndnote/>
          <w:rtlGutter w:val="0"/>
          <w:docGrid w:linePitch="360"/>
        </w:sectPr>
      </w:pPr>
      <w:r>
        <w:rPr>
          <w:color w:val="000000"/>
          <w:spacing w:val="0"/>
          <w:w w:val="100"/>
          <w:position w:val="0"/>
        </w:rPr>
        <w:t>公司经本次董事会审议通过的利润分配预案为：以146,666,700为基数，向 全体股东每10股派发现金红利</w:t>
      </w:r>
      <w:r>
        <w:rPr>
          <w:color w:val="000000"/>
          <w:spacing w:val="0"/>
          <w:w w:val="100"/>
          <w:position w:val="0"/>
        </w:rPr>
        <w:t>1.00</w:t>
      </w:r>
      <w:r>
        <w:rPr>
          <w:color w:val="000000"/>
          <w:spacing w:val="0"/>
          <w:w w:val="100"/>
          <w:position w:val="0"/>
        </w:rPr>
        <w:t>元（含税），送红股0股（含税），以资本公 积金向全体股东每10股转增0股。</w:t>
      </w:r>
    </w:p>
    <w:p>
      <w:pPr>
        <w:pStyle w:val="Style15"/>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color w:val="000000"/>
          <w:spacing w:val="0"/>
          <w:w w:val="100"/>
          <w:position w:val="0"/>
        </w:rPr>
        <w:t>目录</w:t>
      </w:r>
      <w:bookmarkEnd w:id="3"/>
      <w:bookmarkEnd w:id="4"/>
      <w:bookmarkEnd w:id="5"/>
    </w:p>
    <w:p>
      <w:pPr>
        <w:pStyle w:val="Style17"/>
        <w:keepNext w:val="0"/>
        <w:keepLines w:val="0"/>
        <w:widowControl w:val="0"/>
        <w:shd w:val="clear" w:color="auto" w:fill="auto"/>
        <w:tabs>
          <w:tab w:leader="dot" w:pos="9609"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01</w:t>
        </w:r>
      </w:hyperlink>
    </w:p>
    <w:p>
      <w:pPr>
        <w:pStyle w:val="Style17"/>
        <w:keepNext w:val="0"/>
        <w:keepLines w:val="0"/>
        <w:widowControl w:val="0"/>
        <w:shd w:val="clear" w:color="auto" w:fill="auto"/>
        <w:tabs>
          <w:tab w:leader="dot" w:pos="9609" w:val="right"/>
        </w:tabs>
        <w:bidi w:val="0"/>
        <w:spacing w:before="0" w:line="240" w:lineRule="auto"/>
        <w:ind w:left="0" w:right="0" w:firstLine="0"/>
        <w:jc w:val="left"/>
      </w:pPr>
      <w:hyperlink w:anchor="bookmark17"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08</w:t>
        </w:r>
      </w:hyperlink>
    </w:p>
    <w:p>
      <w:pPr>
        <w:pStyle w:val="Style17"/>
        <w:keepNext w:val="0"/>
        <w:keepLines w:val="0"/>
        <w:widowControl w:val="0"/>
        <w:shd w:val="clear" w:color="auto" w:fill="auto"/>
        <w:tabs>
          <w:tab w:leader="dot" w:pos="9609" w:val="right"/>
        </w:tabs>
        <w:bidi w:val="0"/>
        <w:spacing w:before="0" w:line="240" w:lineRule="auto"/>
        <w:ind w:left="0" w:right="0" w:firstLine="0"/>
        <w:jc w:val="left"/>
      </w:pPr>
      <w:hyperlink w:anchor="bookmark37" w:tooltip="Current Document">
        <w:r>
          <w:rPr>
            <w:color w:val="000000"/>
            <w:spacing w:val="0"/>
            <w:w w:val="100"/>
            <w:position w:val="0"/>
            <w:sz w:val="24"/>
            <w:szCs w:val="24"/>
          </w:rPr>
          <w:t>第三节管理层讨论与分析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w:t>
        </w:r>
      </w:hyperlink>
    </w:p>
    <w:p>
      <w:pPr>
        <w:pStyle w:val="Style17"/>
        <w:keepNext w:val="0"/>
        <w:keepLines w:val="0"/>
        <w:widowControl w:val="0"/>
        <w:shd w:val="clear" w:color="auto" w:fill="auto"/>
        <w:tabs>
          <w:tab w:leader="dot" w:pos="9609" w:val="right"/>
        </w:tabs>
        <w:bidi w:val="0"/>
        <w:spacing w:before="0" w:line="240" w:lineRule="auto"/>
        <w:ind w:left="0" w:right="0" w:firstLine="0"/>
        <w:jc w:val="left"/>
      </w:pPr>
      <w:hyperlink w:anchor="bookmark208" w:tooltip="Current Document">
        <w:r>
          <w:rPr>
            <w:color w:val="000000"/>
            <w:spacing w:val="0"/>
            <w:w w:val="100"/>
            <w:position w:val="0"/>
            <w:sz w:val="24"/>
            <w:szCs w:val="24"/>
          </w:rPr>
          <w:t>第四节公司治理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36</w:t>
        </w:r>
      </w:hyperlink>
    </w:p>
    <w:p>
      <w:pPr>
        <w:pStyle w:val="Style17"/>
        <w:keepNext w:val="0"/>
        <w:keepLines w:val="0"/>
        <w:widowControl w:val="0"/>
        <w:shd w:val="clear" w:color="auto" w:fill="auto"/>
        <w:tabs>
          <w:tab w:leader="dot" w:pos="9609" w:val="right"/>
        </w:tabs>
        <w:bidi w:val="0"/>
        <w:spacing w:before="0" w:line="240" w:lineRule="auto"/>
        <w:ind w:left="0" w:right="0" w:firstLine="0"/>
        <w:jc w:val="left"/>
      </w:pPr>
      <w:hyperlink w:anchor="bookmark329" w:tooltip="Current Document">
        <w:r>
          <w:rPr>
            <w:color w:val="000000"/>
            <w:spacing w:val="0"/>
            <w:w w:val="100"/>
            <w:position w:val="0"/>
            <w:sz w:val="24"/>
            <w:szCs w:val="24"/>
          </w:rPr>
          <w:t>第五节环境和社会责任</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54</w:t>
        </w:r>
      </w:hyperlink>
    </w:p>
    <w:p>
      <w:pPr>
        <w:pStyle w:val="Style17"/>
        <w:keepNext w:val="0"/>
        <w:keepLines w:val="0"/>
        <w:widowControl w:val="0"/>
        <w:shd w:val="clear" w:color="auto" w:fill="auto"/>
        <w:tabs>
          <w:tab w:leader="dot" w:pos="9609" w:val="right"/>
        </w:tabs>
        <w:bidi w:val="0"/>
        <w:spacing w:before="0" w:line="240" w:lineRule="auto"/>
        <w:ind w:left="0" w:right="0" w:firstLine="0"/>
        <w:jc w:val="left"/>
      </w:pPr>
      <w:hyperlink w:anchor="bookmark350" w:tooltip="Current Document">
        <w:r>
          <w:rPr>
            <w:color w:val="000000"/>
            <w:spacing w:val="0"/>
            <w:w w:val="100"/>
            <w:position w:val="0"/>
            <w:sz w:val="24"/>
            <w:szCs w:val="24"/>
          </w:rPr>
          <w:t>第六节重要事项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60</w:t>
        </w:r>
      </w:hyperlink>
    </w:p>
    <w:p>
      <w:pPr>
        <w:pStyle w:val="Style17"/>
        <w:keepNext w:val="0"/>
        <w:keepLines w:val="0"/>
        <w:widowControl w:val="0"/>
        <w:shd w:val="clear" w:color="auto" w:fill="auto"/>
        <w:tabs>
          <w:tab w:leader="dot" w:pos="9609" w:val="right"/>
        </w:tabs>
        <w:bidi w:val="0"/>
        <w:spacing w:before="0" w:line="240" w:lineRule="auto"/>
        <w:ind w:left="0" w:right="0" w:firstLine="0"/>
        <w:jc w:val="left"/>
      </w:pPr>
      <w:hyperlink w:anchor="bookmark460" w:tooltip="Current Document">
        <w:r>
          <w:rPr>
            <w:color w:val="000000"/>
            <w:spacing w:val="0"/>
            <w:w w:val="100"/>
            <w:position w:val="0"/>
            <w:sz w:val="24"/>
            <w:szCs w:val="24"/>
          </w:rPr>
          <w:t>第七节股份变动及股东情况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77</w:t>
        </w:r>
      </w:hyperlink>
    </w:p>
    <w:p>
      <w:pPr>
        <w:pStyle w:val="Style17"/>
        <w:keepNext w:val="0"/>
        <w:keepLines w:val="0"/>
        <w:widowControl w:val="0"/>
        <w:shd w:val="clear" w:color="auto" w:fill="auto"/>
        <w:tabs>
          <w:tab w:leader="dot" w:pos="9609" w:val="right"/>
        </w:tabs>
        <w:bidi w:val="0"/>
        <w:spacing w:before="0" w:line="240" w:lineRule="auto"/>
        <w:ind w:left="0" w:right="0" w:firstLine="0"/>
        <w:jc w:val="left"/>
      </w:pPr>
      <w:hyperlink w:anchor="bookmark513" w:tooltip="Current Document">
        <w:r>
          <w:rPr>
            <w:color w:val="000000"/>
            <w:spacing w:val="0"/>
            <w:w w:val="100"/>
            <w:position w:val="0"/>
            <w:sz w:val="24"/>
            <w:szCs w:val="24"/>
          </w:rPr>
          <w:t>第八节优先股相关情况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83</w:t>
        </w:r>
      </w:hyperlink>
    </w:p>
    <w:p>
      <w:pPr>
        <w:pStyle w:val="Style17"/>
        <w:keepNext w:val="0"/>
        <w:keepLines w:val="0"/>
        <w:widowControl w:val="0"/>
        <w:shd w:val="clear" w:color="auto" w:fill="auto"/>
        <w:tabs>
          <w:tab w:leader="dot" w:pos="9609" w:val="right"/>
        </w:tabs>
        <w:bidi w:val="0"/>
        <w:spacing w:before="0" w:line="240" w:lineRule="auto"/>
        <w:ind w:left="0" w:right="0" w:firstLine="0"/>
        <w:jc w:val="left"/>
      </w:pPr>
      <w:hyperlink w:anchor="bookmark516" w:tooltip="Current Document">
        <w:r>
          <w:rPr>
            <w:color w:val="000000"/>
            <w:spacing w:val="0"/>
            <w:w w:val="100"/>
            <w:position w:val="0"/>
            <w:sz w:val="24"/>
            <w:szCs w:val="24"/>
          </w:rPr>
          <w:t>第九节债券相关情况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84</w:t>
        </w:r>
      </w:hyperlink>
    </w:p>
    <w:p>
      <w:pPr>
        <w:pStyle w:val="Style17"/>
        <w:keepNext w:val="0"/>
        <w:keepLines w:val="0"/>
        <w:widowControl w:val="0"/>
        <w:shd w:val="clear" w:color="auto" w:fill="auto"/>
        <w:tabs>
          <w:tab w:leader="dot" w:pos="9609" w:val="right"/>
        </w:tabs>
        <w:bidi w:val="0"/>
        <w:spacing w:before="0" w:line="240" w:lineRule="auto"/>
        <w:ind w:left="0" w:right="0" w:firstLine="0"/>
        <w:jc w:val="left"/>
        <w:sectPr>
          <w:footnotePr>
            <w:pos w:val="pageBottom"/>
            <w:numFmt w:val="decimal"/>
            <w:numRestart w:val="continuous"/>
          </w:footnotePr>
          <w:pgSz w:w="11900" w:h="16840"/>
          <w:pgMar w:top="2871" w:right="1119" w:bottom="2871" w:left="1109" w:header="0" w:footer="3" w:gutter="0"/>
          <w:cols w:space="720"/>
          <w:noEndnote/>
          <w:rtlGutter w:val="0"/>
          <w:docGrid w:linePitch="360"/>
        </w:sectPr>
      </w:pPr>
      <w:hyperlink w:anchor="bookmark519" w:tooltip="Current Document">
        <w:r>
          <w:rPr>
            <w:color w:val="000000"/>
            <w:spacing w:val="0"/>
            <w:w w:val="100"/>
            <w:position w:val="0"/>
            <w:sz w:val="24"/>
            <w:szCs w:val="24"/>
          </w:rPr>
          <w:t>第十节财务报告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85</w:t>
        </w:r>
      </w:hyperlink>
      <w:r>
        <w:fldChar w:fldCharType="end"/>
      </w:r>
    </w:p>
    <w:p>
      <w:pPr>
        <w:pStyle w:val="Style13"/>
        <w:keepNext/>
        <w:keepLines/>
        <w:widowControl w:val="0"/>
        <w:shd w:val="clear" w:color="auto" w:fill="auto"/>
        <w:bidi w:val="0"/>
        <w:spacing w:before="600" w:after="880" w:line="240" w:lineRule="auto"/>
        <w:ind w:left="0" w:right="0" w:firstLine="0"/>
        <w:jc w:val="center"/>
      </w:pPr>
      <w:bookmarkStart w:id="6" w:name="bookmark6"/>
      <w:bookmarkStart w:id="7" w:name="bookmark7"/>
      <w:bookmarkStart w:id="8" w:name="bookmark8"/>
      <w:r>
        <w:rPr>
          <w:color w:val="000000"/>
          <w:spacing w:val="0"/>
          <w:w w:val="100"/>
          <w:position w:val="0"/>
        </w:rPr>
        <w:t>备查文件目录</w:t>
      </w:r>
      <w:bookmarkEnd w:id="6"/>
      <w:bookmarkEnd w:id="7"/>
      <w:bookmarkEnd w:id="8"/>
    </w:p>
    <w:p>
      <w:pPr>
        <w:pStyle w:val="Style20"/>
        <w:keepNext w:val="0"/>
        <w:keepLines w:val="0"/>
        <w:widowControl w:val="0"/>
        <w:shd w:val="clear" w:color="auto" w:fill="auto"/>
        <w:tabs>
          <w:tab w:pos="435" w:val="left"/>
        </w:tabs>
        <w:bidi w:val="0"/>
        <w:spacing w:before="0" w:after="140" w:line="240" w:lineRule="auto"/>
        <w:ind w:left="0" w:right="0" w:firstLine="0"/>
        <w:jc w:val="left"/>
      </w:pPr>
      <w:bookmarkStart w:id="9" w:name="bookmark9"/>
      <w:r>
        <w:rPr>
          <w:color w:val="000000"/>
          <w:spacing w:val="0"/>
          <w:w w:val="100"/>
          <w:position w:val="0"/>
        </w:rPr>
        <w:t>一</w:t>
      </w:r>
      <w:bookmarkEnd w:id="9"/>
      <w:r>
        <w:rPr>
          <w:color w:val="000000"/>
          <w:spacing w:val="0"/>
          <w:w w:val="100"/>
          <w:position w:val="0"/>
        </w:rPr>
        <w:t>、</w:t>
        <w:tab/>
        <w:t>载有公司负责人、主管会计工作负责人、会计机构负责人（会计主管人员）签名并盖章的财务报表。</w:t>
      </w:r>
    </w:p>
    <w:p>
      <w:pPr>
        <w:pStyle w:val="Style20"/>
        <w:keepNext w:val="0"/>
        <w:keepLines w:val="0"/>
        <w:widowControl w:val="0"/>
        <w:shd w:val="clear" w:color="auto" w:fill="auto"/>
        <w:tabs>
          <w:tab w:pos="435" w:val="left"/>
        </w:tabs>
        <w:bidi w:val="0"/>
        <w:spacing w:before="0" w:after="140" w:line="240" w:lineRule="auto"/>
        <w:ind w:left="0" w:right="0" w:firstLine="0"/>
        <w:jc w:val="left"/>
      </w:pPr>
      <w:bookmarkStart w:id="10" w:name="bookmark10"/>
      <w:r>
        <w:rPr>
          <w:color w:val="000000"/>
          <w:spacing w:val="0"/>
          <w:w w:val="100"/>
          <w:position w:val="0"/>
        </w:rPr>
        <w:t>二</w:t>
      </w:r>
      <w:bookmarkEnd w:id="10"/>
      <w:r>
        <w:rPr>
          <w:color w:val="000000"/>
          <w:spacing w:val="0"/>
          <w:w w:val="100"/>
          <w:position w:val="0"/>
        </w:rPr>
        <w:t>、</w:t>
        <w:tab/>
        <w:t>报告期内在中国证券监督管理委员会指定网站上公开披露过的所有公司文件的正本及公告的原稿。</w:t>
      </w:r>
    </w:p>
    <w:p>
      <w:pPr>
        <w:pStyle w:val="Style20"/>
        <w:keepNext w:val="0"/>
        <w:keepLines w:val="0"/>
        <w:widowControl w:val="0"/>
        <w:shd w:val="clear" w:color="auto" w:fill="auto"/>
        <w:tabs>
          <w:tab w:pos="435" w:val="left"/>
        </w:tabs>
        <w:bidi w:val="0"/>
        <w:spacing w:before="0" w:after="140" w:line="240" w:lineRule="auto"/>
        <w:ind w:left="0" w:right="0" w:firstLine="0"/>
        <w:jc w:val="left"/>
      </w:pPr>
      <w:bookmarkStart w:id="11" w:name="bookmark11"/>
      <w:r>
        <w:rPr>
          <w:color w:val="000000"/>
          <w:spacing w:val="0"/>
          <w:w w:val="100"/>
          <w:position w:val="0"/>
        </w:rPr>
        <w:t>三</w:t>
      </w:r>
      <w:bookmarkEnd w:id="11"/>
      <w:r>
        <w:rPr>
          <w:color w:val="000000"/>
          <w:spacing w:val="0"/>
          <w:w w:val="100"/>
          <w:position w:val="0"/>
        </w:rPr>
        <w:t>、</w:t>
        <w:tab/>
        <w:t>载有公司法定代表人签名的《公司</w:t>
      </w:r>
      <w:r>
        <w:rPr>
          <w:rFonts w:ascii="Times New Roman" w:eastAsia="Times New Roman" w:hAnsi="Times New Roman" w:cs="Times New Roman"/>
          <w:color w:val="000000"/>
          <w:spacing w:val="0"/>
          <w:w w:val="100"/>
          <w:position w:val="0"/>
        </w:rPr>
        <w:t>2021</w:t>
      </w:r>
      <w:r>
        <w:rPr>
          <w:color w:val="000000"/>
          <w:spacing w:val="0"/>
          <w:w w:val="100"/>
          <w:position w:val="0"/>
        </w:rPr>
        <w:t>年度报告》文本。</w:t>
      </w:r>
    </w:p>
    <w:p>
      <w:pPr>
        <w:pStyle w:val="Style20"/>
        <w:keepNext w:val="0"/>
        <w:keepLines w:val="0"/>
        <w:widowControl w:val="0"/>
        <w:shd w:val="clear" w:color="auto" w:fill="auto"/>
        <w:tabs>
          <w:tab w:pos="435" w:val="left"/>
        </w:tabs>
        <w:bidi w:val="0"/>
        <w:spacing w:before="0" w:after="140" w:line="240" w:lineRule="auto"/>
        <w:ind w:left="0" w:right="0" w:firstLine="0"/>
        <w:jc w:val="left"/>
      </w:pPr>
      <w:bookmarkStart w:id="12" w:name="bookmark12"/>
      <w:r>
        <w:rPr>
          <w:color w:val="000000"/>
          <w:spacing w:val="0"/>
          <w:w w:val="100"/>
          <w:position w:val="0"/>
        </w:rPr>
        <w:t>四</w:t>
      </w:r>
      <w:bookmarkEnd w:id="12"/>
      <w:r>
        <w:rPr>
          <w:color w:val="000000"/>
          <w:spacing w:val="0"/>
          <w:w w:val="100"/>
          <w:position w:val="0"/>
        </w:rPr>
        <w:t>、</w:t>
        <w:tab/>
        <w:t>其他备查文件。</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以上文件的备置地点：公司董事会办公室。</w:t>
      </w:r>
      <w:r>
        <w:br w:type="page"/>
      </w:r>
    </w:p>
    <w:p>
      <w:pPr>
        <w:pStyle w:val="Style13"/>
        <w:keepNext/>
        <w:keepLines/>
        <w:widowControl w:val="0"/>
        <w:shd w:val="clear" w:color="auto" w:fill="auto"/>
        <w:bidi w:val="0"/>
        <w:spacing w:before="0" w:after="800" w:line="240" w:lineRule="auto"/>
        <w:ind w:left="0" w:right="0" w:firstLine="0"/>
        <w:jc w:val="center"/>
      </w:pPr>
      <w:bookmarkStart w:id="13" w:name="bookmark13"/>
      <w:bookmarkStart w:id="14" w:name="bookmark14"/>
      <w:bookmarkStart w:id="15" w:name="bookmark15"/>
      <w:r>
        <w:rPr>
          <w:color w:val="000000"/>
          <w:spacing w:val="0"/>
          <w:w w:val="100"/>
          <w:position w:val="0"/>
        </w:rPr>
        <w:t>释义</w:t>
      </w:r>
      <w:bookmarkEnd w:id="13"/>
      <w:bookmarkEnd w:id="14"/>
      <w:bookmarkEnd w:id="15"/>
    </w:p>
    <w:tbl>
      <w:tblPr>
        <w:tblOverlap w:val="never"/>
        <w:jc w:val="center"/>
        <w:tblLayout w:type="fixed"/>
      </w:tblPr>
      <w:tblGrid>
        <w:gridCol w:w="2414"/>
        <w:gridCol w:w="566"/>
        <w:gridCol w:w="660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公司、本公司、建科院、</w:t>
            </w:r>
            <w:r>
              <w:rPr>
                <w:rFonts w:ascii="Times New Roman" w:eastAsia="Times New Roman" w:hAnsi="Times New Roman" w:cs="Times New Roman"/>
                <w:color w:val="000000"/>
                <w:spacing w:val="0"/>
                <w:w w:val="100"/>
                <w:position w:val="0"/>
              </w:rPr>
              <w:t>IBR</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控股股东、公司控股股东、深 圳资本集团</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深圳市资本运营集团有限公司，曾用名：深圳市远致投资有限公司（简称</w:t>
            </w:r>
            <w:r>
              <w:rPr>
                <w:rFonts w:ascii="Times New Roman" w:eastAsia="Times New Roman" w:hAnsi="Times New Roman" w:cs="Times New Roman"/>
                <w:color w:val="000000"/>
                <w:spacing w:val="0"/>
                <w:w w:val="100"/>
                <w:position w:val="0"/>
              </w:rPr>
              <w:t>"</w:t>
            </w:r>
            <w:r>
              <w:rPr>
                <w:color w:val="000000"/>
                <w:spacing w:val="0"/>
                <w:w w:val="100"/>
                <w:position w:val="0"/>
              </w:rPr>
              <w:t>远致投 资</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深圳市国资委、市国资委</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深圳市人民政府国有资产监督管理委员会</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市政中心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深圳市市政工程咨询中心有限公司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北京艾科城</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北京艾科城工程技术有限公司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深圳艾科城</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深圳艾科城工程技术有限公司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艾科筑业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深圳艾科筑业工程技术有限公司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建研检测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深圳市建研检测有限公司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常州城建艾科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常州市城建艾科绿色技术有限公司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上海爱轲</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上海市爱轲城生态科技有限公司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深圳玖伊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深圳玖伊绿色运营管理有限公司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雄安玖壹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河北雄安玖壹生态科技有限公司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绿研检验</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雄安绿研检验认证有限公司，曾用名：河北雄安绿研检验认证有限公司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迪赛恩</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深圳市迪赛恩科技有限公司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建信筑和</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深圳市建信筑和科技有限公司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绿研智库</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雄安绿研智库有限公司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荆门玖伊园</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荆门玖伊园科技有限公司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六邻科技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六邻科技（北京）有限公司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湖北建胜</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湖北建胜工程技术咨询有限公司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丰天工程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湖北丰天工程技术服务有限公司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图强建设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湖北图强建设工程施工图咨询有限公司</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精兴建设</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湖北精兴建设工程质量检测有限公司</w:t>
            </w:r>
          </w:p>
        </w:tc>
      </w:tr>
    </w:tbl>
    <w:p>
      <w:pPr>
        <w:spacing w:lineRule="exact" w:line="1"/>
        <w:rPr>
          <w:sz w:val="2"/>
          <w:szCs w:val="2"/>
        </w:rPr>
      </w:pPr>
      <w:r>
        <w:br w:type="page"/>
      </w:r>
    </w:p>
    <w:tbl>
      <w:tblPr>
        <w:tblOverlap w:val="never"/>
        <w:jc w:val="center"/>
        <w:tblLayout w:type="fixed"/>
      </w:tblPr>
      <w:tblGrid>
        <w:gridCol w:w="2414"/>
        <w:gridCol w:w="566"/>
        <w:gridCol w:w="6600"/>
      </w:tblGrid>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领航培训</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荆门市领航职业技能培训有限公司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荆广建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湖北荆广建土地评估咨询有限公司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湾区规划设计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湾区（深圳）城市规划设计有限公司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湾区绿色技术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湾区（深圳）绿色技术有限公司</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绿色建筑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在全寿命期内，节约资源、保护环境、减少污染，为人们提供健康、适用、高效的 使用空间，最大限度地实现人与自然和谐共生的高质量建筑，包括设计、建造、运 营、维修、更新、拆除等全过程</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生态诊断</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通过对城市或城区地质安全、生态安全、环境安全、资源条件等方面的诊断分析， 综合评估其生态敏感性、环境资源承载力、开发适宜性、低影响开发模式、人居健 康安全等，判定生态控制基线和环境承载底线，划定城镇建设生态控制线，建立城 市发展与自然生态的平衡点，是生态规划的基础，建科院创造性地把生态诊断技术 系统化、模板化、数据化、三维显性化，纳入到生态城市整体建设体系中</w:t>
            </w:r>
          </w:p>
        </w:tc>
      </w:tr>
      <w:tr>
        <w:trPr>
          <w:trHeight w:val="22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生态城市规划</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利用生态学和现代城市规划理论及方法，重点针对城市生态系统及其与产业、社会 之间的系统关系进行评估，着眼于''生态导向''的整体规划设计，涵盖生态城市诊 断、生态指标体系、生态专项规划（土地集约利用、生态环境、绿色交通、绿色能 源、水资源综合利用、固废利用、绿色建筑、人文等）及不同层次的相关规划活 动。与传统规划的主要差异在于将人的建设活动和自然生态系统进行平衡规划，关 注人的活动对区域的影响，追求生活、生态、生产三合一，而不是通过大规模破坏 自然体系的建设活动来实现规划意图</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公信服务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以公正、权威的非当事人身份，根据有关法律、标准或合同所进行的工程、建筑材 料或部品、建筑设备、建筑环境等检测、检验、认证、评估等活动</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工程设计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根据建设工程和法律法规的要求，对建设工程所需的技术、经济、资源、环境等条 件进行综合分析、论证，编制建设工程设计文件，提供相关服务的活动</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工程勘察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根据建设工程和法律法规的要求，查明、分析、评价建设场地的地质、地理环境特 征和岩土工程条件，编制建设工程勘察文件的活动</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工程咨询</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遵循独立、科学、公正的原则，运用工程技术、科学技术、经济管理和法律法规等 多学科方面的知识和经验，为政府部门、项目业主及其他各类客户的工程建设项目 决策和管理提供咨询活动的智力服务，包括前期立项阶段咨询、勘察设计阶段咨 询、施工阶段咨询、投产或交付使用后的评价等工作</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绿色综合运营</w:t>
            </w:r>
            <w:r>
              <w:rPr>
                <w:color w:val="000000"/>
                <w:spacing w:val="0"/>
                <w:w w:val="100"/>
                <w:position w:val="0"/>
              </w:rPr>
              <w:t>（</w:t>
            </w:r>
            <w:r>
              <w:rPr>
                <w:rFonts w:ascii="Times New Roman" w:eastAsia="Times New Roman" w:hAnsi="Times New Roman" w:cs="Times New Roman"/>
                <w:color w:val="000000"/>
                <w:spacing w:val="0"/>
                <w:w w:val="100"/>
                <w:position w:val="0"/>
              </w:rPr>
              <w:t>D OT</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Design-Operation-Transfer</w:t>
            </w:r>
            <w:r>
              <w:rPr>
                <w:color w:val="000000"/>
                <w:spacing w:val="0"/>
                <w:w w:val="100"/>
                <w:position w:val="0"/>
              </w:rPr>
              <w:t>的缩写，即包含</w:t>
            </w:r>
            <w:r>
              <w:rPr>
                <w:rFonts w:ascii="Times New Roman" w:eastAsia="Times New Roman" w:hAnsi="Times New Roman" w:cs="Times New Roman"/>
                <w:color w:val="000000"/>
                <w:spacing w:val="0"/>
                <w:w w:val="100"/>
                <w:position w:val="0"/>
              </w:rPr>
              <w:t>"</w:t>
            </w:r>
            <w:r>
              <w:rPr>
                <w:color w:val="000000"/>
                <w:spacing w:val="0"/>
                <w:w w:val="100"/>
                <w:position w:val="0"/>
              </w:rPr>
              <w:t>设计</w:t>
            </w:r>
            <w:r>
              <w:rPr>
                <w:rFonts w:ascii="Times New Roman" w:eastAsia="Times New Roman" w:hAnsi="Times New Roman" w:cs="Times New Roman"/>
                <w:color w:val="000000"/>
                <w:spacing w:val="0"/>
                <w:w w:val="100"/>
                <w:position w:val="0"/>
              </w:rPr>
              <w:t>-</w:t>
            </w:r>
            <w:r>
              <w:rPr>
                <w:color w:val="000000"/>
                <w:spacing w:val="0"/>
                <w:w w:val="100"/>
                <w:position w:val="0"/>
              </w:rPr>
              <w:t>运营</w:t>
            </w:r>
            <w:r>
              <w:rPr>
                <w:rFonts w:ascii="Times New Roman" w:eastAsia="Times New Roman" w:hAnsi="Times New Roman" w:cs="Times New Roman"/>
                <w:color w:val="000000"/>
                <w:spacing w:val="0"/>
                <w:w w:val="100"/>
                <w:position w:val="0"/>
              </w:rPr>
              <w:t>-</w:t>
            </w:r>
            <w:r>
              <w:rPr>
                <w:color w:val="000000"/>
                <w:spacing w:val="0"/>
                <w:w w:val="100"/>
                <w:position w:val="0"/>
              </w:rPr>
              <w:t>移交</w:t>
            </w:r>
            <w:r>
              <w:rPr>
                <w:rFonts w:ascii="Times New Roman" w:eastAsia="Times New Roman" w:hAnsi="Times New Roman" w:cs="Times New Roman"/>
                <w:color w:val="000000"/>
                <w:spacing w:val="0"/>
                <w:w w:val="100"/>
                <w:position w:val="0"/>
              </w:rPr>
              <w:t>"</w:t>
            </w:r>
            <w:r>
              <w:rPr>
                <w:color w:val="000000"/>
                <w:spacing w:val="0"/>
                <w:w w:val="100"/>
                <w:position w:val="0"/>
              </w:rPr>
              <w:t>等三个环节。提供涵盖 规划设计、建设运营全过程的综合服务，为客户减少协调沟通成本，实现项目绿色 运营实效</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EPC</w:t>
            </w:r>
            <w:r>
              <w:rPr>
                <w:color w:val="000000"/>
                <w:spacing w:val="0"/>
                <w:w w:val="100"/>
                <w:position w:val="0"/>
              </w:rPr>
              <w:t>工程总承包</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EPC </w:t>
            </w:r>
            <w:r>
              <w:rPr>
                <w:color w:val="000000"/>
                <w:spacing w:val="0"/>
                <w:w w:val="100"/>
                <w:position w:val="0"/>
              </w:rPr>
              <w:t>（</w:t>
            </w:r>
            <w:r>
              <w:rPr>
                <w:rFonts w:ascii="Times New Roman" w:eastAsia="Times New Roman" w:hAnsi="Times New Roman" w:cs="Times New Roman"/>
                <w:color w:val="000000"/>
                <w:spacing w:val="0"/>
                <w:w w:val="100"/>
                <w:position w:val="0"/>
              </w:rPr>
              <w:t>Engineering Procurement Construction</w:t>
            </w:r>
            <w:r>
              <w:rPr>
                <w:color w:val="000000"/>
                <w:spacing w:val="0"/>
                <w:w w:val="100"/>
                <w:position w:val="0"/>
              </w:rPr>
              <w:t>）是指公司受业主委托，按照合同约定 对工程建设项目的设计、采购、施工、试运行等实行全过程或若干阶段的承包</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五感六性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绿色建筑领域中对于使用者的味觉、嗅觉、视觉、听觉、触觉，及技术的安全性、 适用性、舒适性、健康性、环境性和经济性等的研究</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三有荟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IBR</w:t>
            </w:r>
            <w:r>
              <w:rPr>
                <w:color w:val="000000"/>
                <w:spacing w:val="0"/>
                <w:w w:val="100"/>
                <w:position w:val="0"/>
              </w:rPr>
              <w:t>人发起并创建的自组织，响应国家绿色低碳新生活方式，以自愿为原则，践行 并传播有机、有趣、有爱的绿色生活方式</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碳达峰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指在某一个时点，二氧化碳的排放不再增长达到峰值，之后逐步回落</w:t>
            </w:r>
          </w:p>
        </w:tc>
      </w:tr>
    </w:tbl>
    <w:p>
      <w:pPr>
        <w:spacing w:lineRule="exact" w:line="1"/>
        <w:rPr>
          <w:sz w:val="2"/>
          <w:szCs w:val="2"/>
        </w:rPr>
      </w:pPr>
      <w:r>
        <w:br w:type="page"/>
      </w:r>
    </w:p>
    <w:tbl>
      <w:tblPr>
        <w:tblOverlap w:val="never"/>
        <w:jc w:val="center"/>
        <w:tblLayout w:type="fixed"/>
      </w:tblPr>
      <w:tblGrid>
        <w:gridCol w:w="2414"/>
        <w:gridCol w:w="566"/>
        <w:gridCol w:w="6600"/>
      </w:tblGrid>
      <w:tr>
        <w:trPr>
          <w:trHeight w:val="7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碳中和</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当一个组织在一年内的二氧化碳排放通过二氧化碳去除技术应用达到平衡，就是碳 中和或净零二氧化碳排放</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双碳</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碳达峰、碳中和的简称</w:t>
            </w:r>
          </w:p>
        </w:tc>
      </w:tr>
    </w:tbl>
    <w:p>
      <w:pPr>
        <w:sectPr>
          <w:footnotePr>
            <w:pos w:val="pageBottom"/>
            <w:numFmt w:val="decimal"/>
            <w:numRestart w:val="continuous"/>
          </w:footnotePr>
          <w:pgSz w:w="11900" w:h="16840"/>
          <w:pgMar w:top="1477" w:right="1117" w:bottom="1721" w:left="1111" w:header="0" w:footer="3" w:gutter="0"/>
          <w:cols w:space="720"/>
          <w:noEndnote/>
          <w:rtlGutter w:val="0"/>
          <w:docGrid w:linePitch="360"/>
        </w:sectPr>
      </w:pPr>
    </w:p>
    <w:p>
      <w:pPr>
        <w:pStyle w:val="Style13"/>
        <w:keepNext/>
        <w:keepLines/>
        <w:widowControl w:val="0"/>
        <w:shd w:val="clear" w:color="auto" w:fill="auto"/>
        <w:bidi w:val="0"/>
        <w:spacing w:before="480" w:line="240" w:lineRule="auto"/>
        <w:ind w:left="0" w:right="0" w:firstLine="0"/>
        <w:jc w:val="center"/>
      </w:pPr>
      <w:bookmarkStart w:id="16" w:name="bookmark16"/>
      <w:bookmarkStart w:id="17" w:name="bookmark17"/>
      <w:bookmarkStart w:id="18" w:name="bookmark18"/>
      <w:r>
        <w:rPr>
          <w:color w:val="000000"/>
          <w:spacing w:val="0"/>
          <w:w w:val="100"/>
          <w:position w:val="0"/>
        </w:rPr>
        <w:t>第二节公司简介和主要财务指标</w:t>
      </w:r>
      <w:bookmarkEnd w:id="16"/>
      <w:bookmarkEnd w:id="17"/>
      <w:bookmarkEnd w:id="18"/>
    </w:p>
    <w:p>
      <w:pPr>
        <w:pStyle w:val="Style26"/>
        <w:keepNext w:val="0"/>
        <w:keepLines w:val="0"/>
        <w:widowControl w:val="0"/>
        <w:shd w:val="clear" w:color="auto" w:fill="auto"/>
        <w:bidi w:val="0"/>
        <w:spacing w:before="0" w:after="300" w:line="240" w:lineRule="auto"/>
        <w:ind w:left="0" w:right="0" w:firstLine="240"/>
        <w:jc w:val="left"/>
      </w:pPr>
      <w:r>
        <w:rPr>
          <w:color w:val="000000"/>
          <w:spacing w:val="0"/>
          <w:w w:val="100"/>
          <w:position w:val="0"/>
          <w:sz w:val="24"/>
          <w:szCs w:val="24"/>
        </w:rPr>
        <w:t>、公司信息</w:t>
      </w:r>
    </w:p>
    <w:tbl>
      <w:tblPr>
        <w:tblOverlap w:val="never"/>
        <w:jc w:val="center"/>
        <w:tblLayout w:type="fixed"/>
      </w:tblPr>
      <w:tblGrid>
        <w:gridCol w:w="2981"/>
        <w:gridCol w:w="66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tabs>
                <w:tab w:pos="2251" w:val="left"/>
                <w:tab w:pos="4406" w:val="left"/>
              </w:tabs>
              <w:bidi w:val="0"/>
              <w:spacing w:before="0" w:after="0" w:line="240" w:lineRule="auto"/>
              <w:ind w:left="0" w:right="0" w:firstLine="0"/>
              <w:jc w:val="left"/>
            </w:pPr>
            <w:r>
              <w:rPr>
                <w:color w:val="000000"/>
                <w:spacing w:val="0"/>
                <w:w w:val="100"/>
                <w:position w:val="0"/>
              </w:rPr>
              <w:t>建科院</w:t>
              <w:tab/>
              <w:t>股票代码</w:t>
              <w:tab/>
            </w:r>
            <w:r>
              <w:rPr>
                <w:rFonts w:ascii="Times New Roman" w:eastAsia="Times New Roman" w:hAnsi="Times New Roman" w:cs="Times New Roman"/>
                <w:color w:val="000000"/>
                <w:spacing w:val="0"/>
                <w:w w:val="100"/>
                <w:position w:val="0"/>
              </w:rPr>
              <w:t>300675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深圳建科院</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Shenzhen Institute of Building Research Co., Ltd.</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IBR</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叶青</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深圳市福田区梅林梅坳三路</w:t>
            </w:r>
            <w:r>
              <w:rPr>
                <w:rFonts w:ascii="Times New Roman" w:eastAsia="Times New Roman" w:hAnsi="Times New Roman" w:cs="Times New Roman"/>
                <w:color w:val="000000"/>
                <w:spacing w:val="0"/>
                <w:w w:val="100"/>
                <w:position w:val="0"/>
              </w:rPr>
              <w:t>29</w:t>
            </w:r>
            <w:r>
              <w:rPr>
                <w:color w:val="000000"/>
                <w:spacing w:val="0"/>
                <w:w w:val="100"/>
                <w:position w:val="0"/>
              </w:rPr>
              <w:t>号建科大楼</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518049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深圳市福田区梅林梅坳三路</w:t>
            </w:r>
            <w:r>
              <w:rPr>
                <w:rFonts w:ascii="Times New Roman" w:eastAsia="Times New Roman" w:hAnsi="Times New Roman" w:cs="Times New Roman"/>
                <w:color w:val="000000"/>
                <w:spacing w:val="0"/>
                <w:w w:val="100"/>
                <w:position w:val="0"/>
              </w:rPr>
              <w:t>29</w:t>
            </w:r>
            <w:r>
              <w:rPr>
                <w:color w:val="000000"/>
                <w:spacing w:val="0"/>
                <w:w w:val="100"/>
                <w:position w:val="0"/>
              </w:rPr>
              <w:t>号建科大楼</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518049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"https://www" </w:instrText>
            </w:r>
            <w:r>
              <w:fldChar w:fldCharType="separate"/>
            </w:r>
            <w:r>
              <w:rPr>
                <w:rFonts w:ascii="Times New Roman" w:eastAsia="Times New Roman" w:hAnsi="Times New Roman" w:cs="Times New Roman"/>
                <w:color w:val="000000"/>
                <w:spacing w:val="0"/>
                <w:w w:val="100"/>
                <w:position w:val="0"/>
              </w:rPr>
              <w:t>https://www</w:t>
            </w:r>
            <w:r>
              <w:fldChar w:fldCharType="end"/>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szibr.com/</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"mailto:ibrir@ibrcn.com" </w:instrText>
            </w:r>
            <w:r>
              <w:fldChar w:fldCharType="separate"/>
            </w:r>
            <w:r>
              <w:rPr>
                <w:rFonts w:ascii="Times New Roman" w:eastAsia="Times New Roman" w:hAnsi="Times New Roman" w:cs="Times New Roman"/>
                <w:color w:val="000000"/>
                <w:spacing w:val="0"/>
                <w:w w:val="100"/>
                <w:position w:val="0"/>
              </w:rPr>
              <w:t>ibrir@ibrcn.com</w:t>
            </w:r>
            <w:r>
              <w:fldChar w:fldCharType="end"/>
            </w:r>
          </w:p>
        </w:tc>
      </w:tr>
    </w:tbl>
    <w:p>
      <w:pPr>
        <w:widowControl w:val="0"/>
        <w:spacing w:after="299" w:line="1" w:lineRule="exact"/>
      </w:pPr>
    </w:p>
    <w:p>
      <w:pPr>
        <w:pStyle w:val="Style26"/>
        <w:keepNext w:val="0"/>
        <w:keepLines w:val="0"/>
        <w:widowControl w:val="0"/>
        <w:shd w:val="clear" w:color="auto" w:fill="auto"/>
        <w:bidi w:val="0"/>
        <w:spacing w:before="0" w:after="300" w:line="240" w:lineRule="auto"/>
        <w:ind w:left="0" w:right="0" w:firstLine="0"/>
        <w:jc w:val="left"/>
      </w:pPr>
      <w:bookmarkStart w:id="19" w:name="bookmark19"/>
      <w:r>
        <w:rPr>
          <w:color w:val="000000"/>
          <w:spacing w:val="0"/>
          <w:w w:val="100"/>
          <w:position w:val="0"/>
          <w:sz w:val="24"/>
          <w:szCs w:val="24"/>
        </w:rPr>
        <w:t>二</w:t>
      </w:r>
      <w:bookmarkEnd w:id="19"/>
      <w:r>
        <w:rPr>
          <w:color w:val="000000"/>
          <w:spacing w:val="0"/>
          <w:w w:val="100"/>
          <w:position w:val="0"/>
          <w:sz w:val="24"/>
          <w:szCs w:val="24"/>
        </w:rPr>
        <w:t>、联系人和联系方式</w:t>
      </w:r>
    </w:p>
    <w:tbl>
      <w:tblPr>
        <w:tblOverlap w:val="never"/>
        <w:jc w:val="center"/>
        <w:tblLayout w:type="fixed"/>
      </w:tblPr>
      <w:tblGrid>
        <w:gridCol w:w="2981"/>
        <w:gridCol w:w="3403"/>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叶小平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深圳市福田区梅林梅坳三路</w:t>
            </w:r>
            <w:r>
              <w:rPr>
                <w:rFonts w:ascii="Times New Roman" w:eastAsia="Times New Roman" w:hAnsi="Times New Roman" w:cs="Times New Roman"/>
                <w:color w:val="000000"/>
                <w:spacing w:val="0"/>
                <w:w w:val="100"/>
                <w:position w:val="0"/>
              </w:rPr>
              <w:t>29</w:t>
            </w:r>
            <w:r>
              <w:rPr>
                <w:color w:val="000000"/>
                <w:spacing w:val="0"/>
                <w:w w:val="100"/>
                <w:position w:val="0"/>
              </w:rPr>
              <w:t>号建科大楼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0755-23950525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0755-23931800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"mailto:ibrir@ibrcn.com" </w:instrText>
            </w:r>
            <w:r>
              <w:fldChar w:fldCharType="separate"/>
            </w:r>
            <w:r>
              <w:rPr>
                <w:rFonts w:ascii="Times New Roman" w:eastAsia="Times New Roman" w:hAnsi="Times New Roman" w:cs="Times New Roman"/>
                <w:color w:val="000000"/>
                <w:spacing w:val="0"/>
                <w:w w:val="100"/>
                <w:position w:val="0"/>
              </w:rPr>
              <w:t>ibrir@ibrcn.com</w:t>
            </w:r>
            <w:r>
              <w:fldChar w:fldCharType="end"/>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6"/>
        <w:keepNext w:val="0"/>
        <w:keepLines w:val="0"/>
        <w:widowControl w:val="0"/>
        <w:shd w:val="clear" w:color="auto" w:fill="auto"/>
        <w:bidi w:val="0"/>
        <w:spacing w:before="0" w:after="300" w:line="240" w:lineRule="auto"/>
        <w:ind w:left="0" w:right="0" w:firstLine="0"/>
        <w:jc w:val="left"/>
      </w:pPr>
      <w:bookmarkStart w:id="20" w:name="bookmark20"/>
      <w:r>
        <w:rPr>
          <w:color w:val="000000"/>
          <w:spacing w:val="0"/>
          <w:w w:val="100"/>
          <w:position w:val="0"/>
          <w:sz w:val="24"/>
          <w:szCs w:val="24"/>
        </w:rPr>
        <w:t>三</w:t>
      </w:r>
      <w:bookmarkEnd w:id="20"/>
      <w:r>
        <w:rPr>
          <w:color w:val="000000"/>
          <w:spacing w:val="0"/>
          <w:w w:val="100"/>
          <w:position w:val="0"/>
          <w:sz w:val="24"/>
          <w:szCs w:val="24"/>
        </w:rPr>
        <w:t>、信息披露及备置地点</w:t>
      </w:r>
    </w:p>
    <w:tbl>
      <w:tblPr>
        <w:tblOverlap w:val="never"/>
        <w:jc w:val="center"/>
        <w:tblLayout w:type="fixed"/>
      </w:tblPr>
      <w:tblGrid>
        <w:gridCol w:w="3264"/>
        <w:gridCol w:w="631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299" w:line="1" w:lineRule="exact"/>
      </w:pPr>
    </w:p>
    <w:p>
      <w:pPr>
        <w:pStyle w:val="Style26"/>
        <w:keepNext w:val="0"/>
        <w:keepLines w:val="0"/>
        <w:widowControl w:val="0"/>
        <w:shd w:val="clear" w:color="auto" w:fill="auto"/>
        <w:bidi w:val="0"/>
        <w:spacing w:before="0" w:after="360" w:line="240" w:lineRule="auto"/>
        <w:ind w:left="0" w:right="0" w:firstLine="0"/>
        <w:jc w:val="left"/>
      </w:pPr>
      <w:bookmarkStart w:id="21" w:name="bookmark21"/>
      <w:r>
        <w:rPr>
          <w:color w:val="000000"/>
          <w:spacing w:val="0"/>
          <w:w w:val="100"/>
          <w:position w:val="0"/>
          <w:sz w:val="24"/>
          <w:szCs w:val="24"/>
        </w:rPr>
        <w:t>四</w:t>
      </w:r>
      <w:bookmarkEnd w:id="21"/>
      <w:r>
        <w:rPr>
          <w:color w:val="000000"/>
          <w:spacing w:val="0"/>
          <w:w w:val="100"/>
          <w:position w:val="0"/>
          <w:sz w:val="24"/>
          <w:szCs w:val="24"/>
        </w:rPr>
        <w:t>、其他有关资料</w:t>
      </w:r>
    </w:p>
    <w:p>
      <w:pPr>
        <w:pStyle w:val="Style2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4"/>
        <w:gridCol w:w="6917"/>
      </w:tblGrid>
      <w:tr>
        <w:trPr>
          <w:trHeight w:val="4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毕马威华振会计师事务所（特殊普通合伙）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北京市东城区东长安街</w:t>
            </w:r>
            <w:r>
              <w:rPr>
                <w:rFonts w:ascii="Times New Roman" w:eastAsia="Times New Roman" w:hAnsi="Times New Roman" w:cs="Times New Roman"/>
                <w:color w:val="000000"/>
                <w:spacing w:val="0"/>
                <w:w w:val="100"/>
                <w:position w:val="0"/>
              </w:rPr>
              <w:t>1</w:t>
            </w:r>
            <w:r>
              <w:rPr>
                <w:color w:val="000000"/>
                <w:spacing w:val="0"/>
                <w:w w:val="100"/>
                <w:position w:val="0"/>
              </w:rPr>
              <w:t>号东方广场东</w:t>
            </w:r>
            <w:r>
              <w:rPr>
                <w:rFonts w:ascii="Times New Roman" w:eastAsia="Times New Roman" w:hAnsi="Times New Roman" w:cs="Times New Roman"/>
                <w:color w:val="000000"/>
                <w:spacing w:val="0"/>
                <w:w w:val="100"/>
                <w:position w:val="0"/>
              </w:rPr>
              <w:t>2</w:t>
            </w:r>
            <w:r>
              <w:rPr>
                <w:color w:val="000000"/>
                <w:spacing w:val="0"/>
                <w:w w:val="100"/>
                <w:position w:val="0"/>
              </w:rPr>
              <w:t>座办公楼</w:t>
            </w:r>
            <w:r>
              <w:rPr>
                <w:rFonts w:ascii="Times New Roman" w:eastAsia="Times New Roman" w:hAnsi="Times New Roman" w:cs="Times New Roman"/>
                <w:color w:val="000000"/>
                <w:spacing w:val="0"/>
                <w:w w:val="100"/>
                <w:position w:val="0"/>
              </w:rPr>
              <w:t>8</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陈泳意、刘琬婷</w:t>
            </w:r>
          </w:p>
        </w:tc>
      </w:tr>
    </w:tbl>
    <w:p>
      <w:pPr>
        <w:widowControl w:val="0"/>
        <w:spacing w:after="9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申万宏源证券承销保荐有限 责任公司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深圳市福田区金田路</w:t>
            </w:r>
            <w:r>
              <w:rPr>
                <w:rFonts w:ascii="Times New Roman" w:eastAsia="Times New Roman" w:hAnsi="Times New Roman" w:cs="Times New Roman"/>
                <w:color w:val="000000"/>
                <w:spacing w:val="0"/>
                <w:w w:val="100"/>
                <w:position w:val="0"/>
              </w:rPr>
              <w:t>4018</w:t>
            </w:r>
            <w:r>
              <w:rPr>
                <w:color w:val="000000"/>
                <w:spacing w:val="0"/>
                <w:w w:val="100"/>
                <w:position w:val="0"/>
              </w:rPr>
              <w:t>号 安联大厦</w:t>
            </w:r>
            <w:r>
              <w:rPr>
                <w:rFonts w:ascii="Times New Roman" w:eastAsia="Times New Roman" w:hAnsi="Times New Roman" w:cs="Times New Roman"/>
                <w:color w:val="000000"/>
                <w:spacing w:val="0"/>
                <w:w w:val="100"/>
                <w:position w:val="0"/>
              </w:rPr>
              <w:t>A</w:t>
            </w:r>
            <w:r>
              <w:rPr>
                <w:color w:val="000000"/>
                <w:spacing w:val="0"/>
                <w:w w:val="100"/>
                <w:position w:val="0"/>
              </w:rPr>
              <w:t>区</w:t>
            </w:r>
            <w:r>
              <w:rPr>
                <w:rFonts w:ascii="Times New Roman" w:eastAsia="Times New Roman" w:hAnsi="Times New Roman" w:cs="Times New Roman"/>
                <w:color w:val="000000"/>
                <w:spacing w:val="0"/>
                <w:w w:val="100"/>
                <w:position w:val="0"/>
              </w:rPr>
              <w:t>22A03</w:t>
            </w:r>
            <w:r>
              <w:rPr>
                <w:color w:val="000000"/>
                <w:spacing w:val="0"/>
                <w:w w:val="100"/>
                <w:position w:val="0"/>
              </w:rPr>
              <w:t>室</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李志文、杨士中</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9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240" w:line="240" w:lineRule="auto"/>
        <w:ind w:left="0" w:right="0" w:firstLine="0"/>
        <w:jc w:val="left"/>
      </w:pPr>
      <w:bookmarkStart w:id="22" w:name="bookmark22"/>
      <w:r>
        <w:rPr>
          <w:color w:val="000000"/>
          <w:spacing w:val="0"/>
          <w:w w:val="100"/>
          <w:position w:val="0"/>
          <w:sz w:val="24"/>
          <w:szCs w:val="24"/>
        </w:rPr>
        <w:t>五</w:t>
      </w:r>
      <w:bookmarkEnd w:id="22"/>
      <w:r>
        <w:rPr>
          <w:color w:val="000000"/>
          <w:spacing w:val="0"/>
          <w:w w:val="100"/>
          <w:position w:val="0"/>
          <w:sz w:val="24"/>
          <w:szCs w:val="24"/>
        </w:rPr>
        <w:t>、主要会计数据和财务指标</w:t>
      </w:r>
    </w:p>
    <w:p>
      <w:pPr>
        <w:pStyle w:val="Style20"/>
        <w:keepNext w:val="0"/>
        <w:keepLines w:val="0"/>
        <w:widowControl w:val="0"/>
        <w:shd w:val="clear" w:color="auto" w:fill="auto"/>
        <w:bidi w:val="0"/>
        <w:spacing w:before="0" w:after="100" w:line="341"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981"/>
        <w:gridCol w:w="1560"/>
        <w:gridCol w:w="1699"/>
        <w:gridCol w:w="1843"/>
        <w:gridCol w:w="149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502,831,397.93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506,457,668.54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467,972,060.82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44,506,790.56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43,866,588.22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36,620,943.28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归属于上市公司股东的扣除非经常性 损益的净利润（元）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29,132,002.80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25,826,381.22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4,562,916.38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42,039,477.98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65,653,321.15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63,513,713.47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0.2991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0.2497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0.2991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0.2497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1,337,411,078.54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1,309,962,633.16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1,057,460,482.19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534,848,700.07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503,541,912.51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469,624,578.88</w:t>
            </w:r>
          </w:p>
        </w:tc>
      </w:tr>
    </w:tbl>
    <w:p>
      <w:pPr>
        <w:pStyle w:val="Style2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注：经营活动产生的现金流量净额同比下降，主要系</w:t>
      </w:r>
      <w:r>
        <w:rPr>
          <w:rFonts w:ascii="Times New Roman" w:eastAsia="Times New Roman" w:hAnsi="Times New Roman" w:cs="Times New Roman"/>
          <w:color w:val="000000"/>
          <w:spacing w:val="0"/>
          <w:w w:val="100"/>
          <w:position w:val="0"/>
        </w:rPr>
        <w:t>EPC</w:t>
      </w:r>
      <w:r>
        <w:rPr>
          <w:color w:val="000000"/>
          <w:spacing w:val="0"/>
          <w:w w:val="100"/>
          <w:position w:val="0"/>
        </w:rPr>
        <w:t>项目代收代付资金同比减少</w:t>
      </w:r>
      <w:r>
        <w:rPr>
          <w:rFonts w:ascii="Times New Roman" w:eastAsia="Times New Roman" w:hAnsi="Times New Roman" w:cs="Times New Roman"/>
          <w:color w:val="000000"/>
          <w:spacing w:val="0"/>
          <w:w w:val="100"/>
          <w:position w:val="0"/>
        </w:rPr>
        <w:t>3,827</w:t>
      </w:r>
      <w:r>
        <w:rPr>
          <w:color w:val="000000"/>
          <w:spacing w:val="0"/>
          <w:w w:val="100"/>
          <w:position w:val="0"/>
        </w:rPr>
        <w:t>万元所致。剔除</w:t>
      </w:r>
      <w:r>
        <w:rPr>
          <w:rFonts w:ascii="Times New Roman" w:eastAsia="Times New Roman" w:hAnsi="Times New Roman" w:cs="Times New Roman"/>
          <w:color w:val="000000"/>
          <w:spacing w:val="0"/>
          <w:w w:val="100"/>
          <w:position w:val="0"/>
        </w:rPr>
        <w:t>EPC</w:t>
      </w:r>
      <w:r>
        <w:rPr>
          <w:color w:val="000000"/>
          <w:spacing w:val="0"/>
          <w:w w:val="100"/>
          <w:position w:val="0"/>
        </w:rPr>
        <w:t>项目代收 代付资金影响，经营活动现流净额同比增加</w:t>
      </w:r>
      <w:r>
        <w:rPr>
          <w:rFonts w:ascii="Times New Roman" w:eastAsia="Times New Roman" w:hAnsi="Times New Roman" w:cs="Times New Roman"/>
          <w:color w:val="000000"/>
          <w:spacing w:val="0"/>
          <w:w w:val="100"/>
          <w:position w:val="0"/>
        </w:rPr>
        <w:t>1,466</w:t>
      </w:r>
      <w:r>
        <w:rPr>
          <w:color w:val="000000"/>
          <w:spacing w:val="0"/>
          <w:w w:val="100"/>
          <w:position w:val="0"/>
        </w:rPr>
        <w:t>万元，增长</w:t>
      </w:r>
      <w:r>
        <w:rPr>
          <w:rFonts w:ascii="Times New Roman" w:eastAsia="Times New Roman" w:hAnsi="Times New Roman" w:cs="Times New Roman"/>
          <w:color w:val="000000"/>
          <w:spacing w:val="0"/>
          <w:w w:val="100"/>
          <w:position w:val="0"/>
        </w:rPr>
        <w:t>22.33%</w:t>
      </w:r>
      <w:r>
        <w:rPr>
          <w:color w:val="000000"/>
          <w:spacing w:val="0"/>
          <w:w w:val="100"/>
          <w:position w:val="0"/>
        </w:rPr>
        <w:t>。</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确定性</w:t>
      </w:r>
    </w:p>
    <w:p>
      <w:pPr>
        <w:pStyle w:val="Style20"/>
        <w:keepNext w:val="0"/>
        <w:keepLines w:val="0"/>
        <w:widowControl w:val="0"/>
        <w:numPr>
          <w:ilvl w:val="0"/>
          <w:numId w:val="1"/>
        </w:numPr>
        <w:shd w:val="clear" w:color="auto" w:fill="auto"/>
        <w:tabs>
          <w:tab w:pos="282" w:val="left"/>
        </w:tabs>
        <w:bidi w:val="0"/>
        <w:spacing w:before="0" w:after="100" w:line="240" w:lineRule="auto"/>
        <w:ind w:left="0" w:right="0" w:firstLine="0"/>
        <w:jc w:val="left"/>
      </w:pPr>
      <w:bookmarkStart w:id="23" w:name="bookmark23"/>
      <w:bookmarkEnd w:id="23"/>
      <w:r>
        <w:rPr>
          <w:color w:val="000000"/>
          <w:spacing w:val="0"/>
          <w:w w:val="100"/>
          <w:position w:val="0"/>
        </w:rPr>
        <w:t xml:space="preserve">是 </w:t>
      </w:r>
      <w:r>
        <w:rPr>
          <w:rFonts w:ascii="Times New Roman" w:eastAsia="Times New Roman" w:hAnsi="Times New Roman" w:cs="Times New Roman"/>
          <w:color w:val="000000"/>
          <w:spacing w:val="0"/>
          <w:w w:val="100"/>
          <w:position w:val="0"/>
        </w:rPr>
        <w:t xml:space="preserve">V </w:t>
      </w:r>
      <w:r>
        <w:rPr>
          <w:color w:val="000000"/>
          <w:spacing w:val="0"/>
          <w:w w:val="100"/>
          <w:position w:val="0"/>
        </w:rPr>
        <w:t>否</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扣除非经常损益前后的净利润孰低者为负值</w:t>
      </w:r>
    </w:p>
    <w:p>
      <w:pPr>
        <w:pStyle w:val="Style20"/>
        <w:keepNext w:val="0"/>
        <w:keepLines w:val="0"/>
        <w:widowControl w:val="0"/>
        <w:numPr>
          <w:ilvl w:val="0"/>
          <w:numId w:val="1"/>
        </w:numPr>
        <w:shd w:val="clear" w:color="auto" w:fill="auto"/>
        <w:tabs>
          <w:tab w:pos="282" w:val="left"/>
        </w:tabs>
        <w:bidi w:val="0"/>
        <w:spacing w:before="0" w:after="100" w:line="240" w:lineRule="auto"/>
        <w:ind w:left="0" w:right="0" w:firstLine="0"/>
        <w:jc w:val="left"/>
      </w:pPr>
      <w:bookmarkStart w:id="24" w:name="bookmark24"/>
      <w:bookmarkEnd w:id="24"/>
      <w:r>
        <w:rPr>
          <w:color w:val="000000"/>
          <w:spacing w:val="0"/>
          <w:w w:val="100"/>
          <w:position w:val="0"/>
        </w:rPr>
        <w:t xml:space="preserve">是 </w:t>
      </w:r>
      <w:r>
        <w:rPr>
          <w:rFonts w:ascii="Times New Roman" w:eastAsia="Times New Roman" w:hAnsi="Times New Roman" w:cs="Times New Roman"/>
          <w:color w:val="000000"/>
          <w:spacing w:val="0"/>
          <w:w w:val="100"/>
          <w:position w:val="0"/>
        </w:rPr>
        <w:t xml:space="preserve">V </w:t>
      </w:r>
      <w:r>
        <w:rPr>
          <w:color w:val="000000"/>
          <w:spacing w:val="0"/>
          <w:w w:val="100"/>
          <w:position w:val="0"/>
        </w:rPr>
        <w:t>否</w:t>
      </w:r>
      <w:r>
        <w:br w:type="page"/>
      </w:r>
    </w:p>
    <w:p>
      <w:pPr>
        <w:pStyle w:val="Style26"/>
        <w:keepNext w:val="0"/>
        <w:keepLines w:val="0"/>
        <w:widowControl w:val="0"/>
        <w:pBdr>
          <w:top w:val="single" w:sz="4" w:space="0" w:color="auto"/>
        </w:pBdr>
        <w:shd w:val="clear" w:color="auto" w:fill="auto"/>
        <w:bidi w:val="0"/>
        <w:spacing w:before="0" w:after="360" w:line="240" w:lineRule="auto"/>
        <w:ind w:left="0" w:right="0" w:firstLine="0"/>
        <w:jc w:val="both"/>
      </w:pPr>
      <w:bookmarkStart w:id="25" w:name="bookmark25"/>
      <w:r>
        <w:rPr>
          <w:color w:val="000000"/>
          <w:spacing w:val="0"/>
          <w:w w:val="100"/>
          <w:position w:val="0"/>
          <w:sz w:val="24"/>
          <w:szCs w:val="24"/>
        </w:rPr>
        <w:t>六</w:t>
      </w:r>
      <w:bookmarkEnd w:id="25"/>
      <w:r>
        <w:rPr>
          <w:color w:val="000000"/>
          <w:spacing w:val="0"/>
          <w:w w:val="100"/>
          <w:position w:val="0"/>
          <w:sz w:val="24"/>
          <w:szCs w:val="24"/>
        </w:rPr>
        <w:t>、分季度主要财务指标</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1666"/>
        <w:gridCol w:w="1738"/>
        <w:gridCol w:w="1742"/>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77,010,601.14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117,424,747.84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98,216,603.72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210,179,445.23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-14,630,756.20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15,715,698.32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-3,937,176.85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47,359,025.29</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-17,823,300.89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11,880,053.30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-8,834,326.89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43,909,577.28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-48,325,871.77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-51,309,097.80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-3,182,798.28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144,857,245.83</w:t>
            </w:r>
          </w:p>
        </w:tc>
      </w:tr>
    </w:tbl>
    <w:p>
      <w:pPr>
        <w:widowControl w:val="0"/>
        <w:spacing w:after="119" w:line="1" w:lineRule="exact"/>
      </w:pP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val="0"/>
        <w:keepLines w:val="0"/>
        <w:widowControl w:val="0"/>
        <w:shd w:val="clear" w:color="auto" w:fill="auto"/>
        <w:tabs>
          <w:tab w:pos="522" w:val="left"/>
        </w:tabs>
        <w:bidi w:val="0"/>
        <w:spacing w:before="0" w:after="360" w:line="240" w:lineRule="auto"/>
        <w:ind w:left="0" w:right="0" w:firstLine="0"/>
        <w:jc w:val="both"/>
      </w:pPr>
      <w:bookmarkStart w:id="26" w:name="bookmark26"/>
      <w:r>
        <w:rPr>
          <w:color w:val="000000"/>
          <w:spacing w:val="0"/>
          <w:w w:val="100"/>
          <w:position w:val="0"/>
          <w:sz w:val="24"/>
          <w:szCs w:val="24"/>
        </w:rPr>
        <w:t>七</w:t>
      </w:r>
      <w:bookmarkEnd w:id="26"/>
      <w:r>
        <w:rPr>
          <w:color w:val="000000"/>
          <w:spacing w:val="0"/>
          <w:w w:val="100"/>
          <w:position w:val="0"/>
          <w:sz w:val="24"/>
          <w:szCs w:val="24"/>
        </w:rPr>
        <w:t>、</w:t>
        <w:tab/>
        <w:t>境内外会计准则下会计数据差异</w:t>
      </w:r>
    </w:p>
    <w:p>
      <w:pPr>
        <w:pStyle w:val="Style31"/>
        <w:keepNext/>
        <w:keepLines/>
        <w:widowControl w:val="0"/>
        <w:shd w:val="clear" w:color="auto" w:fill="auto"/>
        <w:tabs>
          <w:tab w:pos="403" w:val="left"/>
        </w:tabs>
        <w:bidi w:val="0"/>
        <w:spacing w:before="0" w:line="240" w:lineRule="auto"/>
        <w:ind w:left="0" w:right="0" w:firstLine="0"/>
        <w:jc w:val="both"/>
      </w:pPr>
      <w:bookmarkStart w:id="27" w:name="bookmark27"/>
      <w:bookmarkStart w:id="28" w:name="bookmark28"/>
      <w:bookmarkStart w:id="29" w:name="bookmark29"/>
      <w:bookmarkStart w:id="30" w:name="bookmark30"/>
      <w:r>
        <w:rPr>
          <w:rFonts w:ascii="Times New Roman" w:eastAsia="Times New Roman" w:hAnsi="Times New Roman" w:cs="Times New Roman"/>
          <w:color w:val="000000"/>
          <w:spacing w:val="0"/>
          <w:w w:val="100"/>
          <w:position w:val="0"/>
        </w:rPr>
        <w:t>1</w:t>
      </w:r>
      <w:bookmarkEnd w:id="29"/>
      <w:r>
        <w:rPr>
          <w:color w:val="000000"/>
          <w:spacing w:val="0"/>
          <w:w w:val="100"/>
          <w:position w:val="0"/>
        </w:rPr>
        <w:t>、</w:t>
        <w:tab/>
        <w:t>同时按照国际会计准则与按照中国会计准则披露的财务报告中净利润和净资产差异情况</w:t>
      </w:r>
      <w:bookmarkEnd w:id="27"/>
      <w:bookmarkEnd w:id="28"/>
      <w:bookmarkEnd w:id="30"/>
    </w:p>
    <w:p>
      <w:pPr>
        <w:pStyle w:val="Style2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1"/>
        <w:keepNext/>
        <w:keepLines/>
        <w:widowControl w:val="0"/>
        <w:shd w:val="clear" w:color="auto" w:fill="auto"/>
        <w:tabs>
          <w:tab w:pos="403" w:val="left"/>
        </w:tabs>
        <w:bidi w:val="0"/>
        <w:spacing w:before="0" w:line="240" w:lineRule="auto"/>
        <w:ind w:left="0" w:right="0" w:firstLine="0"/>
        <w:jc w:val="both"/>
      </w:pPr>
      <w:bookmarkStart w:id="31" w:name="bookmark31"/>
      <w:bookmarkStart w:id="32" w:name="bookmark32"/>
      <w:bookmarkStart w:id="33" w:name="bookmark33"/>
      <w:bookmarkStart w:id="34" w:name="bookmark34"/>
      <w:r>
        <w:rPr>
          <w:rFonts w:ascii="Times New Roman" w:eastAsia="Times New Roman" w:hAnsi="Times New Roman" w:cs="Times New Roman"/>
          <w:color w:val="000000"/>
          <w:spacing w:val="0"/>
          <w:w w:val="100"/>
          <w:position w:val="0"/>
        </w:rPr>
        <w:t>2</w:t>
      </w:r>
      <w:bookmarkEnd w:id="33"/>
      <w:r>
        <w:rPr>
          <w:color w:val="000000"/>
          <w:spacing w:val="0"/>
          <w:w w:val="100"/>
          <w:position w:val="0"/>
        </w:rPr>
        <w:t>、</w:t>
        <w:tab/>
        <w:t>同时按照境外会计准则与按照中国会计准则披露的财务报告中净利润和净资产差异情况</w:t>
      </w:r>
      <w:bookmarkEnd w:id="31"/>
      <w:bookmarkEnd w:id="32"/>
      <w:bookmarkEnd w:id="34"/>
    </w:p>
    <w:p>
      <w:pPr>
        <w:pStyle w:val="Style2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6"/>
        <w:keepNext w:val="0"/>
        <w:keepLines w:val="0"/>
        <w:widowControl w:val="0"/>
        <w:shd w:val="clear" w:color="auto" w:fill="auto"/>
        <w:tabs>
          <w:tab w:pos="522" w:val="left"/>
        </w:tabs>
        <w:bidi w:val="0"/>
        <w:spacing w:before="0" w:after="360" w:line="240" w:lineRule="auto"/>
        <w:ind w:left="0" w:right="0" w:firstLine="0"/>
        <w:jc w:val="both"/>
      </w:pPr>
      <w:bookmarkStart w:id="35" w:name="bookmark35"/>
      <w:r>
        <w:rPr>
          <w:color w:val="000000"/>
          <w:spacing w:val="0"/>
          <w:w w:val="100"/>
          <w:position w:val="0"/>
          <w:sz w:val="24"/>
          <w:szCs w:val="24"/>
        </w:rPr>
        <w:t>八</w:t>
      </w:r>
      <w:bookmarkEnd w:id="35"/>
      <w:r>
        <w:rPr>
          <w:color w:val="000000"/>
          <w:spacing w:val="0"/>
          <w:w w:val="100"/>
          <w:position w:val="0"/>
          <w:sz w:val="24"/>
          <w:szCs w:val="24"/>
        </w:rPr>
        <w:t>、</w:t>
        <w:tab/>
        <w:t>非经常性损益项目及金额</w:t>
      </w:r>
    </w:p>
    <w:p>
      <w:pPr>
        <w:pStyle w:val="Style2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1416"/>
        <w:gridCol w:w="1277"/>
        <w:gridCol w:w="1277"/>
        <w:gridCol w:w="121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非流动资产处置损益（包括已计提资产减值准备的冲销 部分）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16,052.21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-99,622.82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-7,641.55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固定资产报废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清理收益</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计入当期损益的政府补助（与公司正常经营业务密切相 关，符合国家政策规定、按照一定标准定额或定量持续 享受的政府补助除外）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15,897,303.28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21,238,974.97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32,618,947.45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当期计入损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益的政府补助</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102,739.72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除同公司正常经营业务相关的有效套期保值业务外，持 有交易性金融资产、交易性金融负债产生的公允价值变 动损益，以及处置交易性金融资产交易性金融负债和可 供出售金融资产取得的投资收益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452,998.64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2,948,458.44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资金理财收益</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单独进行减值测试的应收款项减值准备转回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322,187.57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2,353,889.40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tbl>
      <w:tblPr>
        <w:tblOverlap w:val="never"/>
        <w:jc w:val="center"/>
        <w:tblLayout w:type="fixed"/>
      </w:tblPr>
      <w:tblGrid>
        <w:gridCol w:w="4397"/>
        <w:gridCol w:w="1430"/>
        <w:gridCol w:w="1262"/>
        <w:gridCol w:w="1277"/>
        <w:gridCol w:w="1214"/>
      </w:tblGrid>
      <w:tr>
        <w:trPr>
          <w:trHeight w:val="73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2,122,008.56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108,571.76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67,817.03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营业外收入</w:t>
            </w:r>
            <w:r>
              <w:rPr>
                <w:rFonts w:ascii="Times New Roman" w:eastAsia="Times New Roman" w:hAnsi="Times New Roman" w:cs="Times New Roman"/>
                <w:color w:val="000000"/>
                <w:spacing w:val="0"/>
                <w:w w:val="100"/>
                <w:position w:val="0"/>
              </w:rPr>
              <w:t>-</w:t>
            </w:r>
            <w:r>
              <w:rPr>
                <w:color w:val="000000"/>
                <w:spacing w:val="0"/>
                <w:w w:val="100"/>
                <w:position w:val="0"/>
              </w:rPr>
              <w:t>仲 裁违约金等</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2,893,999.61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3,591,961.38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5,907,187.02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88,879.31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171,493.89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16,256.85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15,374,787.76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18,040,207.00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32,058,026.90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其他符合非经常性损益定义的损益项目的具体情况：</w:t>
      </w:r>
    </w:p>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号一非经常性损益》中列举的非经常性损益项目界定为经常性损益项</w:t>
      </w:r>
    </w:p>
    <w:p>
      <w:pPr>
        <w:pStyle w:val="Style2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目的情况说明</w:t>
      </w:r>
    </w:p>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140" w:line="317" w:lineRule="exact"/>
        <w:ind w:left="0" w:right="0" w:firstLine="0"/>
        <w:jc w:val="left"/>
        <w:sectPr>
          <w:footnotePr>
            <w:pos w:val="pageBottom"/>
            <w:numFmt w:val="decimal"/>
            <w:numRestart w:val="continuous"/>
          </w:footnotePr>
          <w:pgSz w:w="11900" w:h="16840"/>
          <w:pgMar w:top="1479" w:right="1122" w:bottom="1456" w:left="1092"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 定为经常性损益的项目的情形。</w:t>
      </w:r>
    </w:p>
    <w:p>
      <w:pPr>
        <w:pStyle w:val="Style13"/>
        <w:keepNext/>
        <w:keepLines/>
        <w:widowControl w:val="0"/>
        <w:shd w:val="clear" w:color="auto" w:fill="auto"/>
        <w:bidi w:val="0"/>
        <w:spacing w:before="420" w:after="540" w:line="240" w:lineRule="auto"/>
        <w:ind w:left="0" w:right="0" w:firstLine="0"/>
        <w:jc w:val="center"/>
      </w:pPr>
      <w:bookmarkStart w:id="36" w:name="bookmark36"/>
      <w:bookmarkStart w:id="37" w:name="bookmark37"/>
      <w:bookmarkStart w:id="38" w:name="bookmark38"/>
      <w:r>
        <w:rPr>
          <w:color w:val="000000"/>
          <w:spacing w:val="0"/>
          <w:w w:val="100"/>
          <w:position w:val="0"/>
        </w:rPr>
        <w:t>第三节管理层讨论与分析</w:t>
      </w:r>
      <w:bookmarkEnd w:id="36"/>
      <w:bookmarkEnd w:id="37"/>
      <w:bookmarkEnd w:id="38"/>
    </w:p>
    <w:p>
      <w:pPr>
        <w:pStyle w:val="Style26"/>
        <w:keepNext w:val="0"/>
        <w:keepLines w:val="0"/>
        <w:widowControl w:val="0"/>
        <w:shd w:val="clear" w:color="auto" w:fill="auto"/>
        <w:bidi w:val="0"/>
        <w:spacing w:before="0" w:after="260" w:line="240" w:lineRule="auto"/>
        <w:ind w:left="0" w:right="0" w:firstLine="0"/>
        <w:jc w:val="both"/>
      </w:pPr>
      <w:bookmarkStart w:id="39" w:name="bookmark39"/>
      <w:r>
        <w:rPr>
          <w:color w:val="000000"/>
          <w:spacing w:val="0"/>
          <w:w w:val="100"/>
          <w:position w:val="0"/>
          <w:sz w:val="24"/>
          <w:szCs w:val="24"/>
        </w:rPr>
        <w:t>一</w:t>
      </w:r>
      <w:bookmarkEnd w:id="39"/>
      <w:r>
        <w:rPr>
          <w:color w:val="000000"/>
          <w:spacing w:val="0"/>
          <w:w w:val="100"/>
          <w:position w:val="0"/>
          <w:sz w:val="24"/>
          <w:szCs w:val="24"/>
        </w:rPr>
        <w:t>、报告期内公司所处行业情况</w:t>
      </w:r>
    </w:p>
    <w:p>
      <w:pPr>
        <w:pStyle w:val="Style20"/>
        <w:keepNext w:val="0"/>
        <w:keepLines w:val="0"/>
        <w:widowControl w:val="0"/>
        <w:shd w:val="clear" w:color="auto" w:fill="auto"/>
        <w:tabs>
          <w:tab w:pos="981" w:val="left"/>
        </w:tabs>
        <w:bidi w:val="0"/>
        <w:spacing w:before="0" w:after="0" w:line="313" w:lineRule="exact"/>
        <w:ind w:left="0" w:right="0" w:firstLine="500"/>
        <w:jc w:val="both"/>
      </w:pPr>
      <w:bookmarkStart w:id="40" w:name="bookmark40"/>
      <w:r>
        <w:rPr>
          <w:b/>
          <w:bCs/>
          <w:color w:val="000000"/>
          <w:spacing w:val="0"/>
          <w:w w:val="100"/>
          <w:position w:val="0"/>
        </w:rPr>
        <w:t>（</w:t>
      </w:r>
      <w:bookmarkEnd w:id="40"/>
      <w:r>
        <w:rPr>
          <w:b/>
          <w:bCs/>
          <w:color w:val="000000"/>
          <w:spacing w:val="0"/>
          <w:w w:val="100"/>
          <w:position w:val="0"/>
        </w:rPr>
        <w:t>一）</w:t>
        <w:tab/>
        <w:t>国内外宏观环境及城市发展方式均面临重大挑战</w:t>
      </w:r>
    </w:p>
    <w:p>
      <w:pPr>
        <w:pStyle w:val="Style20"/>
        <w:keepNext w:val="0"/>
        <w:keepLines w:val="0"/>
        <w:widowControl w:val="0"/>
        <w:numPr>
          <w:ilvl w:val="0"/>
          <w:numId w:val="3"/>
        </w:numPr>
        <w:shd w:val="clear" w:color="auto" w:fill="auto"/>
        <w:tabs>
          <w:tab w:pos="746" w:val="left"/>
        </w:tabs>
        <w:bidi w:val="0"/>
        <w:spacing w:before="0" w:after="0" w:line="313" w:lineRule="exact"/>
        <w:ind w:left="0" w:right="0" w:firstLine="500"/>
        <w:jc w:val="both"/>
      </w:pPr>
      <w:bookmarkStart w:id="41" w:name="bookmark41"/>
      <w:bookmarkEnd w:id="41"/>
      <w:r>
        <w:rPr>
          <w:b/>
          <w:bCs/>
          <w:color w:val="000000"/>
          <w:spacing w:val="0"/>
          <w:w w:val="100"/>
          <w:position w:val="0"/>
        </w:rPr>
        <w:t>病毒肆虐掀起新一轮疫情反扑潮，全球经济复苏动力不足，宏观社会需求呈现动态变化</w:t>
      </w:r>
    </w:p>
    <w:p>
      <w:pPr>
        <w:pStyle w:val="Style2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全球疫情仍在持续，世界经济复苏动力不足，大宗商品价格高位波动，外部环境更趋复杂严峻和不确定。我国经济发 展面临需求收缩、供给冲击、预期转弱三重压力。房地产受多重管理体系的政策叠加影响进入低速增长，</w:t>
      </w:r>
      <w:r>
        <w:rPr>
          <w:rFonts w:ascii="Times New Roman" w:eastAsia="Times New Roman" w:hAnsi="Times New Roman" w:cs="Times New Roman"/>
          <w:color w:val="000000"/>
          <w:spacing w:val="0"/>
          <w:w w:val="100"/>
          <w:position w:val="0"/>
        </w:rPr>
        <w:t>2022</w:t>
      </w:r>
      <w:r>
        <w:rPr>
          <w:color w:val="000000"/>
          <w:spacing w:val="0"/>
          <w:w w:val="100"/>
          <w:position w:val="0"/>
        </w:rPr>
        <w:t>年度政府加强 对基建投资，行业转型绿色高质量发展，带来挑战的同时也有新机遇。</w:t>
      </w:r>
    </w:p>
    <w:p>
      <w:pPr>
        <w:pStyle w:val="Style20"/>
        <w:keepNext w:val="0"/>
        <w:keepLines w:val="0"/>
        <w:widowControl w:val="0"/>
        <w:numPr>
          <w:ilvl w:val="0"/>
          <w:numId w:val="3"/>
        </w:numPr>
        <w:shd w:val="clear" w:color="auto" w:fill="auto"/>
        <w:tabs>
          <w:tab w:pos="760" w:val="left"/>
        </w:tabs>
        <w:bidi w:val="0"/>
        <w:spacing w:before="0" w:after="0" w:line="313" w:lineRule="exact"/>
        <w:ind w:left="0" w:right="0" w:firstLine="500"/>
        <w:jc w:val="both"/>
      </w:pPr>
      <w:bookmarkStart w:id="42" w:name="bookmark42"/>
      <w:bookmarkEnd w:id="42"/>
      <w:r>
        <w:rPr>
          <w:b/>
          <w:bCs/>
          <w:color w:val="000000"/>
          <w:spacing w:val="0"/>
          <w:w w:val="100"/>
          <w:position w:val="0"/>
        </w:rPr>
        <w:t>极端气候变化导致灾难频繁，对公司所在行业的创新变革，特别是韧性城市安全设计与运行防控需求迫切</w:t>
      </w:r>
    </w:p>
    <w:p>
      <w:pPr>
        <w:pStyle w:val="Style2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随着全球温室气体的排放加剧，气候变化大概率引发极端气候条件和灾难，如印度北部冰川断裂引发洪水、德国和我 国郑州特大暴雨形成内涝等，城市安全问题日益凸显。我国东部沿海绝大部分城市基础设施运行都面临地震、台风、暴雨、 海啸等不可抗力影响，城市基础设施运行安全防控是亟待解决的迫切需求。建设人民的城市，关键是要把人民生命安全和身 体健康作为城市发展的基础目标。同时结合国家</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战略，城市安全问题对韧性城市规划设计、绿色市政、绿色建筑等提 出更高要求，传统市政、建筑行业亟待转型创新。</w:t>
      </w:r>
    </w:p>
    <w:p>
      <w:pPr>
        <w:pStyle w:val="Style20"/>
        <w:keepNext w:val="0"/>
        <w:keepLines w:val="0"/>
        <w:widowControl w:val="0"/>
        <w:shd w:val="clear" w:color="auto" w:fill="auto"/>
        <w:tabs>
          <w:tab w:pos="981" w:val="left"/>
        </w:tabs>
        <w:bidi w:val="0"/>
        <w:spacing w:before="0" w:after="0" w:line="313" w:lineRule="exact"/>
        <w:ind w:left="0" w:right="0" w:firstLine="500"/>
        <w:jc w:val="both"/>
      </w:pPr>
      <w:bookmarkStart w:id="43" w:name="bookmark43"/>
      <w:r>
        <w:rPr>
          <w:b/>
          <w:bCs/>
          <w:color w:val="000000"/>
          <w:spacing w:val="0"/>
          <w:w w:val="100"/>
          <w:position w:val="0"/>
        </w:rPr>
        <w:t>（</w:t>
      </w:r>
      <w:bookmarkEnd w:id="43"/>
      <w:r>
        <w:rPr>
          <w:b/>
          <w:bCs/>
          <w:color w:val="000000"/>
          <w:spacing w:val="0"/>
          <w:w w:val="100"/>
          <w:position w:val="0"/>
        </w:rPr>
        <w:t>二）</w:t>
        <w:tab/>
        <w:t>“双循环”“双碳”“双区叠加”多重国家战略目标为城市绿色发展和科技创新带来新挑战和新机遇</w:t>
      </w:r>
    </w:p>
    <w:p>
      <w:pPr>
        <w:pStyle w:val="Style20"/>
        <w:keepNext w:val="0"/>
        <w:keepLines w:val="0"/>
        <w:widowControl w:val="0"/>
        <w:numPr>
          <w:ilvl w:val="0"/>
          <w:numId w:val="5"/>
        </w:numPr>
        <w:shd w:val="clear" w:color="auto" w:fill="auto"/>
        <w:tabs>
          <w:tab w:pos="740" w:val="left"/>
        </w:tabs>
        <w:bidi w:val="0"/>
        <w:spacing w:before="0" w:after="0" w:line="313" w:lineRule="exact"/>
        <w:ind w:left="0" w:right="0" w:firstLine="500"/>
        <w:jc w:val="both"/>
      </w:pPr>
      <w:bookmarkStart w:id="44" w:name="bookmark44"/>
      <w:bookmarkEnd w:id="44"/>
      <w:r>
        <w:rPr>
          <w:b/>
          <w:bCs/>
          <w:color w:val="000000"/>
          <w:spacing w:val="0"/>
          <w:w w:val="100"/>
          <w:position w:val="0"/>
        </w:rPr>
        <w:t>“</w:t>
      </w:r>
      <w:r>
        <w:rPr>
          <w:b/>
          <w:bCs/>
          <w:color w:val="000000"/>
          <w:spacing w:val="0"/>
          <w:w w:val="100"/>
          <w:position w:val="0"/>
        </w:rPr>
        <w:t>双循环”新发展格局下，投资、技术、行业管理均面临突破挑战，需要加快推进现代建筑业高质量发展，引领行业 转型升级，同时行业竞争更为激烈</w:t>
      </w:r>
    </w:p>
    <w:p>
      <w:pPr>
        <w:pStyle w:val="Style2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当前</w:t>
      </w:r>
      <w:r>
        <w:rPr>
          <w:rFonts w:ascii="Times New Roman" w:eastAsia="Times New Roman" w:hAnsi="Times New Roman" w:cs="Times New Roman"/>
          <w:color w:val="000000"/>
          <w:spacing w:val="0"/>
          <w:w w:val="100"/>
          <w:position w:val="0"/>
        </w:rPr>
        <w:t>“</w:t>
      </w:r>
      <w:r>
        <w:rPr>
          <w:color w:val="000000"/>
          <w:spacing w:val="0"/>
          <w:w w:val="100"/>
          <w:position w:val="0"/>
        </w:rPr>
        <w:t>双循环</w:t>
      </w:r>
      <w:r>
        <w:rPr>
          <w:rFonts w:ascii="Times New Roman" w:eastAsia="Times New Roman" w:hAnsi="Times New Roman" w:cs="Times New Roman"/>
          <w:color w:val="000000"/>
          <w:spacing w:val="0"/>
          <w:w w:val="100"/>
          <w:position w:val="0"/>
        </w:rPr>
        <w:t>'</w:t>
      </w:r>
      <w:r>
        <w:rPr>
          <w:color w:val="000000"/>
          <w:spacing w:val="0"/>
          <w:w w:val="100"/>
          <w:position w:val="0"/>
        </w:rPr>
        <w:t>'经济发展格局以国内循环为主体、国内与国际双循环相互促进，面对国际环境挑战，投资聚焦持续推动 经济高质量稳定发展。传统房地产市场</w:t>
      </w:r>
      <w:r>
        <w:rPr>
          <w:rFonts w:ascii="Times New Roman" w:eastAsia="Times New Roman" w:hAnsi="Times New Roman" w:cs="Times New Roman"/>
          <w:color w:val="000000"/>
          <w:spacing w:val="0"/>
          <w:w w:val="100"/>
          <w:position w:val="0"/>
        </w:rPr>
        <w:t>2021</w:t>
      </w:r>
      <w:r>
        <w:rPr>
          <w:color w:val="000000"/>
          <w:spacing w:val="0"/>
          <w:w w:val="100"/>
          <w:position w:val="0"/>
        </w:rPr>
        <w:t>年先热后冷，年中行业下行压力显现并迅速加大，建设行业竞争压力加大。行业 面临结构性、体制性、周期性与突发性矛盾交织影响，整体发展环境的不确定性和复杂性加剧，大规模的重复、低质建设陆 续减少，工程咨询行业迫切需要进行提质升级。中共中央办公厅、国务院办公厅《关于推动城乡建设绿色发展的意见》（中 办发〔</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37</w:t>
      </w:r>
      <w:r>
        <w:rPr>
          <w:color w:val="000000"/>
          <w:spacing w:val="0"/>
          <w:w w:val="100"/>
          <w:position w:val="0"/>
        </w:rPr>
        <w:t>号）、《广东省促进建筑业高质量发展若干措施》（粤府办〔</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11</w:t>
      </w:r>
      <w:r>
        <w:rPr>
          <w:color w:val="000000"/>
          <w:spacing w:val="0"/>
          <w:w w:val="100"/>
          <w:position w:val="0"/>
        </w:rPr>
        <w:t>号）提出，坚持以人民为中心，完 整准确全面贯彻新发展理念，全力推动城市建设绿色发展，加快从传统建筑业向现代建筑业的转型，打造高科技含量的现 代建筑业，助力城市高品质建设。因此围绕</w:t>
      </w:r>
      <w:r>
        <w:rPr>
          <w:rFonts w:ascii="Times New Roman" w:eastAsia="Times New Roman" w:hAnsi="Times New Roman" w:cs="Times New Roman"/>
          <w:color w:val="000000"/>
          <w:spacing w:val="0"/>
          <w:w w:val="100"/>
          <w:position w:val="0"/>
        </w:rPr>
        <w:t>“</w:t>
      </w:r>
      <w:r>
        <w:rPr>
          <w:color w:val="000000"/>
          <w:spacing w:val="0"/>
          <w:w w:val="100"/>
          <w:position w:val="0"/>
        </w:rPr>
        <w:t>高质量发展</w:t>
      </w:r>
      <w:r>
        <w:rPr>
          <w:rFonts w:ascii="Times New Roman" w:eastAsia="Times New Roman" w:hAnsi="Times New Roman" w:cs="Times New Roman"/>
          <w:color w:val="000000"/>
          <w:spacing w:val="0"/>
          <w:w w:val="100"/>
          <w:position w:val="0"/>
        </w:rPr>
        <w:t>”</w:t>
      </w:r>
      <w:r>
        <w:rPr>
          <w:color w:val="000000"/>
          <w:spacing w:val="0"/>
          <w:w w:val="100"/>
          <w:position w:val="0"/>
        </w:rPr>
        <w:t>主题，公司需要持续创新，加快服务业务的转型迭代升级。</w:t>
      </w:r>
    </w:p>
    <w:p>
      <w:pPr>
        <w:pStyle w:val="Style2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同时，行业上下游企业，如：大型工程公司、施工单位、房地产企业等向建设和运营综合技术、全过程技术服务转型 明显，市场竞争环境明显变化、业务竞争进一步加剧，行业原有的竞争格局已经悄然发生了变化，公司技术竞争力建设和内 控管理提升也随之急迫。</w:t>
      </w:r>
    </w:p>
    <w:p>
      <w:pPr>
        <w:pStyle w:val="Style20"/>
        <w:keepNext w:val="0"/>
        <w:keepLines w:val="0"/>
        <w:widowControl w:val="0"/>
        <w:numPr>
          <w:ilvl w:val="0"/>
          <w:numId w:val="5"/>
        </w:numPr>
        <w:shd w:val="clear" w:color="auto" w:fill="auto"/>
        <w:tabs>
          <w:tab w:pos="760" w:val="left"/>
        </w:tabs>
        <w:bidi w:val="0"/>
        <w:spacing w:before="0" w:after="0" w:line="313" w:lineRule="exact"/>
        <w:ind w:left="0" w:right="0" w:firstLine="500"/>
        <w:jc w:val="both"/>
      </w:pPr>
      <w:bookmarkStart w:id="45" w:name="bookmark45"/>
      <w:bookmarkEnd w:id="45"/>
      <w:r>
        <w:rPr>
          <w:b/>
          <w:bCs/>
          <w:color w:val="000000"/>
          <w:spacing w:val="0"/>
          <w:w w:val="100"/>
          <w:position w:val="0"/>
        </w:rPr>
        <w:t>“双碳”目标改变城市发展和建筑行业目标与路径，创造了新挑战和新机遇</w:t>
      </w:r>
    </w:p>
    <w:p>
      <w:pPr>
        <w:pStyle w:val="Style20"/>
        <w:keepNext w:val="0"/>
        <w:keepLines w:val="0"/>
        <w:widowControl w:val="0"/>
        <w:shd w:val="clear" w:color="auto" w:fill="auto"/>
        <w:bidi w:val="0"/>
        <w:spacing w:before="0" w:after="0" w:line="313" w:lineRule="exact"/>
        <w:ind w:left="0" w:right="0" w:firstLine="500"/>
        <w:jc w:val="both"/>
      </w:pP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是低碳发展持续深化、国家自主贡献稳步落实的重要时期。党中央、国务院已成立碳达峰碳中和工作领导小 组，已发布《中共中央国务院关于完整准确全面贯彻新发展理念做好碳达峰碳中和工作的意见》《</w:t>
      </w:r>
      <w:r>
        <w:rPr>
          <w:rFonts w:ascii="Times New Roman" w:eastAsia="Times New Roman" w:hAnsi="Times New Roman" w:cs="Times New Roman"/>
          <w:color w:val="000000"/>
          <w:spacing w:val="0"/>
          <w:w w:val="100"/>
          <w:position w:val="0"/>
        </w:rPr>
        <w:t>2030</w:t>
      </w:r>
      <w:r>
        <w:rPr>
          <w:color w:val="000000"/>
          <w:spacing w:val="0"/>
          <w:w w:val="100"/>
          <w:position w:val="0"/>
        </w:rPr>
        <w:t>年前碳达峰行动方 案》，各行业及各重点领域实施方案、相关保障措施将陆续发布，形成碳达峰、碳中和</w:t>
      </w:r>
      <w:r>
        <w:rPr>
          <w:rFonts w:ascii="Times New Roman" w:eastAsia="Times New Roman" w:hAnsi="Times New Roman" w:cs="Times New Roman"/>
          <w:color w:val="000000"/>
          <w:spacing w:val="0"/>
          <w:w w:val="100"/>
          <w:position w:val="0"/>
        </w:rPr>
        <w:t>“1+N”</w:t>
      </w:r>
      <w:r>
        <w:rPr>
          <w:color w:val="000000"/>
          <w:spacing w:val="0"/>
          <w:w w:val="100"/>
          <w:position w:val="0"/>
        </w:rPr>
        <w:t>政策体系，明确时间表、路线 图、施工图。在优化能源结构、推进节能低碳建筑和低碳设施、构建绿色低碳交通运输体系、推动绿色低碳技术创新、建立 完善碳市场和碳定价机制等主要领域采取一系列政策措施，加速转型和创新。公司作为国内知名、领先的绿色建筑和绿色城 市全过程技术服务提供者，一直坚持为城市绿色低碳发展提供规划设计、咨询检测、建设管理以及运营服务等综合解决方案， 公司二十多年的绿色研发技术积累将更有利于抓住</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新机遇。由于国家战略的引导，更多主体将关注并转型进入城市绿 色低碳发展领域，公司也将面临如何将先发优势转变为业务竞争优势的新挑战。公司将承担国企上市公司责任担当，继续创 新探索</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背景下增长能力释放，并为国家和城市的</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发展继续探索、验证、推广相关体系、技术、模式。</w:t>
      </w:r>
    </w:p>
    <w:p>
      <w:pPr>
        <w:pStyle w:val="Style20"/>
        <w:keepNext w:val="0"/>
        <w:keepLines w:val="0"/>
        <w:widowControl w:val="0"/>
        <w:numPr>
          <w:ilvl w:val="0"/>
          <w:numId w:val="5"/>
        </w:numPr>
        <w:shd w:val="clear" w:color="auto" w:fill="auto"/>
        <w:tabs>
          <w:tab w:pos="760" w:val="left"/>
        </w:tabs>
        <w:bidi w:val="0"/>
        <w:spacing w:before="0" w:after="0" w:line="313" w:lineRule="exact"/>
        <w:ind w:left="0" w:right="0" w:firstLine="500"/>
        <w:jc w:val="both"/>
      </w:pPr>
      <w:bookmarkStart w:id="46" w:name="bookmark46"/>
      <w:bookmarkEnd w:id="46"/>
      <w:r>
        <w:rPr>
          <w:b/>
          <w:bCs/>
          <w:color w:val="000000"/>
          <w:spacing w:val="0"/>
          <w:w w:val="100"/>
          <w:position w:val="0"/>
        </w:rPr>
        <w:t>“双区”驱动、“双区”叠加、“双改”示范的重大历史机遇，为“自主创新”“陪伴式服务”为特色的发展之路创造机会</w:t>
      </w:r>
    </w:p>
    <w:p>
      <w:pPr>
        <w:pStyle w:val="Style20"/>
        <w:keepNext w:val="0"/>
        <w:keepLines w:val="0"/>
        <w:widowControl w:val="0"/>
        <w:shd w:val="clear" w:color="auto" w:fill="auto"/>
        <w:bidi w:val="0"/>
        <w:spacing w:before="0" w:after="140" w:line="313" w:lineRule="exact"/>
        <w:ind w:left="0" w:right="0" w:firstLine="500"/>
        <w:jc w:val="both"/>
      </w:pPr>
      <w:r>
        <w:rPr>
          <w:color w:val="000000"/>
          <w:spacing w:val="0"/>
          <w:w w:val="100"/>
          <w:position w:val="0"/>
        </w:rPr>
        <w:t>粤港澳大湾区、中国特色社会主义先行示范区</w:t>
      </w:r>
      <w:r>
        <w:rPr>
          <w:rFonts w:ascii="Times New Roman" w:eastAsia="Times New Roman" w:hAnsi="Times New Roman" w:cs="Times New Roman"/>
          <w:color w:val="000000"/>
          <w:spacing w:val="0"/>
          <w:w w:val="100"/>
          <w:position w:val="0"/>
        </w:rPr>
        <w:t>“</w:t>
      </w:r>
      <w:r>
        <w:rPr>
          <w:color w:val="000000"/>
          <w:spacing w:val="0"/>
          <w:w w:val="100"/>
          <w:position w:val="0"/>
        </w:rPr>
        <w:t>双区</w:t>
      </w:r>
      <w:r>
        <w:rPr>
          <w:rFonts w:ascii="Times New Roman" w:eastAsia="Times New Roman" w:hAnsi="Times New Roman" w:cs="Times New Roman"/>
          <w:color w:val="000000"/>
          <w:spacing w:val="0"/>
          <w:w w:val="100"/>
          <w:position w:val="0"/>
        </w:rPr>
        <w:t>”</w:t>
      </w:r>
      <w:r>
        <w:rPr>
          <w:color w:val="000000"/>
          <w:spacing w:val="0"/>
          <w:w w:val="100"/>
          <w:position w:val="0"/>
        </w:rPr>
        <w:t>建设为公司总部所在区域的业务需求、服务创新、技术变革等提 供了更多元化的要求和机遇。</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是碳达峰的关键期、窗口期。公司紧跟政策变化，始终以</w:t>
      </w:r>
      <w:r>
        <w:rPr>
          <w:rFonts w:ascii="Times New Roman" w:eastAsia="Times New Roman" w:hAnsi="Times New Roman" w:cs="Times New Roman"/>
          <w:color w:val="000000"/>
          <w:spacing w:val="0"/>
          <w:w w:val="100"/>
          <w:position w:val="0"/>
        </w:rPr>
        <w:t>“</w:t>
      </w:r>
      <w:r>
        <w:rPr>
          <w:color w:val="000000"/>
          <w:spacing w:val="0"/>
          <w:w w:val="100"/>
          <w:position w:val="0"/>
        </w:rPr>
        <w:t>中国绿色城市价值创造者</w:t>
      </w:r>
      <w:r>
        <w:rPr>
          <w:rFonts w:ascii="Times New Roman" w:eastAsia="Times New Roman" w:hAnsi="Times New Roman" w:cs="Times New Roman"/>
          <w:color w:val="000000"/>
          <w:spacing w:val="0"/>
          <w:w w:val="100"/>
          <w:position w:val="0"/>
        </w:rPr>
        <w:t xml:space="preserve">” </w:t>
      </w:r>
      <w:r>
        <w:rPr>
          <w:color w:val="000000"/>
          <w:spacing w:val="0"/>
          <w:w w:val="100"/>
          <w:position w:val="0"/>
        </w:rPr>
        <w:t>的使命、国际化绿色科技产业集团为发展目标的发展战略，着重建立面向绿色、低碳城市的科技集成创新能力和产业孵化体</w:t>
      </w:r>
    </w:p>
    <w:p>
      <w:pPr>
        <w:pStyle w:val="Style20"/>
        <w:keepNext w:val="0"/>
        <w:keepLines w:val="0"/>
        <w:widowControl w:val="0"/>
        <w:shd w:val="clear" w:color="auto" w:fill="auto"/>
        <w:bidi w:val="0"/>
        <w:spacing w:before="0" w:after="0" w:line="312" w:lineRule="exact"/>
        <w:ind w:left="0" w:right="0" w:firstLine="4940"/>
        <w:jc w:val="left"/>
      </w:pPr>
      <w:r>
        <w:rPr>
          <w:color w:val="000000"/>
          <w:spacing w:val="0"/>
          <w:w w:val="100"/>
          <w:position w:val="0"/>
          <w:u w:val="single"/>
        </w:rPr>
        <w:t>深圳市建筑科学研究院股份有限公司</w:t>
      </w:r>
      <w:r>
        <w:rPr>
          <w:rFonts w:ascii="Times New Roman" w:eastAsia="Times New Roman" w:hAnsi="Times New Roman" w:cs="Times New Roman"/>
          <w:color w:val="000000"/>
          <w:spacing w:val="0"/>
          <w:w w:val="100"/>
          <w:position w:val="0"/>
          <w:u w:val="single"/>
        </w:rPr>
        <w:t>2021</w:t>
      </w:r>
      <w:r>
        <w:rPr>
          <w:color w:val="000000"/>
          <w:spacing w:val="0"/>
          <w:w w:val="100"/>
          <w:position w:val="0"/>
          <w:u w:val="single"/>
        </w:rPr>
        <w:t xml:space="preserve">年年度报告全文 </w:t>
      </w:r>
      <w:r>
        <w:rPr>
          <w:color w:val="000000"/>
          <w:spacing w:val="0"/>
          <w:w w:val="100"/>
          <w:position w:val="0"/>
        </w:rPr>
        <w:t>系，坚持以创新、协调、绿色、开放、共享的新发展理念为引领，以内涵集约、绿色低碳发展为路径，树立建筑全寿命期管 理意识，对接</w:t>
      </w:r>
      <w:r>
        <w:rPr>
          <w:rFonts w:ascii="Times New Roman" w:eastAsia="Times New Roman" w:hAnsi="Times New Roman" w:cs="Times New Roman"/>
          <w:color w:val="000000"/>
          <w:spacing w:val="0"/>
          <w:w w:val="100"/>
          <w:position w:val="0"/>
        </w:rPr>
        <w:t>“</w:t>
      </w:r>
      <w:r>
        <w:rPr>
          <w:color w:val="000000"/>
          <w:spacing w:val="0"/>
          <w:w w:val="100"/>
          <w:position w:val="0"/>
        </w:rPr>
        <w:t>新基建</w:t>
      </w:r>
      <w:r>
        <w:rPr>
          <w:rFonts w:ascii="Times New Roman" w:eastAsia="Times New Roman" w:hAnsi="Times New Roman" w:cs="Times New Roman"/>
          <w:color w:val="000000"/>
          <w:spacing w:val="0"/>
          <w:w w:val="100"/>
          <w:position w:val="0"/>
        </w:rPr>
        <w:t>”</w:t>
      </w:r>
      <w:r>
        <w:rPr>
          <w:color w:val="000000"/>
          <w:spacing w:val="0"/>
          <w:w w:val="100"/>
          <w:position w:val="0"/>
        </w:rPr>
        <w:t>，服务</w:t>
      </w:r>
      <w:r>
        <w:rPr>
          <w:rFonts w:ascii="Times New Roman" w:eastAsia="Times New Roman" w:hAnsi="Times New Roman" w:cs="Times New Roman"/>
          <w:color w:val="000000"/>
          <w:spacing w:val="0"/>
          <w:w w:val="100"/>
          <w:position w:val="0"/>
        </w:rPr>
        <w:t>“</w:t>
      </w:r>
      <w:r>
        <w:rPr>
          <w:color w:val="000000"/>
          <w:spacing w:val="0"/>
          <w:w w:val="100"/>
          <w:position w:val="0"/>
        </w:rPr>
        <w:t>新城建</w:t>
      </w:r>
      <w:r>
        <w:rPr>
          <w:rFonts w:ascii="Times New Roman" w:eastAsia="Times New Roman" w:hAnsi="Times New Roman" w:cs="Times New Roman"/>
          <w:color w:val="000000"/>
          <w:spacing w:val="0"/>
          <w:w w:val="100"/>
          <w:position w:val="0"/>
        </w:rPr>
        <w:t>”</w:t>
      </w:r>
      <w:r>
        <w:rPr>
          <w:color w:val="000000"/>
          <w:spacing w:val="0"/>
          <w:w w:val="100"/>
          <w:position w:val="0"/>
        </w:rPr>
        <w:t>，加快公司业务的转型升级，大力推动技术研究、成果转化、应用示范到产业化推广 的全过程工程建设科技创新体系，以适应市场的服务需求。通过科技创新提升城市绿色、低碳发展的综合技术服务能力、 市场竞争能力，坚持走以</w:t>
      </w:r>
      <w:r>
        <w:rPr>
          <w:rFonts w:ascii="Times New Roman" w:eastAsia="Times New Roman" w:hAnsi="Times New Roman" w:cs="Times New Roman"/>
          <w:color w:val="000000"/>
          <w:spacing w:val="0"/>
          <w:w w:val="100"/>
          <w:position w:val="0"/>
        </w:rPr>
        <w:t>“</w:t>
      </w:r>
      <w:r>
        <w:rPr>
          <w:color w:val="000000"/>
          <w:spacing w:val="0"/>
          <w:w w:val="100"/>
          <w:position w:val="0"/>
        </w:rPr>
        <w:t>自主创新</w:t>
      </w:r>
      <w:r>
        <w:rPr>
          <w:rFonts w:ascii="Times New Roman" w:eastAsia="Times New Roman" w:hAnsi="Times New Roman" w:cs="Times New Roman"/>
          <w:color w:val="000000"/>
          <w:spacing w:val="0"/>
          <w:w w:val="100"/>
          <w:position w:val="0"/>
        </w:rPr>
        <w:t>”</w:t>
      </w:r>
      <w:r>
        <w:rPr>
          <w:color w:val="000000"/>
          <w:spacing w:val="0"/>
          <w:w w:val="100"/>
          <w:position w:val="0"/>
        </w:rPr>
        <w:t>为核心竞争力、以面向城市绿色发展</w:t>
      </w:r>
      <w:r>
        <w:rPr>
          <w:rFonts w:ascii="Times New Roman" w:eastAsia="Times New Roman" w:hAnsi="Times New Roman" w:cs="Times New Roman"/>
          <w:color w:val="000000"/>
          <w:spacing w:val="0"/>
          <w:w w:val="100"/>
          <w:position w:val="0"/>
        </w:rPr>
        <w:t>“</w:t>
      </w:r>
      <w:r>
        <w:rPr>
          <w:color w:val="000000"/>
          <w:spacing w:val="0"/>
          <w:w w:val="100"/>
          <w:position w:val="0"/>
        </w:rPr>
        <w:t>陪伴式服务</w:t>
      </w:r>
      <w:r>
        <w:rPr>
          <w:rFonts w:ascii="Times New Roman" w:eastAsia="Times New Roman" w:hAnsi="Times New Roman" w:cs="Times New Roman"/>
          <w:color w:val="000000"/>
          <w:spacing w:val="0"/>
          <w:w w:val="100"/>
          <w:position w:val="0"/>
        </w:rPr>
        <w:t>”</w:t>
      </w:r>
      <w:r>
        <w:rPr>
          <w:color w:val="000000"/>
          <w:spacing w:val="0"/>
          <w:w w:val="100"/>
          <w:position w:val="0"/>
        </w:rPr>
        <w:t>为业务策略的企业发展之路。</w:t>
      </w:r>
    </w:p>
    <w:p>
      <w:pPr>
        <w:pStyle w:val="Style20"/>
        <w:keepNext w:val="0"/>
        <w:keepLines w:val="0"/>
        <w:widowControl w:val="0"/>
        <w:numPr>
          <w:ilvl w:val="0"/>
          <w:numId w:val="5"/>
        </w:numPr>
        <w:shd w:val="clear" w:color="auto" w:fill="auto"/>
        <w:bidi w:val="0"/>
        <w:spacing w:before="0" w:after="0" w:line="312" w:lineRule="exact"/>
        <w:ind w:left="0" w:right="0" w:firstLine="500"/>
        <w:jc w:val="left"/>
      </w:pPr>
      <w:bookmarkStart w:id="47" w:name="bookmark47"/>
      <w:bookmarkEnd w:id="47"/>
      <w:r>
        <w:rPr>
          <w:b/>
          <w:bCs/>
          <w:color w:val="000000"/>
          <w:spacing w:val="0"/>
          <w:w w:val="100"/>
          <w:position w:val="0"/>
        </w:rPr>
        <w:t>公司在上述大背景下通过加强“城市客户”市场战略和“科技创新成果转化”，加快变革突破</w:t>
      </w:r>
    </w:p>
    <w:p>
      <w:pPr>
        <w:pStyle w:val="Style2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一方面，以习近平论建立高质量的城市生态系统和安全系统观点为核心，在生态文明思想和总体国家安全观指导下制 定公司</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发展规划，以服务打造宜居城市、韧性城市、智能城市为目标，全面创新融合提升公司城市生态和安全领域 的全过程、多层级的综合技术服务能力。通过</w:t>
      </w:r>
      <w:r>
        <w:rPr>
          <w:rFonts w:ascii="Times New Roman" w:eastAsia="Times New Roman" w:hAnsi="Times New Roman" w:cs="Times New Roman"/>
          <w:color w:val="000000"/>
          <w:spacing w:val="0"/>
          <w:w w:val="100"/>
          <w:position w:val="0"/>
        </w:rPr>
        <w:t>11</w:t>
      </w:r>
      <w:r>
        <w:rPr>
          <w:color w:val="000000"/>
          <w:spacing w:val="0"/>
          <w:w w:val="100"/>
          <w:position w:val="0"/>
        </w:rPr>
        <w:t>年的优地指数研究积累，从城市生态本底诊断、生态空间修复、绿色转型路 径等方面深化提升现有业务，在实践中将研究转化为落地方案，培育新业务板块。公司组建城市安全研究团队，研究结合建 筑物安全构成要素、各类基础地理数据和生态安全格局数据，基于</w:t>
      </w:r>
      <w:r>
        <w:rPr>
          <w:rFonts w:ascii="Times New Roman" w:eastAsia="Times New Roman" w:hAnsi="Times New Roman" w:cs="Times New Roman"/>
          <w:color w:val="000000"/>
          <w:spacing w:val="0"/>
          <w:w w:val="100"/>
          <w:position w:val="0"/>
        </w:rPr>
        <w:t>GIS</w:t>
      </w:r>
      <w:r>
        <w:rPr>
          <w:color w:val="000000"/>
          <w:spacing w:val="0"/>
          <w:w w:val="100"/>
          <w:position w:val="0"/>
        </w:rPr>
        <w:t>平台搭建生态安全格局数据库，建立建筑物安全数据 库，旨在绘制城市、社区安全地图，为城市安全设计与防控提供专业技术咨询服务。</w:t>
      </w:r>
    </w:p>
    <w:p>
      <w:pPr>
        <w:pStyle w:val="Style20"/>
        <w:keepNext w:val="0"/>
        <w:keepLines w:val="0"/>
        <w:widowControl w:val="0"/>
        <w:shd w:val="clear" w:color="auto" w:fill="auto"/>
        <w:bidi w:val="0"/>
        <w:spacing w:before="0" w:after="360" w:line="313" w:lineRule="exact"/>
        <w:ind w:left="0" w:right="0" w:firstLine="380"/>
        <w:jc w:val="both"/>
      </w:pPr>
      <w:r>
        <w:rPr>
          <w:color w:val="000000"/>
          <w:spacing w:val="0"/>
          <w:w w:val="100"/>
          <w:position w:val="0"/>
        </w:rPr>
        <w:t>另一方面，公司主营业务始终聚焦在两大板块，结合</w:t>
      </w:r>
      <w:r>
        <w:rPr>
          <w:rFonts w:ascii="Times New Roman" w:eastAsia="Times New Roman" w:hAnsi="Times New Roman" w:cs="Times New Roman"/>
          <w:color w:val="000000"/>
          <w:spacing w:val="0"/>
          <w:w w:val="100"/>
          <w:position w:val="0"/>
        </w:rPr>
        <w:t>“</w:t>
      </w:r>
      <w:r>
        <w:rPr>
          <w:color w:val="000000"/>
          <w:spacing w:val="0"/>
          <w:w w:val="100"/>
          <w:position w:val="0"/>
        </w:rPr>
        <w:t>科改</w:t>
      </w:r>
      <w:r>
        <w:rPr>
          <w:rFonts w:ascii="Times New Roman" w:eastAsia="Times New Roman" w:hAnsi="Times New Roman" w:cs="Times New Roman"/>
          <w:color w:val="000000"/>
          <w:spacing w:val="0"/>
          <w:w w:val="100"/>
          <w:position w:val="0"/>
        </w:rPr>
        <w:t>”</w:t>
      </w:r>
      <w:r>
        <w:rPr>
          <w:color w:val="000000"/>
          <w:spacing w:val="0"/>
          <w:w w:val="100"/>
          <w:position w:val="0"/>
        </w:rPr>
        <w:t xml:space="preserve">契机，提升综合服务效能，加快科技储备转化，提升经营服 务的科技含量，加强科技成果转化为现金流业务，突出两大板块业务链的综合整合协同效应，将涵盖城市规划、建筑设计、 </w:t>
      </w:r>
      <w:r>
        <w:rPr>
          <w:rFonts w:ascii="Times New Roman" w:eastAsia="Times New Roman" w:hAnsi="Times New Roman" w:cs="Times New Roman"/>
          <w:color w:val="000000"/>
          <w:spacing w:val="0"/>
          <w:w w:val="100"/>
          <w:position w:val="0"/>
        </w:rPr>
        <w:t>EPC</w:t>
      </w:r>
      <w:r>
        <w:rPr>
          <w:color w:val="000000"/>
          <w:spacing w:val="0"/>
          <w:w w:val="100"/>
          <w:position w:val="0"/>
        </w:rPr>
        <w:t>及项目全过程管理、绿色建设运营服务等业务的</w:t>
      </w:r>
      <w:r>
        <w:rPr>
          <w:rFonts w:ascii="Times New Roman" w:eastAsia="Times New Roman" w:hAnsi="Times New Roman" w:cs="Times New Roman"/>
          <w:color w:val="000000"/>
          <w:spacing w:val="0"/>
          <w:w w:val="100"/>
          <w:position w:val="0"/>
        </w:rPr>
        <w:t>“</w:t>
      </w:r>
      <w:r>
        <w:rPr>
          <w:color w:val="000000"/>
          <w:spacing w:val="0"/>
          <w:w w:val="100"/>
          <w:position w:val="0"/>
        </w:rPr>
        <w:t>城市绿色发展全过程技术服务业务板块</w:t>
      </w:r>
      <w:r>
        <w:rPr>
          <w:rFonts w:ascii="Times New Roman" w:eastAsia="Times New Roman" w:hAnsi="Times New Roman" w:cs="Times New Roman"/>
          <w:color w:val="000000"/>
          <w:spacing w:val="0"/>
          <w:w w:val="100"/>
          <w:position w:val="0"/>
        </w:rPr>
        <w:t>”</w:t>
      </w:r>
      <w:r>
        <w:rPr>
          <w:color w:val="000000"/>
          <w:spacing w:val="0"/>
          <w:w w:val="100"/>
          <w:position w:val="0"/>
        </w:rPr>
        <w:t>和涵盖检测、检验、认证、绿 色建筑设计优化、工程性能质量检测检验认证、综合技术研究咨询等业务的</w:t>
      </w:r>
      <w:r>
        <w:rPr>
          <w:rFonts w:ascii="Times New Roman" w:eastAsia="Times New Roman" w:hAnsi="Times New Roman" w:cs="Times New Roman"/>
          <w:color w:val="000000"/>
          <w:spacing w:val="0"/>
          <w:w w:val="100"/>
          <w:position w:val="0"/>
        </w:rPr>
        <w:t>“</w:t>
      </w:r>
      <w:r>
        <w:rPr>
          <w:color w:val="000000"/>
          <w:spacing w:val="0"/>
          <w:w w:val="100"/>
          <w:position w:val="0"/>
        </w:rPr>
        <w:t>绿色人居公信全过程技术服务业务板块</w:t>
      </w:r>
      <w:r>
        <w:rPr>
          <w:rFonts w:ascii="Times New Roman" w:eastAsia="Times New Roman" w:hAnsi="Times New Roman" w:cs="Times New Roman"/>
          <w:color w:val="000000"/>
          <w:spacing w:val="0"/>
          <w:w w:val="100"/>
          <w:position w:val="0"/>
        </w:rPr>
        <w:t>”</w:t>
      </w:r>
      <w:r>
        <w:rPr>
          <w:color w:val="000000"/>
          <w:spacing w:val="0"/>
          <w:w w:val="100"/>
          <w:position w:val="0"/>
        </w:rPr>
        <w:t>形成更 为紧密的综合服务能力。加快推动</w:t>
      </w:r>
      <w:r>
        <w:rPr>
          <w:rFonts w:ascii="Times New Roman" w:eastAsia="Times New Roman" w:hAnsi="Times New Roman" w:cs="Times New Roman"/>
          <w:color w:val="000000"/>
          <w:spacing w:val="0"/>
          <w:w w:val="100"/>
          <w:position w:val="0"/>
        </w:rPr>
        <w:t>“</w:t>
      </w:r>
      <w:r>
        <w:rPr>
          <w:color w:val="000000"/>
          <w:spacing w:val="0"/>
          <w:w w:val="100"/>
          <w:position w:val="0"/>
        </w:rPr>
        <w:t>城市客户</w:t>
      </w:r>
      <w:r>
        <w:rPr>
          <w:rFonts w:ascii="Times New Roman" w:eastAsia="Times New Roman" w:hAnsi="Times New Roman" w:cs="Times New Roman"/>
          <w:color w:val="000000"/>
          <w:spacing w:val="0"/>
          <w:w w:val="100"/>
          <w:position w:val="0"/>
        </w:rPr>
        <w:t>”</w:t>
      </w:r>
      <w:r>
        <w:rPr>
          <w:color w:val="000000"/>
          <w:spacing w:val="0"/>
          <w:w w:val="100"/>
          <w:position w:val="0"/>
        </w:rPr>
        <w:t>市场战略，将按业务来源分布的全国各区域升级为整合市场、科研、生产等资 源在全国布局的公司。以深圳总部为核心，辐射粤港澳大湾区；以雄安总部深度参与</w:t>
      </w:r>
      <w:r>
        <w:rPr>
          <w:rFonts w:ascii="Times New Roman" w:eastAsia="Times New Roman" w:hAnsi="Times New Roman" w:cs="Times New Roman"/>
          <w:color w:val="000000"/>
          <w:spacing w:val="0"/>
          <w:w w:val="100"/>
          <w:position w:val="0"/>
        </w:rPr>
        <w:t>“</w:t>
      </w:r>
      <w:r>
        <w:rPr>
          <w:color w:val="000000"/>
          <w:spacing w:val="0"/>
          <w:w w:val="100"/>
          <w:position w:val="0"/>
        </w:rPr>
        <w:t>绿色雄安</w:t>
      </w:r>
      <w:r>
        <w:rPr>
          <w:rFonts w:ascii="Times New Roman" w:eastAsia="Times New Roman" w:hAnsi="Times New Roman" w:cs="Times New Roman"/>
          <w:color w:val="000000"/>
          <w:spacing w:val="0"/>
          <w:w w:val="100"/>
          <w:position w:val="0"/>
        </w:rPr>
        <w:t>”</w:t>
      </w:r>
      <w:r>
        <w:rPr>
          <w:color w:val="000000"/>
          <w:spacing w:val="0"/>
          <w:w w:val="100"/>
          <w:position w:val="0"/>
        </w:rPr>
        <w:t>战略，推动雄安新区绿色城 市建设模式和技术体系创新，探索集团化发展的路径；以绿色技术总顾问单位核心参与城市设计，创新设置首席绿色生态总 师，突破传统的总规划师、总建筑师、总工程师的专业划分，创新整合业务模式，强化业务集中度，面向城市绿色发展需求， 进一步发挥公司综合技术服务优势，提升公司在核心城市群的业务竞争力和业务规模。</w:t>
      </w:r>
    </w:p>
    <w:p>
      <w:pPr>
        <w:pStyle w:val="Style26"/>
        <w:keepNext w:val="0"/>
        <w:keepLines w:val="0"/>
        <w:widowControl w:val="0"/>
        <w:shd w:val="clear" w:color="auto" w:fill="auto"/>
        <w:bidi w:val="0"/>
        <w:spacing w:before="0" w:after="260" w:line="240" w:lineRule="auto"/>
        <w:ind w:left="0" w:right="0" w:firstLine="0"/>
        <w:jc w:val="left"/>
      </w:pPr>
      <w:bookmarkStart w:id="48" w:name="bookmark48"/>
      <w:r>
        <w:rPr>
          <w:color w:val="000000"/>
          <w:spacing w:val="0"/>
          <w:w w:val="100"/>
          <w:position w:val="0"/>
          <w:sz w:val="24"/>
          <w:szCs w:val="24"/>
        </w:rPr>
        <w:t>二</w:t>
      </w:r>
      <w:bookmarkEnd w:id="48"/>
      <w:r>
        <w:rPr>
          <w:color w:val="000000"/>
          <w:spacing w:val="0"/>
          <w:w w:val="100"/>
          <w:position w:val="0"/>
          <w:sz w:val="24"/>
          <w:szCs w:val="24"/>
        </w:rPr>
        <w:t>、报告期内公司从事的主要业务</w:t>
      </w:r>
    </w:p>
    <w:p>
      <w:pPr>
        <w:pStyle w:val="Style20"/>
        <w:keepNext w:val="0"/>
        <w:keepLines w:val="0"/>
        <w:widowControl w:val="0"/>
        <w:shd w:val="clear" w:color="auto" w:fill="auto"/>
        <w:bidi w:val="0"/>
        <w:spacing w:before="0" w:after="0" w:line="314" w:lineRule="exact"/>
        <w:ind w:left="0" w:right="0" w:firstLine="500"/>
        <w:jc w:val="left"/>
      </w:pPr>
      <w:r>
        <w:rPr>
          <w:color w:val="000000"/>
          <w:spacing w:val="0"/>
          <w:w w:val="100"/>
          <w:position w:val="0"/>
        </w:rPr>
        <w:t>公司以绿色、生态、低碳理念为指导，以本土化、低成本、精细、适宜的技术路线为特色，以全生命周期服务为手 段，面向城市绿色发展，逐步形成涵盖</w:t>
      </w:r>
      <w:r>
        <w:rPr>
          <w:b/>
          <w:bCs/>
          <w:color w:val="000000"/>
          <w:spacing w:val="0"/>
          <w:w w:val="100"/>
          <w:position w:val="0"/>
        </w:rPr>
        <w:t>“生态诊断、平衡规划、动态实施、智慧运营、持续评估”</w:t>
      </w:r>
      <w:r>
        <w:rPr>
          <w:color w:val="000000"/>
          <w:spacing w:val="0"/>
          <w:w w:val="100"/>
          <w:position w:val="0"/>
        </w:rPr>
        <w:t>的全链条低碳规划技术服 务产品创新体系，提供涵盖科研、规划、设计、咨询、检测、项目管理以及运营等全过程所需综合解决方案，逐步发展成 为国内知名、领先的绿色建筑和绿色城市技术服务提供者。</w:t>
      </w:r>
    </w:p>
    <w:p>
      <w:pPr>
        <w:pStyle w:val="Style20"/>
        <w:keepNext w:val="0"/>
        <w:keepLines w:val="0"/>
        <w:widowControl w:val="0"/>
        <w:shd w:val="clear" w:color="auto" w:fill="auto"/>
        <w:bidi w:val="0"/>
        <w:spacing w:before="0" w:after="0" w:line="314" w:lineRule="exact"/>
        <w:ind w:left="0" w:right="0" w:firstLine="500"/>
        <w:jc w:val="left"/>
      </w:pPr>
      <w:bookmarkStart w:id="49" w:name="bookmark49"/>
      <w:r>
        <w:rPr>
          <w:b/>
          <w:bCs/>
          <w:color w:val="000000"/>
          <w:spacing w:val="0"/>
          <w:w w:val="100"/>
          <w:position w:val="0"/>
        </w:rPr>
        <w:t>（</w:t>
      </w:r>
      <w:bookmarkEnd w:id="49"/>
      <w:r>
        <w:rPr>
          <w:b/>
          <w:bCs/>
          <w:color w:val="000000"/>
          <w:spacing w:val="0"/>
          <w:w w:val="100"/>
          <w:position w:val="0"/>
        </w:rPr>
        <w:t>一）公司主营业务集中在“城市绿色发展全过程技术”服务和“绿色人居公信全过程技术”服务两大全过程技术服务 业务板块</w:t>
      </w:r>
    </w:p>
    <w:p>
      <w:pPr>
        <w:pStyle w:val="Style20"/>
        <w:keepNext w:val="0"/>
        <w:keepLines w:val="0"/>
        <w:widowControl w:val="0"/>
        <w:shd w:val="clear" w:color="auto" w:fill="auto"/>
        <w:bidi w:val="0"/>
        <w:spacing w:before="0" w:after="0" w:line="314" w:lineRule="exact"/>
        <w:ind w:left="0" w:right="0" w:firstLine="500"/>
        <w:jc w:val="left"/>
      </w:pPr>
      <w:r>
        <w:rPr>
          <w:color w:val="000000"/>
          <w:spacing w:val="0"/>
          <w:w w:val="100"/>
          <w:position w:val="0"/>
        </w:rPr>
        <w:t>板块一：在城市绿色发展服务板块中，公司提供城市规划、建筑设计等技术咨询服务业务，是公司多年形成的核心 主营业务之一：</w:t>
      </w:r>
    </w:p>
    <w:p>
      <w:pPr>
        <w:pStyle w:val="Style20"/>
        <w:keepNext w:val="0"/>
        <w:keepLines w:val="0"/>
        <w:widowControl w:val="0"/>
        <w:shd w:val="clear" w:color="auto" w:fill="auto"/>
        <w:bidi w:val="0"/>
        <w:spacing w:before="0" w:after="0" w:line="314" w:lineRule="exact"/>
        <w:ind w:left="0" w:right="0" w:firstLine="500"/>
        <w:jc w:val="left"/>
      </w:pPr>
      <w:r>
        <w:rPr>
          <w:color w:val="000000"/>
          <w:spacing w:val="0"/>
          <w:w w:val="100"/>
          <w:position w:val="0"/>
        </w:rPr>
        <w:t>城市规划业务，是公司综合生态经济学知识和现代城市规划理论及方法，对城市生态本底及其与产业、社会、人口 之间复杂的系统关系进行生态诊断，提出经济可行基于</w:t>
      </w:r>
      <w:r>
        <w:rPr>
          <w:rFonts w:ascii="Times New Roman" w:eastAsia="Times New Roman" w:hAnsi="Times New Roman" w:cs="Times New Roman"/>
          <w:color w:val="000000"/>
          <w:spacing w:val="0"/>
          <w:w w:val="100"/>
          <w:position w:val="0"/>
        </w:rPr>
        <w:t>“</w:t>
      </w:r>
      <w:r>
        <w:rPr>
          <w:color w:val="000000"/>
          <w:spacing w:val="0"/>
          <w:w w:val="100"/>
          <w:position w:val="0"/>
        </w:rPr>
        <w:t>生态导向</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动态平衡</w:t>
      </w:r>
      <w:r>
        <w:rPr>
          <w:rFonts w:ascii="Times New Roman" w:eastAsia="Times New Roman" w:hAnsi="Times New Roman" w:cs="Times New Roman"/>
          <w:color w:val="000000"/>
          <w:spacing w:val="0"/>
          <w:w w:val="100"/>
          <w:position w:val="0"/>
        </w:rPr>
        <w:t>”</w:t>
      </w:r>
      <w:r>
        <w:rPr>
          <w:color w:val="000000"/>
          <w:spacing w:val="0"/>
          <w:w w:val="100"/>
          <w:position w:val="0"/>
        </w:rPr>
        <w:t>的规划建设和运营为一体的整体解决方 案；而绿色建筑设计业务，是公司基于业务发展所形成的独特的共享设计理念和方法，利用数字化设计，形成独特的设计 风格，致力于为客户打造人与自然和谐共生、更加人性化、更加适宜的各类建筑。公司承担的城市规划和建筑设计项目凭 借出色的技术水平和绿色设计理念，先后获得了多项国家、省市甚至国际组织的奖项。</w:t>
      </w:r>
    </w:p>
    <w:p>
      <w:pPr>
        <w:pStyle w:val="Style20"/>
        <w:keepNext w:val="0"/>
        <w:keepLines w:val="0"/>
        <w:widowControl w:val="0"/>
        <w:shd w:val="clear" w:color="auto" w:fill="auto"/>
        <w:bidi w:val="0"/>
        <w:spacing w:before="0" w:after="0" w:line="314" w:lineRule="exact"/>
        <w:ind w:left="0" w:right="0" w:firstLine="500"/>
        <w:jc w:val="left"/>
      </w:pPr>
      <w:r>
        <w:rPr>
          <w:rFonts w:ascii="Times New Roman" w:eastAsia="Times New Roman" w:hAnsi="Times New Roman" w:cs="Times New Roman"/>
          <w:color w:val="000000"/>
          <w:spacing w:val="0"/>
          <w:w w:val="100"/>
          <w:position w:val="0"/>
        </w:rPr>
        <w:t>EPC</w:t>
      </w:r>
      <w:r>
        <w:rPr>
          <w:color w:val="000000"/>
          <w:spacing w:val="0"/>
          <w:w w:val="100"/>
          <w:position w:val="0"/>
        </w:rPr>
        <w:t xml:space="preserve">及项目全过程管理业务，是以绿色建筑交付为目标的工程总包服务业务，整合了公司在规划设计、绿色建筑咨 询、检测服务、项目管理咨询等业务的优势，成为集成展示绿色规划设计运营的示范平台，是公司的重要业务增长点之 一 </w:t>
      </w:r>
      <w:r>
        <w:rPr>
          <w:color w:val="000000"/>
          <w:spacing w:val="0"/>
          <w:w w:val="100"/>
          <w:position w:val="0"/>
          <w:sz w:val="18"/>
          <w:szCs w:val="18"/>
        </w:rPr>
        <w:t>0</w:t>
      </w:r>
    </w:p>
    <w:p>
      <w:pPr>
        <w:pStyle w:val="Style20"/>
        <w:keepNext w:val="0"/>
        <w:keepLines w:val="0"/>
        <w:widowControl w:val="0"/>
        <w:shd w:val="clear" w:color="auto" w:fill="auto"/>
        <w:bidi w:val="0"/>
        <w:spacing w:before="0" w:after="0" w:line="314" w:lineRule="exact"/>
        <w:ind w:left="0" w:right="0" w:firstLine="500"/>
        <w:jc w:val="left"/>
      </w:pPr>
      <w:r>
        <w:rPr>
          <w:color w:val="000000"/>
          <w:spacing w:val="0"/>
          <w:w w:val="100"/>
          <w:position w:val="0"/>
        </w:rPr>
        <w:t>绿色建设运营服务业务，如</w:t>
      </w:r>
      <w:r>
        <w:rPr>
          <w:rFonts w:ascii="Times New Roman" w:eastAsia="Times New Roman" w:hAnsi="Times New Roman" w:cs="Times New Roman"/>
          <w:color w:val="000000"/>
          <w:spacing w:val="0"/>
          <w:w w:val="100"/>
          <w:position w:val="0"/>
        </w:rPr>
        <w:t>DOT</w:t>
      </w:r>
      <w:r>
        <w:rPr>
          <w:color w:val="000000"/>
          <w:spacing w:val="0"/>
          <w:w w:val="100"/>
          <w:position w:val="0"/>
        </w:rPr>
        <w:t>业务，是基于公司所掌握的系统完整的城市和建筑绿色建设运营全过程的集成技术 体系，因地制宜地为不同区域、类型的客户提供具有品质、适宜和能较好实现绿色效益的综合技术服务。目前已形成系统 的技术积累和较好的行业科技品牌影响力，将继续通过智慧运营为客户创造价值。</w:t>
      </w:r>
    </w:p>
    <w:p>
      <w:pPr>
        <w:pStyle w:val="Style20"/>
        <w:keepNext w:val="0"/>
        <w:keepLines w:val="0"/>
        <w:widowControl w:val="0"/>
        <w:shd w:val="clear" w:color="auto" w:fill="auto"/>
        <w:bidi w:val="0"/>
        <w:spacing w:before="0" w:after="0" w:line="314" w:lineRule="exact"/>
        <w:ind w:left="0" w:right="0" w:firstLine="500"/>
        <w:jc w:val="left"/>
      </w:pPr>
      <w:r>
        <w:rPr>
          <w:color w:val="000000"/>
          <w:spacing w:val="0"/>
          <w:w w:val="100"/>
          <w:position w:val="0"/>
        </w:rPr>
        <w:t>板块二：在绿色人居公信服务板块中，公信服务业务是公司另一个核心主营业务领域。</w:t>
      </w:r>
    </w:p>
    <w:p>
      <w:pPr>
        <w:pStyle w:val="Style20"/>
        <w:keepNext w:val="0"/>
        <w:keepLines w:val="0"/>
        <w:widowControl w:val="0"/>
        <w:shd w:val="clear" w:color="auto" w:fill="auto"/>
        <w:bidi w:val="0"/>
        <w:spacing w:before="0" w:after="0" w:line="314" w:lineRule="exact"/>
        <w:ind w:left="0" w:right="0" w:firstLine="500"/>
        <w:jc w:val="left"/>
      </w:pPr>
      <w:r>
        <w:rPr>
          <w:color w:val="000000"/>
          <w:spacing w:val="0"/>
          <w:w w:val="100"/>
          <w:position w:val="0"/>
        </w:rPr>
        <w:t>公信服务业务，围绕对低碳绿色的效果进行验证，进行持续评估，保障公众利益为核心，以城市、建筑、家居的安</w:t>
      </w:r>
    </w:p>
    <w:p>
      <w:pPr>
        <w:pStyle w:val="Style20"/>
        <w:keepNext w:val="0"/>
        <w:keepLines w:val="0"/>
        <w:widowControl w:val="0"/>
        <w:shd w:val="clear" w:color="auto" w:fill="auto"/>
        <w:bidi w:val="0"/>
        <w:spacing w:before="0" w:after="0" w:line="312" w:lineRule="exact"/>
        <w:ind w:left="0" w:right="0" w:firstLine="4940"/>
        <w:jc w:val="left"/>
      </w:pPr>
      <w:r>
        <w:rPr>
          <w:color w:val="000000"/>
          <w:spacing w:val="0"/>
          <w:w w:val="100"/>
          <w:position w:val="0"/>
          <w:u w:val="single"/>
        </w:rPr>
        <w:t>深圳市建筑科学研究院股份有限公司</w:t>
      </w:r>
      <w:r>
        <w:rPr>
          <w:rFonts w:ascii="Times New Roman" w:eastAsia="Times New Roman" w:hAnsi="Times New Roman" w:cs="Times New Roman"/>
          <w:color w:val="000000"/>
          <w:spacing w:val="0"/>
          <w:w w:val="100"/>
          <w:position w:val="0"/>
          <w:u w:val="single"/>
        </w:rPr>
        <w:t>2021</w:t>
      </w:r>
      <w:r>
        <w:rPr>
          <w:color w:val="000000"/>
          <w:spacing w:val="0"/>
          <w:w w:val="100"/>
          <w:position w:val="0"/>
          <w:u w:val="single"/>
        </w:rPr>
        <w:t xml:space="preserve">年年度报告全文 </w:t>
      </w:r>
      <w:r>
        <w:rPr>
          <w:color w:val="000000"/>
          <w:spacing w:val="0"/>
          <w:w w:val="100"/>
          <w:position w:val="0"/>
        </w:rPr>
        <w:t>全、健康、舒适、高效、可持续性提供一站式解决方案为目标，以检测、检验、认证为基础，集绿色建筑设计优化、工程 性能质量检测检验认证、综合技术研究咨询于一体的服务模式，包括：绿色建筑综合咨询、能源环境规划咨询、装修污染 物全过程控制咨询、既有建筑绿色化改造全过程咨询、建设工程检测和验收全过程服务、合成材料运动场地检测及监管、 甲方内部质量控制抽检服务、建筑工程质量潜在缺陷保险风险管理服务、产品</w:t>
      </w:r>
      <w:r>
        <w:rPr>
          <w:rFonts w:ascii="Times New Roman" w:eastAsia="Times New Roman" w:hAnsi="Times New Roman" w:cs="Times New Roman"/>
          <w:color w:val="000000"/>
          <w:spacing w:val="0"/>
          <w:w w:val="100"/>
          <w:position w:val="0"/>
        </w:rPr>
        <w:t>/</w:t>
      </w:r>
      <w:r>
        <w:rPr>
          <w:color w:val="000000"/>
          <w:spacing w:val="0"/>
          <w:w w:val="100"/>
          <w:position w:val="0"/>
        </w:rPr>
        <w:t>体系</w:t>
      </w:r>
      <w:r>
        <w:rPr>
          <w:rFonts w:ascii="Times New Roman" w:eastAsia="Times New Roman" w:hAnsi="Times New Roman" w:cs="Times New Roman"/>
          <w:color w:val="000000"/>
          <w:spacing w:val="0"/>
          <w:w w:val="100"/>
          <w:position w:val="0"/>
        </w:rPr>
        <w:t>/</w:t>
      </w:r>
      <w:r>
        <w:rPr>
          <w:color w:val="000000"/>
          <w:spacing w:val="0"/>
          <w:w w:val="100"/>
          <w:position w:val="0"/>
        </w:rPr>
        <w:t>服务认证、绿色生态城区智慧运营监 测数据平台建设等内容。</w:t>
      </w:r>
    </w:p>
    <w:p>
      <w:pPr>
        <w:pStyle w:val="Style20"/>
        <w:keepNext w:val="0"/>
        <w:keepLines w:val="0"/>
        <w:widowControl w:val="0"/>
        <w:shd w:val="clear" w:color="auto" w:fill="auto"/>
        <w:bidi w:val="0"/>
        <w:spacing w:before="0" w:after="0" w:line="312" w:lineRule="exact"/>
        <w:ind w:left="0" w:right="0" w:firstLine="500"/>
        <w:jc w:val="left"/>
      </w:pPr>
      <w:r>
        <w:rPr>
          <w:color w:val="000000"/>
          <w:spacing w:val="0"/>
          <w:w w:val="100"/>
          <w:position w:val="0"/>
        </w:rPr>
        <w:t>为更好地突出生态规划、建筑设计、项目管理、公信检测和绿色运营等全过程业务和组合业务的优势，公司集中力 量和资源服务于生态建设和绿色发展业务需求大、具有典型特征的多个重点城市区域，将城市作为虚拟客户主体，在</w:t>
      </w:r>
      <w:r>
        <w:rPr>
          <w:rFonts w:ascii="Times New Roman" w:eastAsia="Times New Roman" w:hAnsi="Times New Roman" w:cs="Times New Roman"/>
          <w:color w:val="000000"/>
          <w:spacing w:val="0"/>
          <w:w w:val="100"/>
          <w:position w:val="0"/>
        </w:rPr>
        <w:t>“</w:t>
      </w:r>
      <w:r>
        <w:rPr>
          <w:color w:val="000000"/>
          <w:spacing w:val="0"/>
          <w:w w:val="100"/>
          <w:position w:val="0"/>
        </w:rPr>
        <w:t>双 碳</w:t>
      </w:r>
      <w:r>
        <w:rPr>
          <w:rFonts w:ascii="Times New Roman" w:eastAsia="Times New Roman" w:hAnsi="Times New Roman" w:cs="Times New Roman"/>
          <w:color w:val="000000"/>
          <w:spacing w:val="0"/>
          <w:w w:val="100"/>
          <w:position w:val="0"/>
        </w:rPr>
        <w:t>”</w:t>
      </w:r>
      <w:r>
        <w:rPr>
          <w:color w:val="000000"/>
          <w:spacing w:val="0"/>
          <w:w w:val="100"/>
          <w:position w:val="0"/>
        </w:rPr>
        <w:t>背景下，实施以城市绿色发展为目的全过程业务和组合业务营销策略，即</w:t>
      </w:r>
      <w:r>
        <w:rPr>
          <w:rFonts w:ascii="Times New Roman" w:eastAsia="Times New Roman" w:hAnsi="Times New Roman" w:cs="Times New Roman"/>
          <w:color w:val="000000"/>
          <w:spacing w:val="0"/>
          <w:w w:val="100"/>
          <w:position w:val="0"/>
        </w:rPr>
        <w:t>“</w:t>
      </w:r>
      <w:r>
        <w:rPr>
          <w:color w:val="000000"/>
          <w:spacing w:val="0"/>
          <w:w w:val="100"/>
          <w:position w:val="0"/>
        </w:rPr>
        <w:t>城市客户</w:t>
      </w:r>
      <w:r>
        <w:rPr>
          <w:rFonts w:ascii="Times New Roman" w:eastAsia="Times New Roman" w:hAnsi="Times New Roman" w:cs="Times New Roman"/>
          <w:color w:val="000000"/>
          <w:spacing w:val="0"/>
          <w:w w:val="100"/>
          <w:position w:val="0"/>
        </w:rPr>
        <w:t>”</w:t>
      </w:r>
      <w:r>
        <w:rPr>
          <w:color w:val="000000"/>
          <w:spacing w:val="0"/>
          <w:w w:val="100"/>
          <w:position w:val="0"/>
        </w:rPr>
        <w:t>市场战略，为不同类型特征的城市 提供应对</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挑战的全流程、综合、定制化组合的绿色科技创新服务，为城市绿色发展、客户成长，提供体系化解决方 案，为国家和相关城市的绿色低碳发展做好</w:t>
      </w:r>
      <w:r>
        <w:rPr>
          <w:rFonts w:ascii="Times New Roman" w:eastAsia="Times New Roman" w:hAnsi="Times New Roman" w:cs="Times New Roman"/>
          <w:color w:val="000000"/>
          <w:spacing w:val="0"/>
          <w:w w:val="100"/>
          <w:position w:val="0"/>
        </w:rPr>
        <w:t>“</w:t>
      </w:r>
      <w:r>
        <w:rPr>
          <w:color w:val="000000"/>
          <w:spacing w:val="0"/>
          <w:w w:val="100"/>
          <w:position w:val="0"/>
        </w:rPr>
        <w:t>陪伴式</w:t>
      </w:r>
      <w:r>
        <w:rPr>
          <w:rFonts w:ascii="Times New Roman" w:eastAsia="Times New Roman" w:hAnsi="Times New Roman" w:cs="Times New Roman"/>
          <w:color w:val="000000"/>
          <w:spacing w:val="0"/>
          <w:w w:val="100"/>
          <w:position w:val="0"/>
        </w:rPr>
        <w:t>”</w:t>
      </w:r>
      <w:r>
        <w:rPr>
          <w:color w:val="000000"/>
          <w:spacing w:val="0"/>
          <w:w w:val="100"/>
          <w:position w:val="0"/>
        </w:rPr>
        <w:t>、创新性服务，更好发挥公司综合能力的优势与绿色科技储备竞争 力，提升公司客户的集中度和单个城市业务规模，从而提高业务运作效率，目前已取得较为明显的成效，将进一步聚焦关 键区域开展工作。</w:t>
      </w:r>
    </w:p>
    <w:p>
      <w:pPr>
        <w:pStyle w:val="Style20"/>
        <w:keepNext w:val="0"/>
        <w:keepLines w:val="0"/>
        <w:widowControl w:val="0"/>
        <w:shd w:val="clear" w:color="auto" w:fill="auto"/>
        <w:bidi w:val="0"/>
        <w:spacing w:before="0" w:after="380" w:line="312" w:lineRule="exact"/>
        <w:ind w:left="0" w:right="0" w:firstLine="500"/>
        <w:jc w:val="left"/>
      </w:pPr>
      <w:bookmarkStart w:id="50" w:name="bookmark50"/>
      <w:r>
        <w:rPr>
          <w:b/>
          <w:bCs/>
          <w:color w:val="000000"/>
          <w:spacing w:val="0"/>
          <w:w w:val="100"/>
          <w:position w:val="0"/>
        </w:rPr>
        <w:t>（</w:t>
      </w:r>
      <w:bookmarkEnd w:id="50"/>
      <w:r>
        <w:rPr>
          <w:b/>
          <w:bCs/>
          <w:color w:val="000000"/>
          <w:spacing w:val="0"/>
          <w:w w:val="100"/>
          <w:position w:val="0"/>
        </w:rPr>
        <w:t xml:space="preserve">二）业务模式、融资途径、质量与安全生产 </w:t>
      </w:r>
      <w:r>
        <w:rPr>
          <w:color w:val="000000"/>
          <w:spacing w:val="0"/>
          <w:w w:val="100"/>
          <w:position w:val="0"/>
        </w:rPr>
        <w:t>公司业务模式及质量与安全生产详情可参见公司第三节第（三）核心竞争力分析、第三节第（十一）公司未来发展的展望及 第五节环境和社会责任之社会责任情况。公司融资途径详情可见第十节财务报告。</w:t>
      </w:r>
    </w:p>
    <w:p>
      <w:pPr>
        <w:pStyle w:val="Style26"/>
        <w:keepNext w:val="0"/>
        <w:keepLines w:val="0"/>
        <w:widowControl w:val="0"/>
        <w:shd w:val="clear" w:color="auto" w:fill="auto"/>
        <w:bidi w:val="0"/>
        <w:spacing w:before="0" w:after="240" w:line="240" w:lineRule="auto"/>
        <w:ind w:left="0" w:right="0" w:firstLine="0"/>
        <w:jc w:val="both"/>
      </w:pPr>
      <w:bookmarkStart w:id="51" w:name="bookmark51"/>
      <w:r>
        <w:rPr>
          <w:color w:val="000000"/>
          <w:spacing w:val="0"/>
          <w:w w:val="100"/>
          <w:position w:val="0"/>
          <w:sz w:val="24"/>
          <w:szCs w:val="24"/>
        </w:rPr>
        <w:t>三</w:t>
      </w:r>
      <w:bookmarkEnd w:id="51"/>
      <w:r>
        <w:rPr>
          <w:color w:val="000000"/>
          <w:spacing w:val="0"/>
          <w:w w:val="100"/>
          <w:position w:val="0"/>
          <w:sz w:val="24"/>
          <w:szCs w:val="24"/>
        </w:rPr>
        <w:t>、核心竞争力分析</w:t>
      </w:r>
    </w:p>
    <w:p>
      <w:pPr>
        <w:pStyle w:val="Style20"/>
        <w:keepNext w:val="0"/>
        <w:keepLines w:val="0"/>
        <w:widowControl w:val="0"/>
        <w:shd w:val="clear" w:color="auto" w:fill="auto"/>
        <w:bidi w:val="0"/>
        <w:spacing w:before="0" w:after="0" w:line="313" w:lineRule="exact"/>
        <w:ind w:left="0" w:right="0" w:firstLine="500"/>
        <w:jc w:val="left"/>
      </w:pPr>
      <w:r>
        <w:rPr>
          <w:b/>
          <w:bCs/>
          <w:color w:val="000000"/>
          <w:spacing w:val="0"/>
          <w:w w:val="100"/>
          <w:position w:val="0"/>
        </w:rPr>
        <w:t>（一）城市绿色发展领域全过程技术积累和技术创新优势</w:t>
      </w:r>
    </w:p>
    <w:p>
      <w:pPr>
        <w:pStyle w:val="Style2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以绿色、生态、低碳理念为指导，公司（含公司控股子公司）十多年来积极推动绿色低碳理念和技术的普及，率先开 展规模化的建筑节能、绿色建筑和城市绿色发展实践，拥有国家级平台</w:t>
      </w:r>
      <w:r>
        <w:rPr>
          <w:rFonts w:ascii="Times New Roman" w:eastAsia="Times New Roman" w:hAnsi="Times New Roman" w:cs="Times New Roman"/>
          <w:color w:val="000000"/>
          <w:spacing w:val="0"/>
          <w:w w:val="100"/>
          <w:position w:val="0"/>
        </w:rPr>
        <w:t>5</w:t>
      </w:r>
      <w:r>
        <w:rPr>
          <w:color w:val="000000"/>
          <w:spacing w:val="0"/>
          <w:w w:val="100"/>
          <w:position w:val="0"/>
        </w:rPr>
        <w:t>个、省、市级技术平台</w:t>
      </w:r>
      <w:r>
        <w:rPr>
          <w:rFonts w:ascii="Times New Roman" w:eastAsia="Times New Roman" w:hAnsi="Times New Roman" w:cs="Times New Roman"/>
          <w:color w:val="000000"/>
          <w:spacing w:val="0"/>
          <w:w w:val="100"/>
          <w:position w:val="0"/>
        </w:rPr>
        <w:t>13</w:t>
      </w:r>
      <w:r>
        <w:rPr>
          <w:color w:val="000000"/>
          <w:spacing w:val="0"/>
          <w:w w:val="100"/>
          <w:position w:val="0"/>
        </w:rPr>
        <w:t>个，主持国家重点研发计 划等在内的国内外各级重点项目（课题）</w:t>
      </w:r>
      <w:r>
        <w:rPr>
          <w:rFonts w:ascii="Times New Roman" w:eastAsia="Times New Roman" w:hAnsi="Times New Roman" w:cs="Times New Roman"/>
          <w:color w:val="000000"/>
          <w:spacing w:val="0"/>
          <w:w w:val="100"/>
          <w:position w:val="0"/>
        </w:rPr>
        <w:t>200</w:t>
      </w:r>
      <w:r>
        <w:rPr>
          <w:color w:val="000000"/>
          <w:spacing w:val="0"/>
          <w:w w:val="100"/>
          <w:position w:val="0"/>
        </w:rPr>
        <w:t>余项，主、参编包括《绿色建筑评价标准》等国家、省、市级和团体标准、规 范</w:t>
      </w:r>
      <w:r>
        <w:rPr>
          <w:rFonts w:ascii="Times New Roman" w:eastAsia="Times New Roman" w:hAnsi="Times New Roman" w:cs="Times New Roman"/>
          <w:color w:val="000000"/>
          <w:spacing w:val="0"/>
          <w:w w:val="100"/>
          <w:position w:val="0"/>
        </w:rPr>
        <w:t>200</w:t>
      </w:r>
      <w:r>
        <w:rPr>
          <w:color w:val="000000"/>
          <w:spacing w:val="0"/>
          <w:w w:val="100"/>
          <w:position w:val="0"/>
        </w:rPr>
        <w:t>余项，开展绿色建筑领域</w:t>
      </w:r>
      <w:r>
        <w:rPr>
          <w:rFonts w:ascii="Times New Roman" w:eastAsia="Times New Roman" w:hAnsi="Times New Roman" w:cs="Times New Roman"/>
          <w:color w:val="000000"/>
          <w:spacing w:val="0"/>
          <w:w w:val="100"/>
          <w:position w:val="0"/>
        </w:rPr>
        <w:t>“</w:t>
      </w:r>
      <w:r>
        <w:rPr>
          <w:color w:val="000000"/>
          <w:spacing w:val="0"/>
          <w:w w:val="100"/>
          <w:position w:val="0"/>
        </w:rPr>
        <w:t>五感六性</w:t>
      </w:r>
      <w:r>
        <w:rPr>
          <w:rFonts w:ascii="Times New Roman" w:eastAsia="Times New Roman" w:hAnsi="Times New Roman" w:cs="Times New Roman"/>
          <w:color w:val="000000"/>
          <w:spacing w:val="0"/>
          <w:w w:val="100"/>
          <w:position w:val="0"/>
        </w:rPr>
        <w:t>”</w:t>
      </w:r>
      <w:r>
        <w:rPr>
          <w:color w:val="000000"/>
          <w:spacing w:val="0"/>
          <w:w w:val="100"/>
          <w:position w:val="0"/>
        </w:rPr>
        <w:t>（即使用者的味觉、嗅觉、视觉、听觉、触觉，及技术的安全性、适用性、舒适 性、健康性、环境性和经济性等）的研究、以</w:t>
      </w:r>
      <w:r>
        <w:rPr>
          <w:rFonts w:ascii="Times New Roman" w:eastAsia="Times New Roman" w:hAnsi="Times New Roman" w:cs="Times New Roman"/>
          <w:color w:val="000000"/>
          <w:spacing w:val="0"/>
          <w:w w:val="100"/>
          <w:position w:val="0"/>
        </w:rPr>
        <w:t>“</w:t>
      </w:r>
      <w:r>
        <w:rPr>
          <w:color w:val="000000"/>
          <w:spacing w:val="0"/>
          <w:w w:val="100"/>
          <w:position w:val="0"/>
        </w:rPr>
        <w:t>碳达峰</w:t>
      </w:r>
      <w:r>
        <w:rPr>
          <w:rFonts w:ascii="Times New Roman" w:eastAsia="Times New Roman" w:hAnsi="Times New Roman" w:cs="Times New Roman"/>
          <w:i/>
          <w:iCs/>
          <w:color w:val="000000"/>
          <w:spacing w:val="0"/>
          <w:w w:val="100"/>
          <w:position w:val="0"/>
        </w:rPr>
        <w:t>”</w:t>
      </w:r>
      <w:r>
        <w:rPr>
          <w:color w:val="000000"/>
          <w:spacing w:val="0"/>
          <w:w w:val="100"/>
          <w:position w:val="0"/>
        </w:rPr>
        <w:t>碳中和</w:t>
      </w:r>
      <w:r>
        <w:rPr>
          <w:rFonts w:ascii="Times New Roman" w:eastAsia="Times New Roman" w:hAnsi="Times New Roman" w:cs="Times New Roman"/>
          <w:color w:val="000000"/>
          <w:spacing w:val="0"/>
          <w:w w:val="100"/>
          <w:position w:val="0"/>
        </w:rPr>
        <w:t>”</w:t>
      </w:r>
      <w:r>
        <w:rPr>
          <w:color w:val="000000"/>
          <w:spacing w:val="0"/>
          <w:w w:val="100"/>
          <w:position w:val="0"/>
        </w:rPr>
        <w:t>为导向的生态城市领域研究及</w:t>
      </w:r>
      <w:r>
        <w:rPr>
          <w:rFonts w:ascii="Times New Roman" w:eastAsia="Times New Roman" w:hAnsi="Times New Roman" w:cs="Times New Roman"/>
          <w:color w:val="000000"/>
          <w:spacing w:val="0"/>
          <w:w w:val="100"/>
          <w:position w:val="0"/>
        </w:rPr>
        <w:t>“</w:t>
      </w:r>
      <w:r>
        <w:rPr>
          <w:color w:val="000000"/>
          <w:spacing w:val="0"/>
          <w:w w:val="100"/>
          <w:position w:val="0"/>
        </w:rPr>
        <w:t>光储直柔</w:t>
      </w:r>
      <w:r>
        <w:rPr>
          <w:rFonts w:ascii="Times New Roman" w:eastAsia="Times New Roman" w:hAnsi="Times New Roman" w:cs="Times New Roman"/>
          <w:color w:val="000000"/>
          <w:spacing w:val="0"/>
          <w:w w:val="100"/>
          <w:position w:val="0"/>
        </w:rPr>
        <w:t>”</w:t>
      </w:r>
      <w:r>
        <w:rPr>
          <w:color w:val="000000"/>
          <w:spacing w:val="0"/>
          <w:w w:val="100"/>
          <w:position w:val="0"/>
        </w:rPr>
        <w:t>在建筑领域的研究 应用，直接参与和推动了全国建筑节能强制实施和绿色建筑的普及。近年来通过</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为目标强化科技创新，适应新时代， 为社会创造价值，为公司长远发展打造可持续竞争力。</w:t>
      </w:r>
    </w:p>
    <w:p>
      <w:pPr>
        <w:pStyle w:val="Style2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经过多年的精耕细作，公司已掌握系统完整的城市和建筑绿色建设运营全过程的集成技术体系，能因地制宜地为不同 区域、类型的客户提供较好实现绿色效益的综合技术服务，形成了系统的技术积累和较好的行业科技品牌影响力。</w:t>
      </w:r>
    </w:p>
    <w:p>
      <w:pPr>
        <w:pStyle w:val="Style20"/>
        <w:keepNext w:val="0"/>
        <w:keepLines w:val="0"/>
        <w:widowControl w:val="0"/>
        <w:numPr>
          <w:ilvl w:val="0"/>
          <w:numId w:val="7"/>
        </w:numPr>
        <w:shd w:val="clear" w:color="auto" w:fill="auto"/>
        <w:tabs>
          <w:tab w:pos="746" w:val="left"/>
        </w:tabs>
        <w:bidi w:val="0"/>
        <w:spacing w:before="0" w:after="0" w:line="313" w:lineRule="exact"/>
        <w:ind w:left="0" w:right="0" w:firstLine="500"/>
        <w:jc w:val="left"/>
      </w:pPr>
      <w:bookmarkStart w:id="52" w:name="bookmark52"/>
      <w:bookmarkEnd w:id="52"/>
      <w:r>
        <w:rPr>
          <w:b/>
          <w:bCs/>
          <w:color w:val="000000"/>
          <w:spacing w:val="0"/>
          <w:w w:val="100"/>
          <w:position w:val="0"/>
        </w:rPr>
        <w:t>研发投入再创新高，创新平台取得新进展</w:t>
      </w:r>
    </w:p>
    <w:p>
      <w:pPr>
        <w:pStyle w:val="Style20"/>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报告期内，公司研发费用达</w:t>
      </w:r>
      <w:r>
        <w:rPr>
          <w:rFonts w:ascii="Times New Roman" w:eastAsia="Times New Roman" w:hAnsi="Times New Roman" w:cs="Times New Roman"/>
          <w:color w:val="000000"/>
          <w:spacing w:val="0"/>
          <w:w w:val="100"/>
          <w:position w:val="0"/>
        </w:rPr>
        <w:t>4,715</w:t>
      </w:r>
      <w:r>
        <w:rPr>
          <w:color w:val="000000"/>
          <w:spacing w:val="0"/>
          <w:w w:val="100"/>
          <w:position w:val="0"/>
        </w:rPr>
        <w:t>万元，同比增长</w:t>
      </w:r>
      <w:r>
        <w:rPr>
          <w:rFonts w:ascii="Times New Roman" w:eastAsia="Times New Roman" w:hAnsi="Times New Roman" w:cs="Times New Roman"/>
          <w:color w:val="000000"/>
          <w:spacing w:val="0"/>
          <w:w w:val="100"/>
          <w:position w:val="0"/>
        </w:rPr>
        <w:t>32.27%</w:t>
      </w:r>
      <w:r>
        <w:rPr>
          <w:color w:val="000000"/>
          <w:spacing w:val="0"/>
          <w:w w:val="100"/>
          <w:position w:val="0"/>
        </w:rPr>
        <w:t>，占营业收入比重约</w:t>
      </w:r>
      <w:r>
        <w:rPr>
          <w:rFonts w:ascii="Times New Roman" w:eastAsia="Times New Roman" w:hAnsi="Times New Roman" w:cs="Times New Roman"/>
          <w:color w:val="000000"/>
          <w:spacing w:val="0"/>
          <w:w w:val="100"/>
          <w:position w:val="0"/>
        </w:rPr>
        <w:t>9.38%</w:t>
      </w:r>
      <w:r>
        <w:rPr>
          <w:color w:val="000000"/>
          <w:spacing w:val="0"/>
          <w:w w:val="100"/>
          <w:position w:val="0"/>
        </w:rPr>
        <w:t>。同时，在原有</w:t>
      </w:r>
      <w:r>
        <w:rPr>
          <w:rFonts w:ascii="Times New Roman" w:eastAsia="Times New Roman" w:hAnsi="Times New Roman" w:cs="Times New Roman"/>
          <w:color w:val="000000"/>
          <w:spacing w:val="0"/>
          <w:w w:val="100"/>
          <w:position w:val="0"/>
        </w:rPr>
        <w:t>17</w:t>
      </w:r>
      <w:r>
        <w:rPr>
          <w:color w:val="000000"/>
          <w:spacing w:val="0"/>
          <w:w w:val="100"/>
          <w:position w:val="0"/>
        </w:rPr>
        <w:t>个国家、省部级 平台的基础上，全资子公司雄安绿研检验认证有限公司于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月获批立项</w:t>
      </w:r>
      <w:r>
        <w:rPr>
          <w:rFonts w:ascii="Times New Roman" w:eastAsia="Times New Roman" w:hAnsi="Times New Roman" w:cs="Times New Roman"/>
          <w:color w:val="000000"/>
          <w:spacing w:val="0"/>
          <w:w w:val="100"/>
          <w:position w:val="0"/>
        </w:rPr>
        <w:t>“</w:t>
      </w:r>
      <w:r>
        <w:rPr>
          <w:color w:val="000000"/>
          <w:spacing w:val="0"/>
          <w:w w:val="100"/>
          <w:position w:val="0"/>
        </w:rPr>
        <w:t>河北省绿色建筑人居环境技术创新中心</w:t>
      </w:r>
      <w:r>
        <w:rPr>
          <w:rFonts w:ascii="Times New Roman" w:eastAsia="Times New Roman" w:hAnsi="Times New Roman" w:cs="Times New Roman"/>
          <w:color w:val="000000"/>
          <w:spacing w:val="0"/>
          <w:w w:val="100"/>
          <w:position w:val="0"/>
        </w:rPr>
        <w:t>”</w:t>
      </w:r>
      <w:r>
        <w:rPr>
          <w:color w:val="000000"/>
          <w:spacing w:val="0"/>
          <w:w w:val="100"/>
          <w:position w:val="0"/>
        </w:rPr>
        <w:t>，成 为公司在北方地区第一个省级科学技术研发平台，有利于绿色低碳技术服务本地化，助力提升北方地区高质量</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发展。</w:t>
      </w:r>
    </w:p>
    <w:p>
      <w:pPr>
        <w:pStyle w:val="Style20"/>
        <w:keepNext w:val="0"/>
        <w:keepLines w:val="0"/>
        <w:widowControl w:val="0"/>
        <w:numPr>
          <w:ilvl w:val="0"/>
          <w:numId w:val="7"/>
        </w:numPr>
        <w:shd w:val="clear" w:color="auto" w:fill="auto"/>
        <w:tabs>
          <w:tab w:pos="760" w:val="left"/>
        </w:tabs>
        <w:bidi w:val="0"/>
        <w:spacing w:before="0" w:after="0" w:line="314" w:lineRule="exact"/>
        <w:ind w:left="0" w:right="0" w:firstLine="500"/>
        <w:jc w:val="left"/>
      </w:pPr>
      <w:bookmarkStart w:id="53" w:name="bookmark53"/>
      <w:bookmarkEnd w:id="53"/>
      <w:r>
        <w:rPr>
          <w:b/>
          <w:bCs/>
          <w:color w:val="000000"/>
          <w:spacing w:val="0"/>
          <w:w w:val="100"/>
          <w:position w:val="0"/>
        </w:rPr>
        <w:t>推动“双碳”法规政策标准建立，课题攻关再创佳绩</w:t>
      </w:r>
    </w:p>
    <w:p>
      <w:pPr>
        <w:pStyle w:val="Style20"/>
        <w:keepNext w:val="0"/>
        <w:keepLines w:val="0"/>
        <w:widowControl w:val="0"/>
        <w:shd w:val="clear" w:color="auto" w:fill="auto"/>
        <w:bidi w:val="0"/>
        <w:spacing w:before="0" w:after="0" w:line="314" w:lineRule="exact"/>
        <w:ind w:left="0" w:right="0" w:firstLine="500"/>
        <w:jc w:val="both"/>
      </w:pPr>
      <w:r>
        <w:rPr>
          <w:color w:val="000000"/>
          <w:spacing w:val="0"/>
          <w:w w:val="100"/>
          <w:position w:val="0"/>
        </w:rPr>
        <w:t>一是推动深圳特区立法创新。推动启动《深圳经济特区绿色建筑条例》立法，全过程参与条例编制讨论及条款制定， 率先将建筑绿色性能纳入工程质量监管体系，创新提出绿色建筑性能与评估推动绿色建筑性能落地，强化使用者监督机制 （绿色住宅使用者机制），保障消费者对建筑性能索赔权益。推动《深圳经济特区数据条例》的立法，旨在提升公共数据质 量、促进公共数据共享开放，促进数据要素价值实现，深化数据在市场监管、公共服务、生态环境保护中应用。</w:t>
      </w:r>
    </w:p>
    <w:p>
      <w:pPr>
        <w:pStyle w:val="Style20"/>
        <w:keepNext w:val="0"/>
        <w:keepLines w:val="0"/>
        <w:widowControl w:val="0"/>
        <w:shd w:val="clear" w:color="auto" w:fill="auto"/>
        <w:bidi w:val="0"/>
        <w:spacing w:before="0" w:after="0" w:line="314" w:lineRule="exact"/>
        <w:ind w:left="0" w:right="0" w:firstLine="500"/>
        <w:jc w:val="both"/>
      </w:pPr>
      <w:r>
        <w:rPr>
          <w:color w:val="000000"/>
          <w:spacing w:val="0"/>
          <w:w w:val="100"/>
          <w:position w:val="0"/>
        </w:rPr>
        <w:t>二是推动国家和地方政策制定。未来大厦策划之初确定的</w:t>
      </w:r>
      <w:r>
        <w:rPr>
          <w:rFonts w:ascii="Times New Roman" w:eastAsia="Times New Roman" w:hAnsi="Times New Roman" w:cs="Times New Roman"/>
          <w:color w:val="000000"/>
          <w:spacing w:val="0"/>
          <w:w w:val="100"/>
          <w:position w:val="0"/>
        </w:rPr>
        <w:t>“</w:t>
      </w:r>
      <w:r>
        <w:rPr>
          <w:color w:val="000000"/>
          <w:spacing w:val="0"/>
          <w:w w:val="100"/>
          <w:position w:val="0"/>
        </w:rPr>
        <w:t>光储直柔</w:t>
      </w:r>
      <w:r>
        <w:rPr>
          <w:rFonts w:ascii="Times New Roman" w:eastAsia="Times New Roman" w:hAnsi="Times New Roman" w:cs="Times New Roman"/>
          <w:color w:val="000000"/>
          <w:spacing w:val="0"/>
          <w:w w:val="100"/>
          <w:position w:val="0"/>
        </w:rPr>
        <w:t>”</w:t>
      </w:r>
      <w:r>
        <w:rPr>
          <w:color w:val="000000"/>
          <w:spacing w:val="0"/>
          <w:w w:val="100"/>
          <w:position w:val="0"/>
        </w:rPr>
        <w:t>技术路线于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月被正式写入国务院印发的 《</w:t>
      </w:r>
      <w:r>
        <w:rPr>
          <w:rFonts w:ascii="Times New Roman" w:eastAsia="Times New Roman" w:hAnsi="Times New Roman" w:cs="Times New Roman"/>
          <w:color w:val="000000"/>
          <w:spacing w:val="0"/>
          <w:w w:val="100"/>
          <w:position w:val="0"/>
        </w:rPr>
        <w:t>2030</w:t>
      </w:r>
      <w:r>
        <w:rPr>
          <w:color w:val="000000"/>
          <w:spacing w:val="0"/>
          <w:w w:val="100"/>
          <w:position w:val="0"/>
        </w:rPr>
        <w:t>年前碳达峰行动方案》。深度参与深圳市碳达峰碳中和行动方案和规划编制工作，作为技术总顾问协助深圳市出台 《深圳市近零碳排放区试点建设实施方案》（深环〔</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212</w:t>
      </w:r>
      <w:r>
        <w:rPr>
          <w:color w:val="000000"/>
          <w:spacing w:val="0"/>
          <w:w w:val="100"/>
          <w:position w:val="0"/>
        </w:rPr>
        <w:t>号），参与《深圳市</w:t>
      </w:r>
      <w:r>
        <w:rPr>
          <w:rFonts w:ascii="Times New Roman" w:eastAsia="Times New Roman" w:hAnsi="Times New Roman" w:cs="Times New Roman"/>
          <w:color w:val="000000"/>
          <w:spacing w:val="0"/>
          <w:w w:val="100"/>
          <w:position w:val="0"/>
        </w:rPr>
        <w:t>2019-202</w:t>
      </w:r>
      <w:r>
        <w:rPr>
          <w:rFonts w:ascii="Times New Roman" w:eastAsia="Times New Roman" w:hAnsi="Times New Roman" w:cs="Times New Roman"/>
          <w:color w:val="000000"/>
          <w:spacing w:val="0"/>
          <w:w w:val="100"/>
          <w:position w:val="0"/>
        </w:rPr>
        <w:t>0</w:t>
      </w:r>
      <w:r>
        <w:rPr>
          <w:color w:val="000000"/>
          <w:spacing w:val="0"/>
          <w:w w:val="100"/>
          <w:position w:val="0"/>
        </w:rPr>
        <w:t>年市区两级温室气体清单编制 工作方案》，并牵头组织深圳市南山区</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前期研究和规划，深圳市罗湖区建筑领域碳达峰行动方案规划等工作。参与珠 海绿色建筑全过程管理核心技术支撑工作，结合珠海建设条件、地域特点以及当地政策、标准要求等，细化和本土化绿色建 筑设计要点，为珠海市住房和建设局搭建基于新国标的绿色建筑全过程控制的技术体系。</w:t>
      </w:r>
    </w:p>
    <w:p>
      <w:pPr>
        <w:pStyle w:val="Style20"/>
        <w:keepNext w:val="0"/>
        <w:keepLines w:val="0"/>
        <w:widowControl w:val="0"/>
        <w:shd w:val="clear" w:color="auto" w:fill="auto"/>
        <w:bidi w:val="0"/>
        <w:spacing w:before="0" w:after="0" w:line="314" w:lineRule="exact"/>
        <w:ind w:left="0" w:right="0" w:firstLine="500"/>
        <w:jc w:val="both"/>
      </w:pPr>
      <w:r>
        <w:rPr>
          <w:color w:val="000000"/>
          <w:spacing w:val="0"/>
          <w:w w:val="100"/>
          <w:position w:val="0"/>
        </w:rPr>
        <w:t>三是推动标准创新。公司主编的《民用建筑直流配电设计标准》于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月通过专家审查并获得</w:t>
      </w:r>
      <w:r>
        <w:rPr>
          <w:rFonts w:ascii="Times New Roman" w:eastAsia="Times New Roman" w:hAnsi="Times New Roman" w:cs="Times New Roman"/>
          <w:color w:val="000000"/>
          <w:spacing w:val="0"/>
          <w:w w:val="100"/>
          <w:position w:val="0"/>
        </w:rPr>
        <w:t>“</w:t>
      </w:r>
      <w:r>
        <w:rPr>
          <w:color w:val="000000"/>
          <w:spacing w:val="0"/>
          <w:w w:val="100"/>
          <w:position w:val="0"/>
        </w:rPr>
        <w:t>国际领先水平</w:t>
      </w:r>
      <w:r>
        <w:rPr>
          <w:rFonts w:ascii="Times New Roman" w:eastAsia="Times New Roman" w:hAnsi="Times New Roman" w:cs="Times New Roman"/>
          <w:color w:val="000000"/>
          <w:spacing w:val="0"/>
          <w:w w:val="100"/>
          <w:position w:val="0"/>
        </w:rPr>
        <w:t>”</w:t>
      </w:r>
      <w:r>
        <w:rPr>
          <w:color w:val="000000"/>
          <w:spacing w:val="0"/>
          <w:w w:val="100"/>
          <w:position w:val="0"/>
        </w:rPr>
        <w:t>评</w:t>
      </w:r>
    </w:p>
    <w:p>
      <w:pPr>
        <w:pStyle w:val="Style20"/>
        <w:keepNext w:val="0"/>
        <w:keepLines w:val="0"/>
        <w:widowControl w:val="0"/>
        <w:shd w:val="clear" w:color="auto" w:fill="auto"/>
        <w:bidi w:val="0"/>
        <w:spacing w:before="0" w:after="0" w:line="313" w:lineRule="exact"/>
        <w:ind w:left="0" w:right="0" w:firstLine="4960"/>
        <w:jc w:val="left"/>
      </w:pPr>
      <w:r>
        <w:rPr>
          <w:color w:val="000000"/>
          <w:spacing w:val="0"/>
          <w:w w:val="100"/>
          <w:position w:val="0"/>
          <w:u w:val="single"/>
        </w:rPr>
        <w:t>深圳市建筑科学研究院股份有限公司</w:t>
      </w:r>
      <w:r>
        <w:rPr>
          <w:rFonts w:ascii="Times New Roman" w:eastAsia="Times New Roman" w:hAnsi="Times New Roman" w:cs="Times New Roman"/>
          <w:color w:val="000000"/>
          <w:spacing w:val="0"/>
          <w:w w:val="100"/>
          <w:position w:val="0"/>
          <w:u w:val="single"/>
        </w:rPr>
        <w:t>2021</w:t>
      </w:r>
      <w:r>
        <w:rPr>
          <w:color w:val="000000"/>
          <w:spacing w:val="0"/>
          <w:w w:val="100"/>
          <w:position w:val="0"/>
          <w:u w:val="single"/>
        </w:rPr>
        <w:t xml:space="preserve">年年度报告全文 </w:t>
      </w:r>
      <w:r>
        <w:rPr>
          <w:color w:val="000000"/>
          <w:spacing w:val="0"/>
          <w:w w:val="100"/>
          <w:position w:val="0"/>
        </w:rPr>
        <w:t>价，将于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日实施。本标准创新性地提出了建筑</w:t>
      </w:r>
      <w:r>
        <w:rPr>
          <w:rFonts w:ascii="Times New Roman" w:eastAsia="Times New Roman" w:hAnsi="Times New Roman" w:cs="Times New Roman"/>
          <w:color w:val="000000"/>
          <w:spacing w:val="0"/>
          <w:w w:val="100"/>
          <w:position w:val="0"/>
        </w:rPr>
        <w:t>“</w:t>
      </w:r>
      <w:r>
        <w:rPr>
          <w:color w:val="000000"/>
          <w:spacing w:val="0"/>
          <w:w w:val="100"/>
          <w:position w:val="0"/>
        </w:rPr>
        <w:t>光储直柔</w:t>
      </w:r>
      <w:r>
        <w:rPr>
          <w:rFonts w:ascii="Times New Roman" w:eastAsia="Times New Roman" w:hAnsi="Times New Roman" w:cs="Times New Roman"/>
          <w:color w:val="000000"/>
          <w:spacing w:val="0"/>
          <w:w w:val="100"/>
          <w:position w:val="0"/>
        </w:rPr>
        <w:t>”</w:t>
      </w:r>
      <w:r>
        <w:rPr>
          <w:color w:val="000000"/>
          <w:spacing w:val="0"/>
          <w:w w:val="100"/>
          <w:position w:val="0"/>
        </w:rPr>
        <w:t>配电概念和具体实施方法，确定了建筑直流配电系统的 设计要求和量化指标，填补了民用建筑直流配电领域标准的空白。标准编制历时三年，聚合了近</w:t>
      </w:r>
      <w:r>
        <w:rPr>
          <w:rFonts w:ascii="Times New Roman" w:eastAsia="Times New Roman" w:hAnsi="Times New Roman" w:cs="Times New Roman"/>
          <w:color w:val="000000"/>
          <w:spacing w:val="0"/>
          <w:w w:val="100"/>
          <w:position w:val="0"/>
        </w:rPr>
        <w:t>40</w:t>
      </w:r>
      <w:r>
        <w:rPr>
          <w:color w:val="000000"/>
          <w:spacing w:val="0"/>
          <w:w w:val="100"/>
          <w:position w:val="0"/>
        </w:rPr>
        <w:t>家行业上下游的相关产业 资源参与，对直流配电技术和</w:t>
      </w:r>
      <w:r>
        <w:rPr>
          <w:rFonts w:ascii="Times New Roman" w:eastAsia="Times New Roman" w:hAnsi="Times New Roman" w:cs="Times New Roman"/>
          <w:color w:val="000000"/>
          <w:spacing w:val="0"/>
          <w:w w:val="100"/>
          <w:position w:val="0"/>
        </w:rPr>
        <w:t>“</w:t>
      </w:r>
      <w:r>
        <w:rPr>
          <w:color w:val="000000"/>
          <w:spacing w:val="0"/>
          <w:w w:val="100"/>
          <w:position w:val="0"/>
        </w:rPr>
        <w:t>光储直柔</w:t>
      </w:r>
      <w:r>
        <w:rPr>
          <w:rFonts w:ascii="Times New Roman" w:eastAsia="Times New Roman" w:hAnsi="Times New Roman" w:cs="Times New Roman"/>
          <w:color w:val="000000"/>
          <w:spacing w:val="0"/>
          <w:w w:val="100"/>
          <w:position w:val="0"/>
        </w:rPr>
        <w:t>”</w:t>
      </w:r>
      <w:r>
        <w:rPr>
          <w:color w:val="000000"/>
          <w:spacing w:val="0"/>
          <w:w w:val="100"/>
          <w:position w:val="0"/>
        </w:rPr>
        <w:t>技术在建筑中的推广应用具有重要的指导和促进作用。</w:t>
      </w:r>
    </w:p>
    <w:p>
      <w:pPr>
        <w:pStyle w:val="Style2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四是继续开展课题研究及知识产权工作。公司</w:t>
      </w:r>
      <w:r>
        <w:rPr>
          <w:rFonts w:ascii="Times New Roman" w:eastAsia="Times New Roman" w:hAnsi="Times New Roman" w:cs="Times New Roman"/>
          <w:color w:val="000000"/>
          <w:spacing w:val="0"/>
          <w:w w:val="100"/>
          <w:position w:val="0"/>
        </w:rPr>
        <w:t>2021</w:t>
      </w:r>
      <w:r>
        <w:rPr>
          <w:color w:val="000000"/>
          <w:spacing w:val="0"/>
          <w:w w:val="100"/>
          <w:position w:val="0"/>
        </w:rPr>
        <w:t>年新增科研课题</w:t>
      </w:r>
      <w:r>
        <w:rPr>
          <w:rFonts w:ascii="Times New Roman" w:eastAsia="Times New Roman" w:hAnsi="Times New Roman" w:cs="Times New Roman"/>
          <w:color w:val="000000"/>
          <w:spacing w:val="0"/>
          <w:w w:val="100"/>
          <w:position w:val="0"/>
        </w:rPr>
        <w:t>27</w:t>
      </w:r>
      <w:r>
        <w:rPr>
          <w:color w:val="000000"/>
          <w:spacing w:val="0"/>
          <w:w w:val="100"/>
          <w:position w:val="0"/>
        </w:rPr>
        <w:t>项，在研课题总数</w:t>
      </w:r>
      <w:r>
        <w:rPr>
          <w:rFonts w:ascii="Times New Roman" w:eastAsia="Times New Roman" w:hAnsi="Times New Roman" w:cs="Times New Roman"/>
          <w:color w:val="000000"/>
          <w:spacing w:val="0"/>
          <w:w w:val="100"/>
          <w:position w:val="0"/>
        </w:rPr>
        <w:t>66</w:t>
      </w:r>
      <w:r>
        <w:rPr>
          <w:color w:val="000000"/>
          <w:spacing w:val="0"/>
          <w:w w:val="100"/>
          <w:position w:val="0"/>
        </w:rPr>
        <w:t>项，其中国家、省市级科技 计划项目</w:t>
      </w:r>
      <w:r>
        <w:rPr>
          <w:rFonts w:ascii="Times New Roman" w:eastAsia="Times New Roman" w:hAnsi="Times New Roman" w:cs="Times New Roman"/>
          <w:color w:val="000000"/>
          <w:spacing w:val="0"/>
          <w:w w:val="100"/>
          <w:position w:val="0"/>
        </w:rPr>
        <w:t>19</w:t>
      </w:r>
      <w:r>
        <w:rPr>
          <w:color w:val="000000"/>
          <w:spacing w:val="0"/>
          <w:w w:val="100"/>
          <w:position w:val="0"/>
        </w:rPr>
        <w:t>项，国际基金项目</w:t>
      </w:r>
      <w:r>
        <w:rPr>
          <w:rFonts w:ascii="Times New Roman" w:eastAsia="Times New Roman" w:hAnsi="Times New Roman" w:cs="Times New Roman"/>
          <w:color w:val="000000"/>
          <w:spacing w:val="0"/>
          <w:w w:val="100"/>
          <w:position w:val="0"/>
        </w:rPr>
        <w:t>5</w:t>
      </w:r>
      <w:r>
        <w:rPr>
          <w:color w:val="000000"/>
          <w:spacing w:val="0"/>
          <w:w w:val="100"/>
          <w:position w:val="0"/>
        </w:rPr>
        <w:t>项。新增主参编各级标准</w:t>
      </w:r>
      <w:r>
        <w:rPr>
          <w:rFonts w:ascii="Times New Roman" w:eastAsia="Times New Roman" w:hAnsi="Times New Roman" w:cs="Times New Roman"/>
          <w:color w:val="000000"/>
          <w:spacing w:val="0"/>
          <w:w w:val="100"/>
          <w:position w:val="0"/>
        </w:rPr>
        <w:t>15</w:t>
      </w:r>
      <w:r>
        <w:rPr>
          <w:color w:val="000000"/>
          <w:spacing w:val="0"/>
          <w:w w:val="100"/>
          <w:position w:val="0"/>
        </w:rPr>
        <w:t>项，发布国家标准</w:t>
      </w:r>
      <w:r>
        <w:rPr>
          <w:rFonts w:ascii="Times New Roman" w:eastAsia="Times New Roman" w:hAnsi="Times New Roman" w:cs="Times New Roman"/>
          <w:color w:val="000000"/>
          <w:spacing w:val="0"/>
          <w:w w:val="100"/>
          <w:position w:val="0"/>
        </w:rPr>
        <w:t>1</w:t>
      </w:r>
      <w:r>
        <w:rPr>
          <w:color w:val="000000"/>
          <w:spacing w:val="0"/>
          <w:w w:val="100"/>
          <w:position w:val="0"/>
        </w:rPr>
        <w:t>项，地方标准</w:t>
      </w:r>
      <w:r>
        <w:rPr>
          <w:rFonts w:ascii="Times New Roman" w:eastAsia="Times New Roman" w:hAnsi="Times New Roman" w:cs="Times New Roman"/>
          <w:color w:val="000000"/>
          <w:spacing w:val="0"/>
          <w:w w:val="100"/>
          <w:position w:val="0"/>
        </w:rPr>
        <w:t>3</w:t>
      </w:r>
      <w:r>
        <w:rPr>
          <w:color w:val="000000"/>
          <w:spacing w:val="0"/>
          <w:w w:val="100"/>
          <w:position w:val="0"/>
        </w:rPr>
        <w:t>项，团体标准</w:t>
      </w:r>
      <w:r>
        <w:rPr>
          <w:rFonts w:ascii="Times New Roman" w:eastAsia="Times New Roman" w:hAnsi="Times New Roman" w:cs="Times New Roman"/>
          <w:color w:val="000000"/>
          <w:spacing w:val="0"/>
          <w:w w:val="100"/>
          <w:position w:val="0"/>
        </w:rPr>
        <w:t>8</w:t>
      </w:r>
      <w:r>
        <w:rPr>
          <w:color w:val="000000"/>
          <w:spacing w:val="0"/>
          <w:w w:val="100"/>
          <w:position w:val="0"/>
        </w:rPr>
        <w:t>项。新增专利申 请</w:t>
      </w:r>
      <w:r>
        <w:rPr>
          <w:rFonts w:ascii="Times New Roman" w:eastAsia="Times New Roman" w:hAnsi="Times New Roman" w:cs="Times New Roman"/>
          <w:color w:val="000000"/>
          <w:spacing w:val="0"/>
          <w:w w:val="100"/>
          <w:position w:val="0"/>
        </w:rPr>
        <w:t>5</w:t>
      </w:r>
      <w:r>
        <w:rPr>
          <w:color w:val="000000"/>
          <w:spacing w:val="0"/>
          <w:w w:val="100"/>
          <w:position w:val="0"/>
        </w:rPr>
        <w:t>项，新增专利授权</w:t>
      </w:r>
      <w:r>
        <w:rPr>
          <w:rFonts w:ascii="Times New Roman" w:eastAsia="Times New Roman" w:hAnsi="Times New Roman" w:cs="Times New Roman"/>
          <w:color w:val="000000"/>
          <w:spacing w:val="0"/>
          <w:w w:val="100"/>
          <w:position w:val="0"/>
        </w:rPr>
        <w:t>10</w:t>
      </w:r>
      <w:r>
        <w:rPr>
          <w:color w:val="000000"/>
          <w:spacing w:val="0"/>
          <w:w w:val="100"/>
          <w:position w:val="0"/>
        </w:rPr>
        <w:t>项（发明专利</w:t>
      </w:r>
      <w:r>
        <w:rPr>
          <w:rFonts w:ascii="Times New Roman" w:eastAsia="Times New Roman" w:hAnsi="Times New Roman" w:cs="Times New Roman"/>
          <w:color w:val="000000"/>
          <w:spacing w:val="0"/>
          <w:w w:val="100"/>
          <w:position w:val="0"/>
        </w:rPr>
        <w:t>2</w:t>
      </w:r>
      <w:r>
        <w:rPr>
          <w:color w:val="000000"/>
          <w:spacing w:val="0"/>
          <w:w w:val="100"/>
          <w:position w:val="0"/>
        </w:rPr>
        <w:t>项，实用新型</w:t>
      </w:r>
      <w:r>
        <w:rPr>
          <w:rFonts w:ascii="Times New Roman" w:eastAsia="Times New Roman" w:hAnsi="Times New Roman" w:cs="Times New Roman"/>
          <w:color w:val="000000"/>
          <w:spacing w:val="0"/>
          <w:w w:val="100"/>
          <w:position w:val="0"/>
        </w:rPr>
        <w:t>8</w:t>
      </w:r>
      <w:r>
        <w:rPr>
          <w:color w:val="000000"/>
          <w:spacing w:val="0"/>
          <w:w w:val="100"/>
          <w:position w:val="0"/>
        </w:rPr>
        <w:t>项），累计拥有专利</w:t>
      </w:r>
      <w:r>
        <w:rPr>
          <w:rFonts w:ascii="Times New Roman" w:eastAsia="Times New Roman" w:hAnsi="Times New Roman" w:cs="Times New Roman"/>
          <w:color w:val="000000"/>
          <w:spacing w:val="0"/>
          <w:w w:val="100"/>
          <w:position w:val="0"/>
        </w:rPr>
        <w:t>108</w:t>
      </w:r>
      <w:r>
        <w:rPr>
          <w:color w:val="000000"/>
          <w:spacing w:val="0"/>
          <w:w w:val="100"/>
          <w:position w:val="0"/>
        </w:rPr>
        <w:t>项。发表论文</w:t>
      </w:r>
      <w:r>
        <w:rPr>
          <w:rFonts w:ascii="Times New Roman" w:eastAsia="Times New Roman" w:hAnsi="Times New Roman" w:cs="Times New Roman"/>
          <w:color w:val="000000"/>
          <w:spacing w:val="0"/>
          <w:w w:val="100"/>
          <w:position w:val="0"/>
        </w:rPr>
        <w:t>35</w:t>
      </w:r>
      <w:r>
        <w:rPr>
          <w:color w:val="000000"/>
          <w:spacing w:val="0"/>
          <w:w w:val="100"/>
          <w:position w:val="0"/>
        </w:rPr>
        <w:t>篇，其中发表</w:t>
      </w:r>
      <w:r>
        <w:rPr>
          <w:rFonts w:ascii="Times New Roman" w:eastAsia="Times New Roman" w:hAnsi="Times New Roman" w:cs="Times New Roman"/>
          <w:color w:val="000000"/>
          <w:spacing w:val="0"/>
          <w:w w:val="100"/>
          <w:position w:val="0"/>
        </w:rPr>
        <w:t>SCI</w:t>
      </w:r>
      <w:r>
        <w:rPr>
          <w:color w:val="000000"/>
          <w:spacing w:val="0"/>
          <w:w w:val="100"/>
          <w:position w:val="0"/>
        </w:rPr>
        <w:t>论文</w:t>
      </w:r>
      <w:r>
        <w:rPr>
          <w:rFonts w:ascii="Times New Roman" w:eastAsia="Times New Roman" w:hAnsi="Times New Roman" w:cs="Times New Roman"/>
          <w:color w:val="000000"/>
          <w:spacing w:val="0"/>
          <w:w w:val="100"/>
          <w:position w:val="0"/>
        </w:rPr>
        <w:t>9</w:t>
      </w:r>
      <w:r>
        <w:rPr>
          <w:color w:val="000000"/>
          <w:spacing w:val="0"/>
          <w:w w:val="100"/>
          <w:position w:val="0"/>
        </w:rPr>
        <w:t>篇。其 中，承担的</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国家重点研发计划项目《既有城市工业区功能提升与改造技术》已通过科技部评审验收，项目面向既有 城市工业区绿色提升改造需求，突破理论方法不健全、模式不清晰、技术体系不完善等技术瓶颈，研究形成了一套既有城市 工业区功能提升与改造的全过程技术体系，涵盖模式评估、诊断策划、规划设计、实施建造、运营管理等环节，为全面提升 空间效率、能源效率和环境品质提供支撑。组织多次国内外会议论坛、学术研讨分享等，在了解行业前沿信息的同时，建立 广泛的联系与合作，增加行业影响力。</w:t>
      </w:r>
    </w:p>
    <w:p>
      <w:pPr>
        <w:pStyle w:val="Style20"/>
        <w:keepNext w:val="0"/>
        <w:keepLines w:val="0"/>
        <w:widowControl w:val="0"/>
        <w:numPr>
          <w:ilvl w:val="0"/>
          <w:numId w:val="7"/>
        </w:numPr>
        <w:shd w:val="clear" w:color="auto" w:fill="auto"/>
        <w:tabs>
          <w:tab w:pos="760" w:val="left"/>
        </w:tabs>
        <w:bidi w:val="0"/>
        <w:spacing w:before="0" w:after="0" w:line="313" w:lineRule="exact"/>
        <w:ind w:left="0" w:right="0" w:firstLine="500"/>
        <w:jc w:val="both"/>
      </w:pPr>
      <w:bookmarkStart w:id="54" w:name="bookmark54"/>
      <w:bookmarkEnd w:id="54"/>
      <w:r>
        <w:rPr>
          <w:b/>
          <w:bCs/>
          <w:color w:val="000000"/>
          <w:spacing w:val="0"/>
          <w:w w:val="100"/>
          <w:position w:val="0"/>
        </w:rPr>
        <w:t>科技成果转化进一步加速，业务科技含量继续提升，更好满足客户新需求</w:t>
      </w:r>
    </w:p>
    <w:p>
      <w:pPr>
        <w:pStyle w:val="Style20"/>
        <w:keepNext w:val="0"/>
        <w:keepLines w:val="0"/>
        <w:widowControl w:val="0"/>
        <w:shd w:val="clear" w:color="auto" w:fill="auto"/>
        <w:bidi w:val="0"/>
        <w:spacing w:before="0" w:after="0" w:line="313" w:lineRule="exact"/>
        <w:ind w:left="0" w:right="0" w:firstLine="50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年系统梳理历年科研成果，研究实施科技成果转化收益分享机制并逐步形成涵盖</w:t>
      </w:r>
      <w:r>
        <w:rPr>
          <w:rFonts w:ascii="Times New Roman" w:eastAsia="Times New Roman" w:hAnsi="Times New Roman" w:cs="Times New Roman"/>
          <w:color w:val="000000"/>
          <w:spacing w:val="0"/>
          <w:w w:val="100"/>
          <w:position w:val="0"/>
        </w:rPr>
        <w:t>“</w:t>
      </w:r>
      <w:r>
        <w:rPr>
          <w:color w:val="000000"/>
          <w:spacing w:val="0"/>
          <w:w w:val="100"/>
          <w:position w:val="0"/>
        </w:rPr>
        <w:t>生态诊断、平衡规划、动态实 施、智慧运营、持续评估</w:t>
      </w:r>
      <w:r>
        <w:rPr>
          <w:rFonts w:ascii="Times New Roman" w:eastAsia="Times New Roman" w:hAnsi="Times New Roman" w:cs="Times New Roman"/>
          <w:color w:val="000000"/>
          <w:spacing w:val="0"/>
          <w:w w:val="100"/>
          <w:position w:val="0"/>
        </w:rPr>
        <w:t>”</w:t>
      </w:r>
      <w:r>
        <w:rPr>
          <w:color w:val="000000"/>
          <w:spacing w:val="0"/>
          <w:w w:val="100"/>
          <w:position w:val="0"/>
        </w:rPr>
        <w:t>的全链条低碳规划技术服务产品创新体系，战略创新业务持续引领行业。</w:t>
      </w:r>
    </w:p>
    <w:p>
      <w:pPr>
        <w:pStyle w:val="Style2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一是生态诊断方面。以</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目标为导向，基于</w:t>
      </w:r>
      <w:r>
        <w:rPr>
          <w:rFonts w:ascii="Times New Roman" w:eastAsia="Times New Roman" w:hAnsi="Times New Roman" w:cs="Times New Roman"/>
          <w:color w:val="000000"/>
          <w:spacing w:val="0"/>
          <w:w w:val="100"/>
          <w:position w:val="0"/>
        </w:rPr>
        <w:t>11</w:t>
      </w:r>
      <w:r>
        <w:rPr>
          <w:color w:val="000000"/>
          <w:spacing w:val="0"/>
          <w:w w:val="100"/>
          <w:position w:val="0"/>
        </w:rPr>
        <w:t>年的生态城市研究深化，</w:t>
      </w:r>
      <w:r>
        <w:rPr>
          <w:rFonts w:ascii="Times New Roman" w:eastAsia="Times New Roman" w:hAnsi="Times New Roman" w:cs="Times New Roman"/>
          <w:color w:val="000000"/>
          <w:spacing w:val="0"/>
          <w:w w:val="100"/>
          <w:position w:val="0"/>
        </w:rPr>
        <w:t>“</w:t>
      </w:r>
      <w:r>
        <w:rPr>
          <w:color w:val="000000"/>
          <w:spacing w:val="0"/>
          <w:w w:val="100"/>
          <w:position w:val="0"/>
        </w:rPr>
        <w:t>城市优地指数评估</w:t>
      </w:r>
      <w:r>
        <w:rPr>
          <w:rFonts w:ascii="Times New Roman" w:eastAsia="Times New Roman" w:hAnsi="Times New Roman" w:cs="Times New Roman"/>
          <w:color w:val="000000"/>
          <w:spacing w:val="0"/>
          <w:w w:val="100"/>
          <w:position w:val="0"/>
        </w:rPr>
        <w:t>”</w:t>
      </w:r>
      <w:r>
        <w:rPr>
          <w:color w:val="000000"/>
          <w:spacing w:val="0"/>
          <w:w w:val="100"/>
          <w:position w:val="0"/>
        </w:rPr>
        <w:t>再创新。更新了</w:t>
      </w:r>
      <w:r>
        <w:rPr>
          <w:rFonts w:ascii="Times New Roman" w:eastAsia="Times New Roman" w:hAnsi="Times New Roman" w:cs="Times New Roman"/>
          <w:color w:val="000000"/>
          <w:spacing w:val="0"/>
          <w:w w:val="100"/>
          <w:position w:val="0"/>
        </w:rPr>
        <w:t>287</w:t>
      </w:r>
      <w:r>
        <w:rPr>
          <w:color w:val="000000"/>
          <w:spacing w:val="0"/>
          <w:w w:val="100"/>
          <w:position w:val="0"/>
        </w:rPr>
        <w:t>个 地级及以上城市生态宜居发展指数评估结果，同时结合第七次人口普查数据分析不同类型城市的人口动态情况，分析各类城 市的人口吸引力。此外，对能源、工业、建筑和交通板块中与碳排放直接或间接关联的评估指标等进行专项评估，正在开发 省市碳排放计算平台，已完成</w:t>
      </w:r>
      <w:r>
        <w:rPr>
          <w:rFonts w:ascii="Times New Roman" w:eastAsia="Times New Roman" w:hAnsi="Times New Roman" w:cs="Times New Roman"/>
          <w:color w:val="000000"/>
          <w:spacing w:val="0"/>
          <w:w w:val="100"/>
          <w:position w:val="0"/>
        </w:rPr>
        <w:t>30</w:t>
      </w:r>
      <w:r>
        <w:rPr>
          <w:color w:val="000000"/>
          <w:spacing w:val="0"/>
          <w:w w:val="100"/>
          <w:position w:val="0"/>
        </w:rPr>
        <w:t>个省</w:t>
      </w:r>
      <w:r>
        <w:rPr>
          <w:rFonts w:ascii="Times New Roman" w:eastAsia="Times New Roman" w:hAnsi="Times New Roman" w:cs="Times New Roman"/>
          <w:color w:val="000000"/>
          <w:spacing w:val="0"/>
          <w:w w:val="100"/>
          <w:position w:val="0"/>
        </w:rPr>
        <w:t>2010-2019</w:t>
      </w:r>
      <w:r>
        <w:rPr>
          <w:color w:val="000000"/>
          <w:spacing w:val="0"/>
          <w:w w:val="100"/>
          <w:position w:val="0"/>
        </w:rPr>
        <w:t>年碳排放数据，通过优地指数研究各类城市的碳排放现状特征及发展潜力， 从城市生态本底诊断、生态空间修复、绿色转型路径等方面深化与业务部门的协同，在实践中将研究转化为落地方案，培育 业务板块，寻求市场机遇与回报。</w:t>
      </w:r>
    </w:p>
    <w:p>
      <w:pPr>
        <w:pStyle w:val="Style2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二是平衡规划方面。</w:t>
      </w:r>
      <w:r>
        <w:rPr>
          <w:rFonts w:ascii="Times New Roman" w:eastAsia="Times New Roman" w:hAnsi="Times New Roman" w:cs="Times New Roman"/>
          <w:color w:val="000000"/>
          <w:spacing w:val="0"/>
          <w:w w:val="100"/>
          <w:position w:val="0"/>
        </w:rPr>
        <w:t>2021</w:t>
      </w:r>
      <w:r>
        <w:rPr>
          <w:color w:val="000000"/>
          <w:spacing w:val="0"/>
          <w:w w:val="100"/>
          <w:position w:val="0"/>
        </w:rPr>
        <w:t>年主持国内多个城市的绿色、低碳、生态类规划编制研究工作，包括《珠海市国土空间生态 修复规划（</w:t>
      </w:r>
      <w:r>
        <w:rPr>
          <w:rFonts w:ascii="Times New Roman" w:eastAsia="Times New Roman" w:hAnsi="Times New Roman" w:cs="Times New Roman"/>
          <w:color w:val="000000"/>
          <w:spacing w:val="0"/>
          <w:w w:val="100"/>
          <w:position w:val="0"/>
        </w:rPr>
        <w:t>2020-2035</w:t>
      </w:r>
      <w:r>
        <w:rPr>
          <w:color w:val="000000"/>
          <w:spacing w:val="0"/>
          <w:w w:val="100"/>
          <w:position w:val="0"/>
        </w:rPr>
        <w:t>年）》、河北张家口市张北县国土空间总体规划、东莞国际商务区绿色低碳建筑专项规划等。</w:t>
      </w:r>
    </w:p>
    <w:p>
      <w:pPr>
        <w:pStyle w:val="Style2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三是动态实施方面。围绕</w:t>
      </w:r>
      <w:r>
        <w:rPr>
          <w:rFonts w:ascii="Times New Roman" w:eastAsia="Times New Roman" w:hAnsi="Times New Roman" w:cs="Times New Roman"/>
          <w:color w:val="000000"/>
          <w:spacing w:val="0"/>
          <w:w w:val="100"/>
          <w:position w:val="0"/>
        </w:rPr>
        <w:t>“</w:t>
      </w:r>
      <w:r>
        <w:rPr>
          <w:color w:val="000000"/>
          <w:spacing w:val="0"/>
          <w:w w:val="100"/>
          <w:position w:val="0"/>
        </w:rPr>
        <w:t>安全韧性</w:t>
      </w:r>
      <w:r>
        <w:rPr>
          <w:rFonts w:ascii="Times New Roman" w:eastAsia="Times New Roman" w:hAnsi="Times New Roman" w:cs="Times New Roman"/>
          <w:color w:val="000000"/>
          <w:spacing w:val="0"/>
          <w:w w:val="100"/>
          <w:position w:val="0"/>
        </w:rPr>
        <w:t>”“</w:t>
      </w:r>
      <w:r>
        <w:rPr>
          <w:color w:val="000000"/>
          <w:spacing w:val="0"/>
          <w:w w:val="100"/>
          <w:position w:val="0"/>
        </w:rPr>
        <w:t>绿色低碳</w:t>
      </w:r>
      <w:r>
        <w:rPr>
          <w:rFonts w:ascii="Times New Roman" w:eastAsia="Times New Roman" w:hAnsi="Times New Roman" w:cs="Times New Roman"/>
          <w:color w:val="000000"/>
          <w:spacing w:val="0"/>
          <w:w w:val="100"/>
          <w:position w:val="0"/>
        </w:rPr>
        <w:t>”“</w:t>
      </w:r>
      <w:r>
        <w:rPr>
          <w:color w:val="000000"/>
          <w:spacing w:val="0"/>
          <w:w w:val="100"/>
          <w:position w:val="0"/>
        </w:rPr>
        <w:t>品质提升</w:t>
      </w:r>
      <w:r>
        <w:rPr>
          <w:rFonts w:ascii="Times New Roman" w:eastAsia="Times New Roman" w:hAnsi="Times New Roman" w:cs="Times New Roman"/>
          <w:color w:val="000000"/>
          <w:spacing w:val="0"/>
          <w:w w:val="100"/>
          <w:position w:val="0"/>
        </w:rPr>
        <w:t>”</w:t>
      </w:r>
      <w:r>
        <w:rPr>
          <w:color w:val="000000"/>
          <w:spacing w:val="0"/>
          <w:w w:val="100"/>
          <w:position w:val="0"/>
        </w:rPr>
        <w:t>三大核心特色，贯彻执行</w:t>
      </w:r>
      <w:r>
        <w:rPr>
          <w:rFonts w:ascii="Times New Roman" w:eastAsia="Times New Roman" w:hAnsi="Times New Roman" w:cs="Times New Roman"/>
          <w:color w:val="000000"/>
          <w:spacing w:val="0"/>
          <w:w w:val="100"/>
          <w:position w:val="0"/>
        </w:rPr>
        <w:t>“</w:t>
      </w:r>
      <w:r>
        <w:rPr>
          <w:color w:val="000000"/>
          <w:spacing w:val="0"/>
          <w:w w:val="100"/>
          <w:position w:val="0"/>
        </w:rPr>
        <w:t>城市客户</w:t>
      </w:r>
      <w:r>
        <w:rPr>
          <w:rFonts w:ascii="Times New Roman" w:eastAsia="Times New Roman" w:hAnsi="Times New Roman" w:cs="Times New Roman"/>
          <w:color w:val="000000"/>
          <w:spacing w:val="0"/>
          <w:w w:val="100"/>
          <w:position w:val="0"/>
        </w:rPr>
        <w:t>”</w:t>
      </w:r>
      <w:r>
        <w:rPr>
          <w:color w:val="000000"/>
          <w:spacing w:val="0"/>
          <w:w w:val="100"/>
          <w:position w:val="0"/>
        </w:rPr>
        <w:t>市场战略，试点以技 术总顾问身份，为政府部门提供</w:t>
      </w:r>
      <w:r>
        <w:rPr>
          <w:rFonts w:ascii="Times New Roman" w:eastAsia="Times New Roman" w:hAnsi="Times New Roman" w:cs="Times New Roman"/>
          <w:color w:val="000000"/>
          <w:spacing w:val="0"/>
          <w:w w:val="100"/>
          <w:position w:val="0"/>
        </w:rPr>
        <w:t>“</w:t>
      </w:r>
      <w:r>
        <w:rPr>
          <w:color w:val="000000"/>
          <w:spacing w:val="0"/>
          <w:w w:val="100"/>
          <w:position w:val="0"/>
        </w:rPr>
        <w:t>科学的绿色低碳目标研究，合理的路线图制定，系统的安全韧性、绿色低碳、品质提升技 术咨询服务</w:t>
      </w:r>
      <w:r>
        <w:rPr>
          <w:rFonts w:ascii="Times New Roman" w:eastAsia="Times New Roman" w:hAnsi="Times New Roman" w:cs="Times New Roman"/>
          <w:color w:val="000000"/>
          <w:spacing w:val="0"/>
          <w:w w:val="100"/>
          <w:position w:val="0"/>
        </w:rPr>
        <w:t>”</w:t>
      </w:r>
      <w:r>
        <w:rPr>
          <w:color w:val="000000"/>
          <w:spacing w:val="0"/>
          <w:w w:val="100"/>
          <w:position w:val="0"/>
        </w:rPr>
        <w:t>，以此打造公司技术总顾问业务模式，并以此引导规划设计、建设管理、检测认证及绿色运营等业务更好形成 协同甚至整合效应，提升公司业务综合竞争力。</w:t>
      </w:r>
    </w:p>
    <w:p>
      <w:pPr>
        <w:pStyle w:val="Style2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四是智慧运营方面。</w:t>
      </w:r>
      <w:r>
        <w:rPr>
          <w:rFonts w:ascii="Times New Roman" w:eastAsia="Times New Roman" w:hAnsi="Times New Roman" w:cs="Times New Roman"/>
          <w:color w:val="000000"/>
          <w:spacing w:val="0"/>
          <w:w w:val="100"/>
          <w:position w:val="0"/>
        </w:rPr>
        <w:t>2009</w:t>
      </w:r>
      <w:r>
        <w:rPr>
          <w:color w:val="000000"/>
          <w:spacing w:val="0"/>
          <w:w w:val="100"/>
          <w:position w:val="0"/>
        </w:rPr>
        <w:t>年建成的三星级绿色建筑典范、公司总部</w:t>
      </w:r>
      <w:r>
        <w:rPr>
          <w:rFonts w:ascii="Times New Roman" w:eastAsia="Times New Roman" w:hAnsi="Times New Roman" w:cs="Times New Roman"/>
          <w:color w:val="000000"/>
          <w:spacing w:val="0"/>
          <w:w w:val="100"/>
          <w:position w:val="0"/>
        </w:rPr>
        <w:t>“</w:t>
      </w:r>
      <w:r>
        <w:rPr>
          <w:color w:val="000000"/>
          <w:spacing w:val="0"/>
          <w:w w:val="100"/>
          <w:position w:val="0"/>
        </w:rPr>
        <w:t>建科大楼</w:t>
      </w:r>
      <w:r>
        <w:rPr>
          <w:rFonts w:ascii="Times New Roman" w:eastAsia="Times New Roman" w:hAnsi="Times New Roman" w:cs="Times New Roman"/>
          <w:color w:val="000000"/>
          <w:spacing w:val="0"/>
          <w:w w:val="100"/>
          <w:position w:val="0"/>
        </w:rPr>
        <w:t>”</w:t>
      </w:r>
      <w:r>
        <w:rPr>
          <w:color w:val="000000"/>
          <w:spacing w:val="0"/>
          <w:w w:val="100"/>
          <w:position w:val="0"/>
        </w:rPr>
        <w:t>作为</w:t>
      </w:r>
      <w:r>
        <w:rPr>
          <w:rFonts w:ascii="Times New Roman" w:eastAsia="Times New Roman" w:hAnsi="Times New Roman" w:cs="Times New Roman"/>
          <w:color w:val="000000"/>
          <w:spacing w:val="0"/>
          <w:w w:val="100"/>
          <w:position w:val="0"/>
        </w:rPr>
        <w:t>“</w:t>
      </w:r>
      <w:r>
        <w:rPr>
          <w:color w:val="000000"/>
          <w:spacing w:val="0"/>
          <w:w w:val="100"/>
          <w:position w:val="0"/>
        </w:rPr>
        <w:t>建筑绿色低碳运行管理典型案例</w:t>
      </w:r>
      <w:r>
        <w:rPr>
          <w:rFonts w:ascii="Times New Roman" w:eastAsia="Times New Roman" w:hAnsi="Times New Roman" w:cs="Times New Roman"/>
          <w:color w:val="000000"/>
          <w:spacing w:val="0"/>
          <w:w w:val="100"/>
          <w:position w:val="0"/>
        </w:rPr>
        <w:t xml:space="preserve">” </w:t>
      </w:r>
      <w:r>
        <w:rPr>
          <w:color w:val="000000"/>
          <w:spacing w:val="0"/>
          <w:w w:val="100"/>
          <w:position w:val="0"/>
        </w:rPr>
        <w:t>成功申报城乡建设领域碳达峰碳中和先进案例。公司最新绿色社区案例</w:t>
      </w:r>
      <w:r>
        <w:rPr>
          <w:rFonts w:ascii="Times New Roman" w:eastAsia="Times New Roman" w:hAnsi="Times New Roman" w:cs="Times New Roman"/>
          <w:color w:val="000000"/>
          <w:spacing w:val="0"/>
          <w:w w:val="100"/>
          <w:position w:val="0"/>
        </w:rPr>
        <w:t>“</w:t>
      </w:r>
      <w:r>
        <w:rPr>
          <w:color w:val="000000"/>
          <w:spacing w:val="0"/>
          <w:w w:val="100"/>
          <w:position w:val="0"/>
        </w:rPr>
        <w:t>未来大厦</w:t>
      </w:r>
      <w:r>
        <w:rPr>
          <w:rFonts w:ascii="Times New Roman" w:eastAsia="Times New Roman" w:hAnsi="Times New Roman" w:cs="Times New Roman"/>
          <w:color w:val="000000"/>
          <w:spacing w:val="0"/>
          <w:w w:val="100"/>
          <w:position w:val="0"/>
        </w:rPr>
        <w:t>”</w:t>
      </w:r>
      <w:r>
        <w:rPr>
          <w:color w:val="000000"/>
          <w:spacing w:val="0"/>
          <w:w w:val="100"/>
          <w:position w:val="0"/>
        </w:rPr>
        <w:t>探索智慧运营模式取得突破，搭建了去中 心化（边缘计算）的</w:t>
      </w:r>
      <w:r>
        <w:rPr>
          <w:rFonts w:ascii="Times New Roman" w:eastAsia="Times New Roman" w:hAnsi="Times New Roman" w:cs="Times New Roman"/>
          <w:color w:val="000000"/>
          <w:spacing w:val="0"/>
          <w:w w:val="100"/>
          <w:position w:val="0"/>
        </w:rPr>
        <w:t>“</w:t>
      </w:r>
      <w:r>
        <w:rPr>
          <w:color w:val="000000"/>
          <w:spacing w:val="0"/>
          <w:w w:val="100"/>
          <w:position w:val="0"/>
        </w:rPr>
        <w:t>群智能</w:t>
      </w:r>
      <w:r>
        <w:rPr>
          <w:rFonts w:ascii="Times New Roman" w:eastAsia="Times New Roman" w:hAnsi="Times New Roman" w:cs="Times New Roman"/>
          <w:color w:val="000000"/>
          <w:spacing w:val="0"/>
          <w:w w:val="100"/>
          <w:position w:val="0"/>
        </w:rPr>
        <w:t>”</w:t>
      </w:r>
      <w:r>
        <w:rPr>
          <w:color w:val="000000"/>
          <w:spacing w:val="0"/>
          <w:w w:val="100"/>
          <w:position w:val="0"/>
        </w:rPr>
        <w:t>控制系统，目标是实现在不同建筑中</w:t>
      </w:r>
      <w:r>
        <w:rPr>
          <w:rFonts w:ascii="Times New Roman" w:eastAsia="Times New Roman" w:hAnsi="Times New Roman" w:cs="Times New Roman"/>
          <w:color w:val="000000"/>
          <w:spacing w:val="0"/>
          <w:w w:val="100"/>
          <w:position w:val="0"/>
        </w:rPr>
        <w:t>“</w:t>
      </w:r>
      <w:r>
        <w:rPr>
          <w:color w:val="000000"/>
          <w:spacing w:val="0"/>
          <w:w w:val="100"/>
          <w:position w:val="0"/>
        </w:rPr>
        <w:t>复制</w:t>
      </w:r>
      <w:r>
        <w:rPr>
          <w:rFonts w:ascii="Times New Roman" w:eastAsia="Times New Roman" w:hAnsi="Times New Roman" w:cs="Times New Roman"/>
          <w:color w:val="000000"/>
          <w:spacing w:val="0"/>
          <w:w w:val="100"/>
          <w:position w:val="0"/>
        </w:rPr>
        <w:t>”</w:t>
      </w:r>
      <w:r>
        <w:rPr>
          <w:color w:val="000000"/>
          <w:spacing w:val="0"/>
          <w:w w:val="100"/>
          <w:position w:val="0"/>
        </w:rPr>
        <w:t>最大标准单元智能系统，实现智能本地控制，拥有 标准化的信息模型，实现本身单元的参数监测、安全运行、调节控制、能耗监测和故障报警并与相邻单元协作，最后完成全 局控制。</w:t>
      </w:r>
    </w:p>
    <w:p>
      <w:pPr>
        <w:pStyle w:val="Style2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五是持续评估方面。</w:t>
      </w:r>
      <w:r>
        <w:rPr>
          <w:rFonts w:ascii="Times New Roman" w:eastAsia="Times New Roman" w:hAnsi="Times New Roman" w:cs="Times New Roman"/>
          <w:color w:val="000000"/>
          <w:spacing w:val="0"/>
          <w:w w:val="100"/>
          <w:position w:val="0"/>
        </w:rPr>
        <w:t>2021</w:t>
      </w:r>
      <w:r>
        <w:rPr>
          <w:color w:val="000000"/>
          <w:spacing w:val="0"/>
          <w:w w:val="100"/>
          <w:position w:val="0"/>
        </w:rPr>
        <w:t>年推动福田区开展</w:t>
      </w:r>
      <w:r>
        <w:rPr>
          <w:rFonts w:ascii="Times New Roman" w:eastAsia="Times New Roman" w:hAnsi="Times New Roman" w:cs="Times New Roman"/>
          <w:color w:val="000000"/>
          <w:spacing w:val="0"/>
          <w:w w:val="100"/>
          <w:position w:val="0"/>
        </w:rPr>
        <w:t>“</w:t>
      </w:r>
      <w:r>
        <w:rPr>
          <w:color w:val="000000"/>
          <w:spacing w:val="0"/>
          <w:w w:val="100"/>
          <w:position w:val="0"/>
        </w:rPr>
        <w:t>公共建筑卓越绿装降污减碳</w:t>
      </w:r>
      <w:r>
        <w:rPr>
          <w:rFonts w:ascii="Times New Roman" w:eastAsia="Times New Roman" w:hAnsi="Times New Roman" w:cs="Times New Roman"/>
          <w:color w:val="000000"/>
          <w:spacing w:val="0"/>
          <w:w w:val="100"/>
          <w:position w:val="0"/>
        </w:rPr>
        <w:t>”</w:t>
      </w:r>
      <w:r>
        <w:rPr>
          <w:color w:val="000000"/>
          <w:spacing w:val="0"/>
          <w:w w:val="100"/>
          <w:position w:val="0"/>
        </w:rPr>
        <w:t>行动，实施装修污染全过程管控技术，选取 重点民生公共项目建设工程</w:t>
      </w:r>
      <w:r>
        <w:rPr>
          <w:rFonts w:ascii="Times New Roman" w:eastAsia="Times New Roman" w:hAnsi="Times New Roman" w:cs="Times New Roman"/>
          <w:color w:val="000000"/>
          <w:spacing w:val="0"/>
          <w:w w:val="100"/>
          <w:position w:val="0"/>
        </w:rPr>
        <w:t>28</w:t>
      </w:r>
      <w:r>
        <w:rPr>
          <w:color w:val="000000"/>
          <w:spacing w:val="0"/>
          <w:w w:val="100"/>
          <w:position w:val="0"/>
        </w:rPr>
        <w:t>个试点，大力提高新装修公共项目室内空气质量，着力为市民提供更多放心呼吸的公共环境， 是深入开展</w:t>
      </w:r>
      <w:r>
        <w:rPr>
          <w:rFonts w:ascii="Times New Roman" w:eastAsia="Times New Roman" w:hAnsi="Times New Roman" w:cs="Times New Roman"/>
          <w:color w:val="000000"/>
          <w:spacing w:val="0"/>
          <w:w w:val="100"/>
          <w:position w:val="0"/>
        </w:rPr>
        <w:t>“</w:t>
      </w:r>
      <w:r>
        <w:rPr>
          <w:color w:val="000000"/>
          <w:spacing w:val="0"/>
          <w:w w:val="100"/>
          <w:position w:val="0"/>
        </w:rPr>
        <w:t>我为群众办实事</w:t>
      </w:r>
      <w:r>
        <w:rPr>
          <w:rFonts w:ascii="Times New Roman" w:eastAsia="Times New Roman" w:hAnsi="Times New Roman" w:cs="Times New Roman"/>
          <w:color w:val="000000"/>
          <w:spacing w:val="0"/>
          <w:w w:val="100"/>
          <w:position w:val="0"/>
        </w:rPr>
        <w:t>”</w:t>
      </w:r>
      <w:r>
        <w:rPr>
          <w:color w:val="000000"/>
          <w:spacing w:val="0"/>
          <w:w w:val="100"/>
          <w:position w:val="0"/>
        </w:rPr>
        <w:t>的具体实践，已完工项目</w:t>
      </w:r>
      <w:r>
        <w:rPr>
          <w:rFonts w:ascii="Times New Roman" w:eastAsia="Times New Roman" w:hAnsi="Times New Roman" w:cs="Times New Roman"/>
          <w:color w:val="000000"/>
          <w:spacing w:val="0"/>
          <w:w w:val="100"/>
          <w:position w:val="0"/>
        </w:rPr>
        <w:t>6</w:t>
      </w:r>
      <w:r>
        <w:rPr>
          <w:color w:val="000000"/>
          <w:spacing w:val="0"/>
          <w:w w:val="100"/>
          <w:position w:val="0"/>
        </w:rPr>
        <w:t>项，效果显著，相关科研成果</w:t>
      </w:r>
      <w:r>
        <w:rPr>
          <w:rFonts w:ascii="Times New Roman" w:eastAsia="Times New Roman" w:hAnsi="Times New Roman" w:cs="Times New Roman"/>
          <w:color w:val="000000"/>
          <w:spacing w:val="0"/>
          <w:w w:val="100"/>
          <w:position w:val="0"/>
        </w:rPr>
        <w:t>“</w:t>
      </w:r>
      <w:r>
        <w:rPr>
          <w:color w:val="000000"/>
          <w:spacing w:val="0"/>
          <w:w w:val="100"/>
          <w:position w:val="0"/>
        </w:rPr>
        <w:t>室内装修污染防控理论、关键技术及 应用</w:t>
      </w:r>
      <w:r>
        <w:rPr>
          <w:rFonts w:ascii="Times New Roman" w:eastAsia="Times New Roman" w:hAnsi="Times New Roman" w:cs="Times New Roman"/>
          <w:color w:val="000000"/>
          <w:spacing w:val="0"/>
          <w:w w:val="100"/>
          <w:position w:val="0"/>
        </w:rPr>
        <w:t>”</w:t>
      </w:r>
      <w:r>
        <w:rPr>
          <w:color w:val="000000"/>
          <w:spacing w:val="0"/>
          <w:w w:val="100"/>
          <w:position w:val="0"/>
        </w:rPr>
        <w:t>被评为</w:t>
      </w:r>
      <w:r>
        <w:rPr>
          <w:rFonts w:ascii="Times New Roman" w:eastAsia="Times New Roman" w:hAnsi="Times New Roman" w:cs="Times New Roman"/>
          <w:color w:val="000000"/>
          <w:spacing w:val="0"/>
          <w:w w:val="100"/>
          <w:position w:val="0"/>
        </w:rPr>
        <w:t>2021</w:t>
      </w:r>
      <w:r>
        <w:rPr>
          <w:color w:val="000000"/>
          <w:spacing w:val="0"/>
          <w:w w:val="100"/>
          <w:position w:val="0"/>
        </w:rPr>
        <w:t>年度深圳市科技进步奖二等奖，是建筑行业在当年该奖中唯一获奖项目。</w:t>
      </w:r>
    </w:p>
    <w:p>
      <w:pPr>
        <w:pStyle w:val="Style20"/>
        <w:keepNext w:val="0"/>
        <w:keepLines w:val="0"/>
        <w:widowControl w:val="0"/>
        <w:numPr>
          <w:ilvl w:val="0"/>
          <w:numId w:val="7"/>
        </w:numPr>
        <w:shd w:val="clear" w:color="auto" w:fill="auto"/>
        <w:tabs>
          <w:tab w:pos="760" w:val="left"/>
        </w:tabs>
        <w:bidi w:val="0"/>
        <w:spacing w:before="0" w:after="0" w:line="313" w:lineRule="exact"/>
        <w:ind w:left="0" w:right="0" w:firstLine="500"/>
        <w:jc w:val="both"/>
      </w:pPr>
      <w:bookmarkStart w:id="55" w:name="bookmark55"/>
      <w:bookmarkEnd w:id="55"/>
      <w:r>
        <w:rPr>
          <w:b/>
          <w:bCs/>
          <w:color w:val="000000"/>
          <w:spacing w:val="0"/>
          <w:w w:val="100"/>
          <w:position w:val="0"/>
        </w:rPr>
        <w:t>加快绿色低碳最新科技成果示范应用，未来大厦“伴”建筑、“光储直柔”国家级示范成果初显</w:t>
      </w:r>
    </w:p>
    <w:p>
      <w:pPr>
        <w:pStyle w:val="Style2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新一代绿色科技场景式创新平台</w:t>
      </w:r>
      <w:r>
        <w:rPr>
          <w:rFonts w:ascii="Times New Roman" w:eastAsia="Times New Roman" w:hAnsi="Times New Roman" w:cs="Times New Roman"/>
          <w:color w:val="000000"/>
          <w:spacing w:val="0"/>
          <w:w w:val="100"/>
          <w:position w:val="0"/>
        </w:rPr>
        <w:t>“</w:t>
      </w:r>
      <w:r>
        <w:rPr>
          <w:color w:val="000000"/>
          <w:spacing w:val="0"/>
          <w:w w:val="100"/>
          <w:position w:val="0"/>
        </w:rPr>
        <w:t>未来大厦</w:t>
      </w:r>
      <w:r>
        <w:rPr>
          <w:rFonts w:ascii="Times New Roman" w:eastAsia="Times New Roman" w:hAnsi="Times New Roman" w:cs="Times New Roman"/>
          <w:color w:val="000000"/>
          <w:spacing w:val="0"/>
          <w:w w:val="100"/>
          <w:position w:val="0"/>
        </w:rPr>
        <w:t>”</w:t>
      </w:r>
      <w:r>
        <w:rPr>
          <w:color w:val="000000"/>
          <w:spacing w:val="0"/>
          <w:w w:val="100"/>
          <w:position w:val="0"/>
        </w:rPr>
        <w:t>以建筑虚拟电厂、</w:t>
      </w:r>
      <w:r>
        <w:rPr>
          <w:rFonts w:ascii="Times New Roman" w:eastAsia="Times New Roman" w:hAnsi="Times New Roman" w:cs="Times New Roman"/>
          <w:color w:val="000000"/>
          <w:spacing w:val="0"/>
          <w:w w:val="100"/>
          <w:position w:val="0"/>
        </w:rPr>
        <w:t>“</w:t>
      </w:r>
      <w:r>
        <w:rPr>
          <w:color w:val="000000"/>
          <w:spacing w:val="0"/>
          <w:w w:val="100"/>
          <w:position w:val="0"/>
        </w:rPr>
        <w:t>光储直柔</w:t>
      </w:r>
      <w:r>
        <w:rPr>
          <w:rFonts w:ascii="Times New Roman" w:eastAsia="Times New Roman" w:hAnsi="Times New Roman" w:cs="Times New Roman"/>
          <w:color w:val="000000"/>
          <w:spacing w:val="0"/>
          <w:w w:val="100"/>
          <w:position w:val="0"/>
        </w:rPr>
        <w:t>”</w:t>
      </w:r>
      <w:r>
        <w:rPr>
          <w:color w:val="000000"/>
          <w:spacing w:val="0"/>
          <w:w w:val="100"/>
          <w:position w:val="0"/>
        </w:rPr>
        <w:t>、城市</w:t>
      </w:r>
      <w:r>
        <w:rPr>
          <w:rFonts w:ascii="Times New Roman" w:eastAsia="Times New Roman" w:hAnsi="Times New Roman" w:cs="Times New Roman"/>
          <w:color w:val="000000"/>
          <w:spacing w:val="0"/>
          <w:w w:val="100"/>
          <w:position w:val="0"/>
        </w:rPr>
        <w:t>“</w:t>
      </w:r>
      <w:r>
        <w:rPr>
          <w:color w:val="000000"/>
          <w:spacing w:val="0"/>
          <w:w w:val="100"/>
          <w:position w:val="0"/>
        </w:rPr>
        <w:t>新山林</w:t>
      </w:r>
      <w:r>
        <w:rPr>
          <w:rFonts w:ascii="Times New Roman" w:eastAsia="Times New Roman" w:hAnsi="Times New Roman" w:cs="Times New Roman"/>
          <w:color w:val="000000"/>
          <w:spacing w:val="0"/>
          <w:w w:val="100"/>
          <w:position w:val="0"/>
        </w:rPr>
        <w:t>”</w:t>
      </w:r>
      <w:r>
        <w:rPr>
          <w:color w:val="000000"/>
          <w:spacing w:val="0"/>
          <w:w w:val="100"/>
          <w:position w:val="0"/>
        </w:rPr>
        <w:t>建筑生态景观、</w:t>
      </w:r>
      <w:r>
        <w:rPr>
          <w:rFonts w:ascii="Times New Roman" w:eastAsia="Times New Roman" w:hAnsi="Times New Roman" w:cs="Times New Roman"/>
          <w:color w:val="000000"/>
          <w:spacing w:val="0"/>
          <w:w w:val="100"/>
          <w:position w:val="0"/>
        </w:rPr>
        <w:t>“</w:t>
      </w:r>
      <w:r>
        <w:rPr>
          <w:color w:val="000000"/>
          <w:spacing w:val="0"/>
          <w:w w:val="100"/>
          <w:position w:val="0"/>
        </w:rPr>
        <w:t>可变空间</w:t>
      </w:r>
      <w:r>
        <w:rPr>
          <w:rFonts w:ascii="Times New Roman" w:eastAsia="Times New Roman" w:hAnsi="Times New Roman" w:cs="Times New Roman"/>
          <w:color w:val="000000"/>
          <w:spacing w:val="0"/>
          <w:w w:val="100"/>
          <w:position w:val="0"/>
        </w:rPr>
        <w:t xml:space="preserve">” </w:t>
      </w:r>
      <w:r>
        <w:rPr>
          <w:color w:val="000000"/>
          <w:spacing w:val="0"/>
          <w:w w:val="100"/>
          <w:position w:val="0"/>
        </w:rPr>
        <w:t>数字化建造等十大技术体系为研究基础，合作共建直流实验室、群智能中试实验室、</w:t>
      </w:r>
      <w:r>
        <w:rPr>
          <w:rFonts w:ascii="Times New Roman" w:eastAsia="Times New Roman" w:hAnsi="Times New Roman" w:cs="Times New Roman"/>
          <w:color w:val="000000"/>
          <w:spacing w:val="0"/>
          <w:w w:val="100"/>
          <w:position w:val="0"/>
        </w:rPr>
        <w:t>3D</w:t>
      </w:r>
      <w:r>
        <w:rPr>
          <w:color w:val="000000"/>
          <w:spacing w:val="0"/>
          <w:w w:val="100"/>
          <w:position w:val="0"/>
        </w:rPr>
        <w:t>打印数字化建造实验室等，促进自主 创新能力提升，实现科研平台共享，为行业转型提供创新路径。</w:t>
      </w:r>
    </w:p>
    <w:p>
      <w:pPr>
        <w:pStyle w:val="Style2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未来大厦采用</w:t>
      </w:r>
      <w:r>
        <w:rPr>
          <w:rFonts w:ascii="Times New Roman" w:eastAsia="Times New Roman" w:hAnsi="Times New Roman" w:cs="Times New Roman"/>
          <w:color w:val="000000"/>
          <w:spacing w:val="0"/>
          <w:w w:val="100"/>
          <w:position w:val="0"/>
        </w:rPr>
        <w:t>“</w:t>
      </w:r>
      <w:r>
        <w:rPr>
          <w:color w:val="000000"/>
          <w:spacing w:val="0"/>
          <w:w w:val="100"/>
          <w:position w:val="0"/>
        </w:rPr>
        <w:t>直流</w:t>
      </w:r>
      <w:r>
        <w:rPr>
          <w:rFonts w:ascii="Times New Roman" w:eastAsia="Times New Roman" w:hAnsi="Times New Roman" w:cs="Times New Roman"/>
          <w:color w:val="000000"/>
          <w:spacing w:val="0"/>
          <w:w w:val="100"/>
          <w:position w:val="0"/>
        </w:rPr>
        <w:t>+</w:t>
      </w:r>
      <w:r>
        <w:rPr>
          <w:color w:val="000000"/>
          <w:spacing w:val="0"/>
          <w:w w:val="100"/>
          <w:position w:val="0"/>
        </w:rPr>
        <w:t>光伏</w:t>
      </w:r>
      <w:r>
        <w:rPr>
          <w:rFonts w:ascii="Times New Roman" w:eastAsia="Times New Roman" w:hAnsi="Times New Roman" w:cs="Times New Roman"/>
          <w:color w:val="000000"/>
          <w:spacing w:val="0"/>
          <w:w w:val="100"/>
          <w:position w:val="0"/>
        </w:rPr>
        <w:t>+</w:t>
      </w:r>
      <w:r>
        <w:rPr>
          <w:color w:val="000000"/>
          <w:spacing w:val="0"/>
          <w:w w:val="100"/>
          <w:position w:val="0"/>
        </w:rPr>
        <w:t>储能</w:t>
      </w:r>
      <w:r>
        <w:rPr>
          <w:rFonts w:ascii="Times New Roman" w:eastAsia="Times New Roman" w:hAnsi="Times New Roman" w:cs="Times New Roman"/>
          <w:color w:val="000000"/>
          <w:spacing w:val="0"/>
          <w:w w:val="100"/>
          <w:position w:val="0"/>
        </w:rPr>
        <w:t>”</w:t>
      </w:r>
      <w:r>
        <w:rPr>
          <w:color w:val="000000"/>
          <w:spacing w:val="0"/>
          <w:w w:val="100"/>
          <w:position w:val="0"/>
        </w:rPr>
        <w:t>综合集成技术，实现建筑用电负荷</w:t>
      </w:r>
      <w:r>
        <w:rPr>
          <w:rFonts w:ascii="Times New Roman" w:eastAsia="Times New Roman" w:hAnsi="Times New Roman" w:cs="Times New Roman"/>
          <w:color w:val="000000"/>
          <w:spacing w:val="0"/>
          <w:w w:val="100"/>
          <w:position w:val="0"/>
        </w:rPr>
        <w:t>“</w:t>
      </w:r>
      <w:r>
        <w:rPr>
          <w:color w:val="000000"/>
          <w:spacing w:val="0"/>
          <w:w w:val="100"/>
          <w:position w:val="0"/>
        </w:rPr>
        <w:t>柔性</w:t>
      </w:r>
      <w:r>
        <w:rPr>
          <w:rFonts w:ascii="Times New Roman" w:eastAsia="Times New Roman" w:hAnsi="Times New Roman" w:cs="Times New Roman"/>
          <w:color w:val="000000"/>
          <w:spacing w:val="0"/>
          <w:w w:val="100"/>
          <w:position w:val="0"/>
        </w:rPr>
        <w:t>”</w:t>
      </w:r>
      <w:r>
        <w:rPr>
          <w:color w:val="000000"/>
          <w:spacing w:val="0"/>
          <w:w w:val="100"/>
          <w:position w:val="0"/>
        </w:rPr>
        <w:t>调节，促进建筑领域可再生能源利用和消纳， 成为</w:t>
      </w:r>
      <w:r>
        <w:rPr>
          <w:rFonts w:ascii="Times New Roman" w:eastAsia="Times New Roman" w:hAnsi="Times New Roman" w:cs="Times New Roman"/>
          <w:color w:val="000000"/>
          <w:spacing w:val="0"/>
          <w:w w:val="100"/>
          <w:position w:val="0"/>
        </w:rPr>
        <w:t>“</w:t>
      </w:r>
      <w:r>
        <w:rPr>
          <w:color w:val="000000"/>
          <w:spacing w:val="0"/>
          <w:w w:val="100"/>
          <w:position w:val="0"/>
        </w:rPr>
        <w:t>光储直柔</w:t>
      </w:r>
      <w:r>
        <w:rPr>
          <w:rFonts w:ascii="Times New Roman" w:eastAsia="Times New Roman" w:hAnsi="Times New Roman" w:cs="Times New Roman"/>
          <w:color w:val="000000"/>
          <w:spacing w:val="0"/>
          <w:w w:val="100"/>
          <w:position w:val="0"/>
        </w:rPr>
        <w:t>”</w:t>
      </w:r>
      <w:r>
        <w:rPr>
          <w:color w:val="000000"/>
          <w:spacing w:val="0"/>
          <w:w w:val="100"/>
          <w:position w:val="0"/>
        </w:rPr>
        <w:t>国家级示范成果。</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月，未来大厦获国际主动房联盟十周年</w:t>
      </w:r>
      <w:r>
        <w:rPr>
          <w:rFonts w:ascii="Times New Roman" w:eastAsia="Times New Roman" w:hAnsi="Times New Roman" w:cs="Times New Roman"/>
          <w:color w:val="000000"/>
          <w:spacing w:val="0"/>
          <w:w w:val="100"/>
          <w:position w:val="0"/>
        </w:rPr>
        <w:t>“</w:t>
      </w:r>
      <w:r>
        <w:rPr>
          <w:color w:val="000000"/>
          <w:spacing w:val="0"/>
          <w:w w:val="100"/>
          <w:position w:val="0"/>
        </w:rPr>
        <w:t>最佳设计预见奖（建成类广'，全球仅</w:t>
      </w:r>
      <w:r>
        <w:rPr>
          <w:rFonts w:ascii="Times New Roman" w:eastAsia="Times New Roman" w:hAnsi="Times New Roman" w:cs="Times New Roman"/>
          <w:color w:val="000000"/>
          <w:spacing w:val="0"/>
          <w:w w:val="100"/>
          <w:position w:val="0"/>
        </w:rPr>
        <w:t>3</w:t>
      </w:r>
      <w:r>
        <w:rPr>
          <w:color w:val="000000"/>
          <w:spacing w:val="0"/>
          <w:w w:val="100"/>
          <w:position w:val="0"/>
        </w:rPr>
        <w:t>个 项目获奖。</w:t>
      </w:r>
    </w:p>
    <w:p>
      <w:pPr>
        <w:pStyle w:val="Style2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未来大厦从一开始就通过国际设计竞赛、周边社区公众参与设计等多种方式体现绿色社区设计权共享，同时探索建筑 场景永远处于</w:t>
      </w:r>
      <w:r>
        <w:rPr>
          <w:rFonts w:ascii="Times New Roman" w:eastAsia="Times New Roman" w:hAnsi="Times New Roman" w:cs="Times New Roman"/>
          <w:color w:val="000000"/>
          <w:spacing w:val="0"/>
          <w:w w:val="100"/>
          <w:position w:val="0"/>
        </w:rPr>
        <w:t>“</w:t>
      </w:r>
      <w:r>
        <w:rPr>
          <w:color w:val="000000"/>
          <w:spacing w:val="0"/>
          <w:w w:val="100"/>
          <w:position w:val="0"/>
        </w:rPr>
        <w:t>半</w:t>
      </w:r>
      <w:r>
        <w:rPr>
          <w:rFonts w:ascii="Times New Roman" w:eastAsia="Times New Roman" w:hAnsi="Times New Roman" w:cs="Times New Roman"/>
          <w:color w:val="000000"/>
          <w:spacing w:val="0"/>
          <w:w w:val="100"/>
          <w:position w:val="0"/>
        </w:rPr>
        <w:t>”“</w:t>
      </w:r>
      <w:r>
        <w:rPr>
          <w:color w:val="000000"/>
          <w:spacing w:val="0"/>
          <w:w w:val="100"/>
          <w:position w:val="0"/>
        </w:rPr>
        <w:t>伴</w:t>
      </w:r>
      <w:r>
        <w:rPr>
          <w:rFonts w:ascii="Times New Roman" w:eastAsia="Times New Roman" w:hAnsi="Times New Roman" w:cs="Times New Roman"/>
          <w:color w:val="000000"/>
          <w:spacing w:val="0"/>
          <w:w w:val="100"/>
          <w:position w:val="0"/>
        </w:rPr>
        <w:t>”</w:t>
      </w:r>
      <w:r>
        <w:rPr>
          <w:color w:val="000000"/>
          <w:spacing w:val="0"/>
          <w:w w:val="100"/>
          <w:position w:val="0"/>
        </w:rPr>
        <w:t>（半成品、伴随式）适变过程中的设计建造运营全生命周期的互为反馈、关注人而不仅是建筑物的绿</w:t>
      </w:r>
    </w:p>
    <w:p>
      <w:pPr>
        <w:pStyle w:val="Style20"/>
        <w:keepNext w:val="0"/>
        <w:keepLines w:val="0"/>
        <w:widowControl w:val="0"/>
        <w:shd w:val="clear" w:color="auto" w:fill="auto"/>
        <w:bidi w:val="0"/>
        <w:spacing w:before="0" w:after="0" w:line="313" w:lineRule="exact"/>
        <w:ind w:left="0" w:right="0" w:firstLine="4940"/>
        <w:jc w:val="left"/>
      </w:pPr>
      <w:r>
        <w:rPr>
          <w:color w:val="000000"/>
          <w:spacing w:val="0"/>
          <w:w w:val="100"/>
          <w:position w:val="0"/>
          <w:u w:val="single"/>
        </w:rPr>
        <w:t>深圳市建筑科学研究院股份有限公司</w:t>
      </w:r>
      <w:r>
        <w:rPr>
          <w:rFonts w:ascii="Times New Roman" w:eastAsia="Times New Roman" w:hAnsi="Times New Roman" w:cs="Times New Roman"/>
          <w:color w:val="000000"/>
          <w:spacing w:val="0"/>
          <w:w w:val="100"/>
          <w:position w:val="0"/>
          <w:u w:val="single"/>
        </w:rPr>
        <w:t>2021</w:t>
      </w:r>
      <w:r>
        <w:rPr>
          <w:color w:val="000000"/>
          <w:spacing w:val="0"/>
          <w:w w:val="100"/>
          <w:position w:val="0"/>
          <w:u w:val="single"/>
        </w:rPr>
        <w:t xml:space="preserve">年年度报告全文 </w:t>
      </w:r>
      <w:r>
        <w:rPr>
          <w:color w:val="000000"/>
          <w:spacing w:val="0"/>
          <w:w w:val="100"/>
          <w:position w:val="0"/>
        </w:rPr>
        <w:t>色理念。</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月首次对外开放部分空间，承办了</w:t>
      </w:r>
      <w:r>
        <w:rPr>
          <w:rFonts w:ascii="Times New Roman" w:eastAsia="Times New Roman" w:hAnsi="Times New Roman" w:cs="Times New Roman"/>
          <w:color w:val="000000"/>
          <w:spacing w:val="0"/>
          <w:w w:val="100"/>
          <w:position w:val="0"/>
        </w:rPr>
        <w:t>2021</w:t>
      </w:r>
      <w:r>
        <w:rPr>
          <w:color w:val="000000"/>
          <w:spacing w:val="0"/>
          <w:w w:val="100"/>
          <w:position w:val="0"/>
        </w:rPr>
        <w:t>年碳达峰碳中和论坛暨第九届深圳国际低碳城论坛的绿色建筑分论 坛，采取了一会两展</w:t>
      </w:r>
      <w:r>
        <w:rPr>
          <w:rFonts w:ascii="Times New Roman" w:eastAsia="Times New Roman" w:hAnsi="Times New Roman" w:cs="Times New Roman"/>
          <w:color w:val="000000"/>
          <w:spacing w:val="0"/>
          <w:w w:val="100"/>
          <w:position w:val="0"/>
        </w:rPr>
        <w:t>+N</w:t>
      </w:r>
      <w:r>
        <w:rPr>
          <w:color w:val="000000"/>
          <w:spacing w:val="0"/>
          <w:w w:val="100"/>
          <w:position w:val="0"/>
        </w:rPr>
        <w:t>场体验活动的方式，共有</w:t>
      </w:r>
      <w:r>
        <w:rPr>
          <w:rFonts w:ascii="Times New Roman" w:eastAsia="Times New Roman" w:hAnsi="Times New Roman" w:cs="Times New Roman"/>
          <w:color w:val="000000"/>
          <w:spacing w:val="0"/>
          <w:w w:val="100"/>
          <w:position w:val="0"/>
        </w:rPr>
        <w:t>360</w:t>
      </w:r>
      <w:r>
        <w:rPr>
          <w:color w:val="000000"/>
          <w:spacing w:val="0"/>
          <w:w w:val="100"/>
          <w:position w:val="0"/>
        </w:rPr>
        <w:t>余位嘉宾到场参会，进行了为期一天的探讨与交流，同时网络在线人数 高达</w:t>
      </w:r>
      <w:r>
        <w:rPr>
          <w:rFonts w:ascii="Times New Roman" w:eastAsia="Times New Roman" w:hAnsi="Times New Roman" w:cs="Times New Roman"/>
          <w:color w:val="000000"/>
          <w:spacing w:val="0"/>
          <w:w w:val="100"/>
          <w:position w:val="0"/>
        </w:rPr>
        <w:t>15800</w:t>
      </w:r>
      <w:r>
        <w:rPr>
          <w:color w:val="000000"/>
          <w:spacing w:val="0"/>
          <w:w w:val="100"/>
          <w:position w:val="0"/>
        </w:rPr>
        <w:t>余人。</w:t>
      </w:r>
    </w:p>
    <w:p>
      <w:pPr>
        <w:pStyle w:val="Style20"/>
        <w:keepNext w:val="0"/>
        <w:keepLines w:val="0"/>
        <w:widowControl w:val="0"/>
        <w:numPr>
          <w:ilvl w:val="0"/>
          <w:numId w:val="7"/>
        </w:numPr>
        <w:shd w:val="clear" w:color="auto" w:fill="auto"/>
        <w:tabs>
          <w:tab w:pos="755" w:val="left"/>
        </w:tabs>
        <w:bidi w:val="0"/>
        <w:spacing w:before="0" w:after="0" w:line="313" w:lineRule="exact"/>
        <w:ind w:left="0" w:right="0" w:firstLine="500"/>
        <w:jc w:val="left"/>
      </w:pPr>
      <w:bookmarkStart w:id="56" w:name="bookmark56"/>
      <w:bookmarkEnd w:id="56"/>
      <w:r>
        <w:rPr>
          <w:b/>
          <w:bCs/>
          <w:color w:val="000000"/>
          <w:spacing w:val="0"/>
          <w:w w:val="100"/>
          <w:position w:val="0"/>
        </w:rPr>
        <w:t>发挥上市公司优势开展技术孵化和产业投资，以及人才联合培养与科技交流体系，构建绿色产业生态系</w:t>
      </w:r>
    </w:p>
    <w:p>
      <w:pPr>
        <w:pStyle w:val="Style2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公司已筹建多个国内外合作的科研成果创新孵化平台。并以未来大厦这个最新原型，作为行业新技术孵化器，选择具 有较大潜力的核心技术进行孵化、持续迭代再应用。</w:t>
      </w:r>
    </w:p>
    <w:p>
      <w:pPr>
        <w:pStyle w:val="Style20"/>
        <w:keepNext w:val="0"/>
        <w:keepLines w:val="0"/>
        <w:widowControl w:val="0"/>
        <w:shd w:val="clear" w:color="auto" w:fill="auto"/>
        <w:bidi w:val="0"/>
        <w:spacing w:before="0" w:after="0" w:line="313" w:lineRule="exact"/>
        <w:ind w:left="0" w:right="0" w:firstLine="50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年，公司与清华大学国际研究生院携手组建研究生联合培养基地，并开展多项学术交流合作；并与南方科技大学 创新创意设计学院、南方科技大学新创业学院分别开展新的合作交流。</w:t>
      </w:r>
    </w:p>
    <w:p>
      <w:pPr>
        <w:pStyle w:val="Style20"/>
        <w:keepNext w:val="0"/>
        <w:keepLines w:val="0"/>
        <w:widowControl w:val="0"/>
        <w:numPr>
          <w:ilvl w:val="0"/>
          <w:numId w:val="7"/>
        </w:numPr>
        <w:shd w:val="clear" w:color="auto" w:fill="auto"/>
        <w:tabs>
          <w:tab w:pos="755" w:val="left"/>
        </w:tabs>
        <w:bidi w:val="0"/>
        <w:spacing w:before="0" w:after="0" w:line="313" w:lineRule="exact"/>
        <w:ind w:left="0" w:right="0" w:firstLine="500"/>
        <w:jc w:val="both"/>
      </w:pPr>
      <w:bookmarkStart w:id="57" w:name="bookmark57"/>
      <w:bookmarkEnd w:id="57"/>
      <w:r>
        <w:rPr>
          <w:b/>
          <w:bCs/>
          <w:color w:val="000000"/>
          <w:spacing w:val="0"/>
          <w:w w:val="100"/>
          <w:position w:val="0"/>
        </w:rPr>
        <w:t>正向激励负面容错，激发科技人才创新动力</w:t>
      </w:r>
    </w:p>
    <w:p>
      <w:pPr>
        <w:pStyle w:val="Style2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探索制定赋予科研人员职务科技成果所有权或长期使用权的科技成果分享行动方案，研究实施首批科技成果分享计划， 正向激励科技人才。制定发布了《科技创新容错机制实施办法（试行）》，旨在营造鼓励创新、支持担当、宽容失误、允许 试错的良好环境，激励科技人才勇于担当、勇挑重担，最大限度调动科研工作人员的积极性、主动性、创造性，加快推进公 司科技创新工作。</w:t>
      </w:r>
    </w:p>
    <w:p>
      <w:pPr>
        <w:pStyle w:val="Style20"/>
        <w:keepNext w:val="0"/>
        <w:keepLines w:val="0"/>
        <w:widowControl w:val="0"/>
        <w:shd w:val="clear" w:color="auto" w:fill="auto"/>
        <w:tabs>
          <w:tab w:pos="981" w:val="left"/>
        </w:tabs>
        <w:bidi w:val="0"/>
        <w:spacing w:before="0" w:after="0" w:line="313" w:lineRule="exact"/>
        <w:ind w:left="0" w:right="0" w:firstLine="500"/>
        <w:jc w:val="both"/>
      </w:pPr>
      <w:bookmarkStart w:id="58" w:name="bookmark58"/>
      <w:r>
        <w:rPr>
          <w:b/>
          <w:bCs/>
          <w:color w:val="000000"/>
          <w:spacing w:val="0"/>
          <w:w w:val="100"/>
          <w:position w:val="0"/>
        </w:rPr>
        <w:t>（</w:t>
      </w:r>
      <w:bookmarkEnd w:id="58"/>
      <w:r>
        <w:rPr>
          <w:b/>
          <w:bCs/>
          <w:color w:val="000000"/>
          <w:spacing w:val="0"/>
          <w:w w:val="100"/>
          <w:position w:val="0"/>
        </w:rPr>
        <w:t>二）</w:t>
        <w:tab/>
        <w:t>基于研发、实验、数据平台的实证能力优势</w:t>
      </w:r>
    </w:p>
    <w:p>
      <w:pPr>
        <w:pStyle w:val="Style2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公司具有中国国家认证认可监督管理委员会颁发的检验检测机构资质认定证书、中国合格评定国家认可委员会颁发的 检验机构认可证书及实验室认可证书、广东省质量技术监督局颁发的检验检测机构资质认定证书，以及拥有多个国家及省市 级检测平台，具有覆盖多项专业检测项目的核心技术能力。公司还与美国劳伦斯</w:t>
      </w:r>
      <w:r>
        <w:rPr>
          <w:color w:val="000000"/>
          <w:spacing w:val="0"/>
          <w:w w:val="100"/>
          <w:position w:val="0"/>
        </w:rPr>
        <w:t>一</w:t>
      </w:r>
      <w:r>
        <w:rPr>
          <w:color w:val="000000"/>
          <w:spacing w:val="0"/>
          <w:w w:val="100"/>
          <w:position w:val="0"/>
        </w:rPr>
        <w:t>伯克利国家实验室、能源基金会、耶鲁大 学、康奈尔大学、雪城大学、牛津大学、荷兰应用科学研究院、欧洲环境基金会、清华大学、南方科技大学等国内外知名机 构开展生态城市、绿色建筑等领域科研合作，建立了</w:t>
      </w:r>
      <w:r>
        <w:rPr>
          <w:rFonts w:ascii="Times New Roman" w:eastAsia="Times New Roman" w:hAnsi="Times New Roman" w:cs="Times New Roman"/>
          <w:color w:val="000000"/>
          <w:spacing w:val="0"/>
          <w:w w:val="100"/>
          <w:position w:val="0"/>
        </w:rPr>
        <w:t>IBR</w:t>
      </w:r>
      <w:r>
        <w:rPr>
          <w:rFonts w:ascii="Times New Roman" w:eastAsia="Times New Roman" w:hAnsi="Times New Roman" w:cs="Times New Roman"/>
          <w:color w:val="000000"/>
          <w:spacing w:val="0"/>
          <w:w w:val="100"/>
          <w:position w:val="0"/>
        </w:rPr>
        <w:t>-</w:t>
      </w:r>
      <w:r>
        <w:rPr>
          <w:color w:val="000000"/>
          <w:spacing w:val="0"/>
          <w:w w:val="100"/>
          <w:position w:val="0"/>
        </w:rPr>
        <w:t>清华大学绿色人居环境研究中心等机构。上述研究平台、实验室为 公司城市、建筑绿色技术的研发和应用发挥着重要的支撑作用，为公司持续技术创新提供了平台保障。</w:t>
      </w:r>
    </w:p>
    <w:p>
      <w:pPr>
        <w:pStyle w:val="Style2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公司从事建设工程检测业务超过</w:t>
      </w:r>
      <w:r>
        <w:rPr>
          <w:rFonts w:ascii="Times New Roman" w:eastAsia="Times New Roman" w:hAnsi="Times New Roman" w:cs="Times New Roman"/>
          <w:color w:val="000000"/>
          <w:spacing w:val="0"/>
          <w:w w:val="100"/>
          <w:position w:val="0"/>
        </w:rPr>
        <w:t>20</w:t>
      </w:r>
      <w:r>
        <w:rPr>
          <w:color w:val="000000"/>
          <w:spacing w:val="0"/>
          <w:w w:val="100"/>
          <w:position w:val="0"/>
        </w:rPr>
        <w:t>年，全资子公司建研检测可提供城市建设领域的检测项目</w:t>
      </w:r>
      <w:r>
        <w:rPr>
          <w:rFonts w:ascii="Times New Roman" w:eastAsia="Times New Roman" w:hAnsi="Times New Roman" w:cs="Times New Roman"/>
          <w:color w:val="000000"/>
          <w:spacing w:val="0"/>
          <w:w w:val="100"/>
          <w:position w:val="0"/>
        </w:rPr>
        <w:t>/</w:t>
      </w:r>
      <w:r>
        <w:rPr>
          <w:color w:val="000000"/>
          <w:spacing w:val="0"/>
          <w:w w:val="100"/>
          <w:position w:val="0"/>
        </w:rPr>
        <w:t>参数</w:t>
      </w:r>
      <w:r>
        <w:rPr>
          <w:rFonts w:ascii="Times New Roman" w:eastAsia="Times New Roman" w:hAnsi="Times New Roman" w:cs="Times New Roman"/>
          <w:color w:val="000000"/>
          <w:spacing w:val="0"/>
          <w:w w:val="100"/>
          <w:position w:val="0"/>
        </w:rPr>
        <w:t>4319</w:t>
      </w:r>
      <w:r>
        <w:rPr>
          <w:color w:val="000000"/>
          <w:spacing w:val="0"/>
          <w:w w:val="100"/>
          <w:position w:val="0"/>
        </w:rPr>
        <w:t>项；</w:t>
      </w:r>
      <w:r>
        <w:rPr>
          <w:rFonts w:ascii="Times New Roman" w:eastAsia="Times New Roman" w:hAnsi="Times New Roman" w:cs="Times New Roman"/>
          <w:color w:val="000000"/>
          <w:spacing w:val="0"/>
          <w:w w:val="100"/>
          <w:position w:val="0"/>
        </w:rPr>
        <w:t>2017</w:t>
      </w:r>
      <w:r>
        <w:rPr>
          <w:color w:val="000000"/>
          <w:spacing w:val="0"/>
          <w:w w:val="100"/>
          <w:position w:val="0"/>
        </w:rPr>
        <w:t>年设立 的全资子公司绿研检验可提供城市建设领域的检测项目</w:t>
      </w:r>
      <w:r>
        <w:rPr>
          <w:rFonts w:ascii="Times New Roman" w:eastAsia="Times New Roman" w:hAnsi="Times New Roman" w:cs="Times New Roman"/>
          <w:color w:val="000000"/>
          <w:spacing w:val="0"/>
          <w:w w:val="100"/>
          <w:position w:val="0"/>
        </w:rPr>
        <w:t>/</w:t>
      </w:r>
      <w:r>
        <w:rPr>
          <w:color w:val="000000"/>
          <w:spacing w:val="0"/>
          <w:w w:val="100"/>
          <w:position w:val="0"/>
        </w:rPr>
        <w:t>参数</w:t>
      </w:r>
      <w:r>
        <w:rPr>
          <w:rFonts w:ascii="Times New Roman" w:eastAsia="Times New Roman" w:hAnsi="Times New Roman" w:cs="Times New Roman"/>
          <w:color w:val="000000"/>
          <w:spacing w:val="0"/>
          <w:w w:val="100"/>
          <w:position w:val="0"/>
        </w:rPr>
        <w:t>1028</w:t>
      </w:r>
      <w:r>
        <w:rPr>
          <w:color w:val="000000"/>
          <w:spacing w:val="0"/>
          <w:w w:val="100"/>
          <w:position w:val="0"/>
        </w:rPr>
        <w:t>项。公司通过多年工程及材料检测、能耗监测以及绿色建 筑、生态城市技术服务业务和研发实验，建立了庞大的涉及城市气候、空气质量、水文、资源、地质、能耗、碳排放、自然 植被、交通等城市基底、建筑性能相关的数据库，并建有具备自有知识产权的热岛、能源、碳排放、植物生态等维度的生态 城市评估软件平台。</w:t>
      </w:r>
    </w:p>
    <w:p>
      <w:pPr>
        <w:pStyle w:val="Style2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全资子公司绿研检验于</w:t>
      </w:r>
      <w:r>
        <w:rPr>
          <w:rFonts w:ascii="Times New Roman" w:eastAsia="Times New Roman" w:hAnsi="Times New Roman" w:cs="Times New Roman"/>
          <w:color w:val="000000"/>
          <w:spacing w:val="0"/>
          <w:w w:val="100"/>
          <w:position w:val="0"/>
        </w:rPr>
        <w:t>2021</w:t>
      </w:r>
      <w:r>
        <w:rPr>
          <w:color w:val="000000"/>
          <w:spacing w:val="0"/>
          <w:w w:val="100"/>
          <w:position w:val="0"/>
        </w:rPr>
        <w:t>年获河北省科学技术厅批准筹建的</w:t>
      </w:r>
      <w:r>
        <w:rPr>
          <w:rFonts w:ascii="Times New Roman" w:eastAsia="Times New Roman" w:hAnsi="Times New Roman" w:cs="Times New Roman"/>
          <w:color w:val="000000"/>
          <w:spacing w:val="0"/>
          <w:w w:val="100"/>
          <w:position w:val="0"/>
        </w:rPr>
        <w:t>“</w:t>
      </w:r>
      <w:r>
        <w:rPr>
          <w:color w:val="000000"/>
          <w:spacing w:val="0"/>
          <w:w w:val="100"/>
          <w:position w:val="0"/>
        </w:rPr>
        <w:t>河北省绿色建筑人居环境技术创新中心</w:t>
      </w:r>
      <w:r>
        <w:rPr>
          <w:rFonts w:ascii="Times New Roman" w:eastAsia="Times New Roman" w:hAnsi="Times New Roman" w:cs="Times New Roman"/>
          <w:color w:val="000000"/>
          <w:spacing w:val="0"/>
          <w:w w:val="100"/>
          <w:position w:val="0"/>
        </w:rPr>
        <w:t>”</w:t>
      </w:r>
      <w:r>
        <w:rPr>
          <w:color w:val="000000"/>
          <w:spacing w:val="0"/>
          <w:w w:val="100"/>
          <w:position w:val="0"/>
        </w:rPr>
        <w:t>，是公司在北 方区域成立的第一个省级研发平台，亦是雄安新区唯一以</w:t>
      </w:r>
      <w:r>
        <w:rPr>
          <w:rFonts w:ascii="Times New Roman" w:eastAsia="Times New Roman" w:hAnsi="Times New Roman" w:cs="Times New Roman"/>
          <w:color w:val="000000"/>
          <w:spacing w:val="0"/>
          <w:w w:val="100"/>
          <w:position w:val="0"/>
        </w:rPr>
        <w:t>“</w:t>
      </w:r>
      <w:r>
        <w:rPr>
          <w:color w:val="000000"/>
          <w:spacing w:val="0"/>
          <w:w w:val="100"/>
          <w:position w:val="0"/>
        </w:rPr>
        <w:t>绿色建筑和人居环境</w:t>
      </w:r>
      <w:r>
        <w:rPr>
          <w:rFonts w:ascii="Times New Roman" w:eastAsia="Times New Roman" w:hAnsi="Times New Roman" w:cs="Times New Roman"/>
          <w:color w:val="000000"/>
          <w:spacing w:val="0"/>
          <w:w w:val="100"/>
          <w:position w:val="0"/>
        </w:rPr>
        <w:t>”</w:t>
      </w:r>
      <w:r>
        <w:rPr>
          <w:color w:val="000000"/>
          <w:spacing w:val="0"/>
          <w:w w:val="100"/>
          <w:position w:val="0"/>
        </w:rPr>
        <w:t>为主题的研究中心；该平台的成立是公司数 十年实证能力在我国北方区域获得行业认可的重要里程。</w:t>
      </w:r>
    </w:p>
    <w:p>
      <w:pPr>
        <w:pStyle w:val="Style2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公司数据库涵盖范围广泛，时间跨度长，较为完备地收集整理了我国绿色建筑研究领域相关数据资料，为公司在全国 范围内开展技术服务提供重要的数据支持，并形成公司特有的差异化竞争优势。</w:t>
      </w:r>
    </w:p>
    <w:p>
      <w:pPr>
        <w:pStyle w:val="Style20"/>
        <w:keepNext w:val="0"/>
        <w:keepLines w:val="0"/>
        <w:widowControl w:val="0"/>
        <w:shd w:val="clear" w:color="auto" w:fill="auto"/>
        <w:tabs>
          <w:tab w:pos="981" w:val="left"/>
        </w:tabs>
        <w:bidi w:val="0"/>
        <w:spacing w:before="0" w:after="0" w:line="313" w:lineRule="exact"/>
        <w:ind w:left="0" w:right="0" w:firstLine="500"/>
        <w:jc w:val="left"/>
      </w:pPr>
      <w:bookmarkStart w:id="59" w:name="bookmark59"/>
      <w:r>
        <w:rPr>
          <w:b/>
          <w:bCs/>
          <w:color w:val="000000"/>
          <w:spacing w:val="0"/>
          <w:w w:val="100"/>
          <w:position w:val="0"/>
        </w:rPr>
        <w:t>（</w:t>
      </w:r>
      <w:bookmarkEnd w:id="59"/>
      <w:r>
        <w:rPr>
          <w:b/>
          <w:bCs/>
          <w:color w:val="000000"/>
          <w:spacing w:val="0"/>
          <w:w w:val="100"/>
          <w:position w:val="0"/>
        </w:rPr>
        <w:t>三）</w:t>
        <w:tab/>
        <w:t>灵活、快速响应市场需求的业务模式创新机制优势</w:t>
      </w:r>
    </w:p>
    <w:p>
      <w:pPr>
        <w:pStyle w:val="Style20"/>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公司倡导</w:t>
      </w:r>
      <w:r>
        <w:rPr>
          <w:rFonts w:ascii="Times New Roman" w:eastAsia="Times New Roman" w:hAnsi="Times New Roman" w:cs="Times New Roman"/>
          <w:color w:val="000000"/>
          <w:spacing w:val="0"/>
          <w:w w:val="100"/>
          <w:position w:val="0"/>
        </w:rPr>
        <w:t>“</w:t>
      </w:r>
      <w:r>
        <w:rPr>
          <w:color w:val="000000"/>
          <w:spacing w:val="0"/>
          <w:w w:val="100"/>
          <w:position w:val="0"/>
        </w:rPr>
        <w:t>价值共享</w:t>
      </w:r>
      <w:r>
        <w:rPr>
          <w:rFonts w:ascii="Times New Roman" w:eastAsia="Times New Roman" w:hAnsi="Times New Roman" w:cs="Times New Roman"/>
          <w:color w:val="000000"/>
          <w:spacing w:val="0"/>
          <w:w w:val="100"/>
          <w:position w:val="0"/>
        </w:rPr>
        <w:t>”</w:t>
      </w:r>
      <w:r>
        <w:rPr>
          <w:color w:val="000000"/>
          <w:spacing w:val="0"/>
          <w:w w:val="100"/>
          <w:position w:val="0"/>
        </w:rPr>
        <w:t>理念，建立了多点科技创新、业务链灵活组合业务模式，逐步形成了涵盖科研服务、规划设计、 公信服务、项目管理以及运营服务等全过程及时服务业务链，业务模式创新机制在行业内较有鲜明特色和差异化竞争优势。 近年来，公司结合</w:t>
      </w:r>
      <w:r>
        <w:rPr>
          <w:rFonts w:ascii="Times New Roman" w:eastAsia="Times New Roman" w:hAnsi="Times New Roman" w:cs="Times New Roman"/>
          <w:color w:val="000000"/>
          <w:spacing w:val="0"/>
          <w:w w:val="100"/>
          <w:position w:val="0"/>
        </w:rPr>
        <w:t>“</w:t>
      </w:r>
      <w:r>
        <w:rPr>
          <w:color w:val="000000"/>
          <w:spacing w:val="0"/>
          <w:w w:val="100"/>
          <w:position w:val="0"/>
        </w:rPr>
        <w:t>碳达峰*碳中和</w:t>
      </w:r>
      <w:r>
        <w:rPr>
          <w:rFonts w:ascii="Times New Roman" w:eastAsia="Times New Roman" w:hAnsi="Times New Roman" w:cs="Times New Roman"/>
          <w:color w:val="000000"/>
          <w:spacing w:val="0"/>
          <w:w w:val="100"/>
          <w:position w:val="0"/>
        </w:rPr>
        <w:t>”</w:t>
      </w:r>
      <w:r>
        <w:rPr>
          <w:color w:val="000000"/>
          <w:spacing w:val="0"/>
          <w:w w:val="100"/>
          <w:position w:val="0"/>
        </w:rPr>
        <w:t>、城市更新、海绵城市、直流电、室内环境等领域的研究成果及市场需求，开发及孵化 多项创新业务，在通过技术服务为客户创造价值的同时，也培育出一定的差异化竞争优势。</w:t>
      </w:r>
    </w:p>
    <w:p>
      <w:pPr>
        <w:pStyle w:val="Style20"/>
        <w:keepNext w:val="0"/>
        <w:keepLines w:val="0"/>
        <w:widowControl w:val="0"/>
        <w:shd w:val="clear" w:color="auto" w:fill="auto"/>
        <w:bidi w:val="0"/>
        <w:spacing w:before="0" w:after="0" w:line="313" w:lineRule="exact"/>
        <w:ind w:left="0" w:right="0" w:firstLine="5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年公司完成全新机构设置，重构作战体系。旨在强化</w:t>
      </w:r>
      <w:r>
        <w:rPr>
          <w:rFonts w:ascii="Times New Roman" w:eastAsia="Times New Roman" w:hAnsi="Times New Roman" w:cs="Times New Roman"/>
          <w:color w:val="000000"/>
          <w:spacing w:val="0"/>
          <w:w w:val="100"/>
          <w:position w:val="0"/>
        </w:rPr>
        <w:t>“</w:t>
      </w:r>
      <w:r>
        <w:rPr>
          <w:color w:val="000000"/>
          <w:spacing w:val="0"/>
          <w:w w:val="100"/>
          <w:position w:val="0"/>
        </w:rPr>
        <w:t>赛马</w:t>
      </w:r>
      <w:r>
        <w:rPr>
          <w:rFonts w:ascii="Times New Roman" w:eastAsia="Times New Roman" w:hAnsi="Times New Roman" w:cs="Times New Roman"/>
          <w:color w:val="000000"/>
          <w:spacing w:val="0"/>
          <w:w w:val="100"/>
          <w:position w:val="0"/>
        </w:rPr>
        <w:t>”</w:t>
      </w:r>
      <w:r>
        <w:rPr>
          <w:color w:val="000000"/>
          <w:spacing w:val="0"/>
          <w:w w:val="100"/>
          <w:position w:val="0"/>
        </w:rPr>
        <w:t>机制下的人岗匹配，引导经营工作聚焦城市客户服务， 提升全流程业务综合服务能力及效率，贴近客户有效挖掘需求，快速响应客户需求，为客户提供全生命周期</w:t>
      </w:r>
      <w:r>
        <w:rPr>
          <w:rFonts w:ascii="Times New Roman" w:eastAsia="Times New Roman" w:hAnsi="Times New Roman" w:cs="Times New Roman"/>
          <w:color w:val="000000"/>
          <w:spacing w:val="0"/>
          <w:w w:val="100"/>
          <w:position w:val="0"/>
        </w:rPr>
        <w:t>“</w:t>
      </w:r>
      <w:r>
        <w:rPr>
          <w:color w:val="000000"/>
          <w:spacing w:val="0"/>
          <w:w w:val="100"/>
          <w:position w:val="0"/>
        </w:rPr>
        <w:t>陪伴式</w:t>
      </w:r>
      <w:r>
        <w:rPr>
          <w:rFonts w:ascii="Times New Roman" w:eastAsia="Times New Roman" w:hAnsi="Times New Roman" w:cs="Times New Roman"/>
          <w:color w:val="000000"/>
          <w:spacing w:val="0"/>
          <w:w w:val="100"/>
          <w:position w:val="0"/>
        </w:rPr>
        <w:t>”</w:t>
      </w:r>
      <w:r>
        <w:rPr>
          <w:color w:val="000000"/>
          <w:spacing w:val="0"/>
          <w:w w:val="100"/>
          <w:position w:val="0"/>
        </w:rPr>
        <w:t>服务。</w:t>
      </w:r>
    </w:p>
    <w:p>
      <w:pPr>
        <w:pStyle w:val="Style20"/>
        <w:keepNext w:val="0"/>
        <w:keepLines w:val="0"/>
        <w:widowControl w:val="0"/>
        <w:numPr>
          <w:ilvl w:val="0"/>
          <w:numId w:val="9"/>
        </w:numPr>
        <w:shd w:val="clear" w:color="auto" w:fill="auto"/>
        <w:tabs>
          <w:tab w:pos="746" w:val="left"/>
        </w:tabs>
        <w:bidi w:val="0"/>
        <w:spacing w:before="0" w:after="0" w:line="313" w:lineRule="exact"/>
        <w:ind w:left="0" w:right="0" w:firstLine="500"/>
        <w:jc w:val="left"/>
      </w:pPr>
      <w:bookmarkStart w:id="60" w:name="bookmark60"/>
      <w:bookmarkEnd w:id="60"/>
      <w:r>
        <w:rPr>
          <w:b/>
          <w:bCs/>
          <w:color w:val="000000"/>
          <w:spacing w:val="0"/>
          <w:w w:val="100"/>
          <w:position w:val="0"/>
        </w:rPr>
        <w:t>推进适应“双碳”背景下建设行业科技创新服务所需的组织机构变革</w:t>
      </w:r>
    </w:p>
    <w:p>
      <w:pPr>
        <w:pStyle w:val="Style2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调整后的部门分为战略、城市业务、产品业务、职能</w:t>
      </w:r>
      <w:r>
        <w:rPr>
          <w:rFonts w:ascii="Times New Roman" w:eastAsia="Times New Roman" w:hAnsi="Times New Roman" w:cs="Times New Roman"/>
          <w:color w:val="000000"/>
          <w:spacing w:val="0"/>
          <w:w w:val="100"/>
          <w:position w:val="0"/>
        </w:rPr>
        <w:t>4</w:t>
      </w:r>
      <w:r>
        <w:rPr>
          <w:color w:val="000000"/>
          <w:spacing w:val="0"/>
          <w:w w:val="100"/>
          <w:position w:val="0"/>
        </w:rPr>
        <w:t>个板块，重点是实施</w:t>
      </w:r>
      <w:r>
        <w:rPr>
          <w:rFonts w:ascii="Times New Roman" w:eastAsia="Times New Roman" w:hAnsi="Times New Roman" w:cs="Times New Roman"/>
          <w:color w:val="000000"/>
          <w:spacing w:val="0"/>
          <w:w w:val="100"/>
          <w:position w:val="0"/>
        </w:rPr>
        <w:t>“</w:t>
      </w:r>
      <w:r>
        <w:rPr>
          <w:color w:val="000000"/>
          <w:spacing w:val="0"/>
          <w:w w:val="100"/>
          <w:position w:val="0"/>
        </w:rPr>
        <w:t>陪伴式服务的城市客户事业部</w:t>
      </w:r>
      <w:r>
        <w:rPr>
          <w:rFonts w:ascii="Times New Roman" w:eastAsia="Times New Roman" w:hAnsi="Times New Roman" w:cs="Times New Roman"/>
          <w:color w:val="000000"/>
          <w:spacing w:val="0"/>
          <w:w w:val="100"/>
          <w:position w:val="0"/>
        </w:rPr>
        <w:t>+</w:t>
      </w:r>
      <w:r>
        <w:rPr>
          <w:color w:val="000000"/>
          <w:spacing w:val="0"/>
          <w:w w:val="100"/>
          <w:position w:val="0"/>
        </w:rPr>
        <w:t>专业化产品 事业部</w:t>
      </w:r>
      <w:r>
        <w:rPr>
          <w:rFonts w:ascii="Times New Roman" w:eastAsia="Times New Roman" w:hAnsi="Times New Roman" w:cs="Times New Roman"/>
          <w:color w:val="000000"/>
          <w:spacing w:val="0"/>
          <w:w w:val="100"/>
          <w:position w:val="0"/>
        </w:rPr>
        <w:t>”</w:t>
      </w:r>
      <w:r>
        <w:rPr>
          <w:color w:val="000000"/>
          <w:spacing w:val="0"/>
          <w:w w:val="100"/>
          <w:position w:val="0"/>
        </w:rPr>
        <w:t>，形成创新的矩阵网络式协同服务能力为核心的</w:t>
      </w:r>
      <w:r>
        <w:rPr>
          <w:rFonts w:ascii="Times New Roman" w:eastAsia="Times New Roman" w:hAnsi="Times New Roman" w:cs="Times New Roman"/>
          <w:color w:val="000000"/>
          <w:spacing w:val="0"/>
          <w:w w:val="100"/>
          <w:position w:val="0"/>
        </w:rPr>
        <w:t>“</w:t>
      </w:r>
      <w:r>
        <w:rPr>
          <w:color w:val="000000"/>
          <w:spacing w:val="0"/>
          <w:w w:val="100"/>
          <w:position w:val="0"/>
        </w:rPr>
        <w:t>自适应性</w:t>
      </w:r>
      <w:r>
        <w:rPr>
          <w:rFonts w:ascii="Times New Roman" w:eastAsia="Times New Roman" w:hAnsi="Times New Roman" w:cs="Times New Roman"/>
          <w:color w:val="000000"/>
          <w:spacing w:val="0"/>
          <w:w w:val="100"/>
          <w:position w:val="0"/>
        </w:rPr>
        <w:t>”</w:t>
      </w:r>
      <w:r>
        <w:rPr>
          <w:color w:val="000000"/>
          <w:spacing w:val="0"/>
          <w:w w:val="100"/>
          <w:position w:val="0"/>
        </w:rPr>
        <w:t>模式，深化</w:t>
      </w:r>
      <w:r>
        <w:rPr>
          <w:rFonts w:ascii="Times New Roman" w:eastAsia="Times New Roman" w:hAnsi="Times New Roman" w:cs="Times New Roman"/>
          <w:color w:val="000000"/>
          <w:spacing w:val="0"/>
          <w:w w:val="100"/>
          <w:position w:val="0"/>
        </w:rPr>
        <w:t>“</w:t>
      </w:r>
      <w:r>
        <w:rPr>
          <w:color w:val="000000"/>
          <w:spacing w:val="0"/>
          <w:w w:val="100"/>
          <w:position w:val="0"/>
        </w:rPr>
        <w:t>城市客户</w:t>
      </w:r>
      <w:r>
        <w:rPr>
          <w:rFonts w:ascii="Times New Roman" w:eastAsia="Times New Roman" w:hAnsi="Times New Roman" w:cs="Times New Roman"/>
          <w:color w:val="000000"/>
          <w:spacing w:val="0"/>
          <w:w w:val="100"/>
          <w:position w:val="0"/>
        </w:rPr>
        <w:t>”</w:t>
      </w:r>
      <w:r>
        <w:rPr>
          <w:color w:val="000000"/>
          <w:spacing w:val="0"/>
          <w:w w:val="100"/>
          <w:position w:val="0"/>
        </w:rPr>
        <w:t>市场战略和生态</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总师结合 的业务模式创新，实现内生业务做强做优。</w:t>
      </w:r>
    </w:p>
    <w:p>
      <w:pPr>
        <w:pStyle w:val="Style20"/>
        <w:keepNext w:val="0"/>
        <w:keepLines w:val="0"/>
        <w:widowControl w:val="0"/>
        <w:numPr>
          <w:ilvl w:val="0"/>
          <w:numId w:val="9"/>
        </w:numPr>
        <w:shd w:val="clear" w:color="auto" w:fill="auto"/>
        <w:tabs>
          <w:tab w:pos="760" w:val="left"/>
        </w:tabs>
        <w:bidi w:val="0"/>
        <w:spacing w:before="0" w:after="0" w:line="313" w:lineRule="exact"/>
        <w:ind w:left="0" w:right="0" w:firstLine="500"/>
        <w:jc w:val="left"/>
      </w:pPr>
      <w:bookmarkStart w:id="61" w:name="bookmark61"/>
      <w:bookmarkEnd w:id="61"/>
      <w:r>
        <w:rPr>
          <w:b/>
          <w:bCs/>
          <w:color w:val="000000"/>
          <w:spacing w:val="0"/>
          <w:w w:val="100"/>
          <w:position w:val="0"/>
        </w:rPr>
        <w:t>机制创新充分体现自组织管理思想，充分激发积极性和创造性</w:t>
      </w:r>
    </w:p>
    <w:p>
      <w:pPr>
        <w:pStyle w:val="Style2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根据最新组织机构设置，一级部门管理团队全部竞聘及评估后重新任命，特别是针对城市业务板块，创新以市场、产 品、交付</w:t>
      </w:r>
      <w:r>
        <w:rPr>
          <w:rFonts w:ascii="Times New Roman" w:eastAsia="Times New Roman" w:hAnsi="Times New Roman" w:cs="Times New Roman"/>
          <w:color w:val="000000"/>
          <w:spacing w:val="0"/>
          <w:w w:val="100"/>
          <w:position w:val="0"/>
        </w:rPr>
        <w:t>“</w:t>
      </w:r>
      <w:r>
        <w:rPr>
          <w:color w:val="000000"/>
          <w:spacing w:val="0"/>
          <w:w w:val="100"/>
          <w:position w:val="0"/>
        </w:rPr>
        <w:t>铁三角</w:t>
      </w:r>
      <w:r>
        <w:rPr>
          <w:rFonts w:ascii="Times New Roman" w:eastAsia="Times New Roman" w:hAnsi="Times New Roman" w:cs="Times New Roman"/>
          <w:color w:val="000000"/>
          <w:spacing w:val="0"/>
          <w:w w:val="100"/>
          <w:position w:val="0"/>
        </w:rPr>
        <w:t>”</w:t>
      </w:r>
      <w:r>
        <w:rPr>
          <w:color w:val="000000"/>
          <w:spacing w:val="0"/>
          <w:w w:val="100"/>
          <w:position w:val="0"/>
        </w:rPr>
        <w:t>管理团队方式竞聘；随后开展全员</w:t>
      </w:r>
      <w:r>
        <w:rPr>
          <w:rFonts w:ascii="Times New Roman" w:eastAsia="Times New Roman" w:hAnsi="Times New Roman" w:cs="Times New Roman"/>
          <w:color w:val="000000"/>
          <w:spacing w:val="0"/>
          <w:w w:val="100"/>
          <w:position w:val="0"/>
        </w:rPr>
        <w:t>“</w:t>
      </w:r>
      <w:r>
        <w:rPr>
          <w:color w:val="000000"/>
          <w:spacing w:val="0"/>
          <w:w w:val="100"/>
          <w:position w:val="0"/>
        </w:rPr>
        <w:t>双选</w:t>
      </w:r>
      <w:r>
        <w:rPr>
          <w:rFonts w:ascii="Times New Roman" w:eastAsia="Times New Roman" w:hAnsi="Times New Roman" w:cs="Times New Roman"/>
          <w:color w:val="000000"/>
          <w:spacing w:val="0"/>
          <w:w w:val="100"/>
          <w:position w:val="0"/>
        </w:rPr>
        <w:t>”</w:t>
      </w:r>
      <w:r>
        <w:rPr>
          <w:color w:val="000000"/>
          <w:spacing w:val="0"/>
          <w:w w:val="100"/>
          <w:position w:val="0"/>
        </w:rPr>
        <w:t>，充分体现自组织管理。通过建立内外资源打通的竞争合作、动</w:t>
      </w:r>
    </w:p>
    <w:p>
      <w:pPr>
        <w:pStyle w:val="Style20"/>
        <w:keepNext w:val="0"/>
        <w:keepLines w:val="0"/>
        <w:widowControl w:val="0"/>
        <w:shd w:val="clear" w:color="auto" w:fill="auto"/>
        <w:bidi w:val="0"/>
        <w:spacing w:before="0" w:after="0" w:line="312" w:lineRule="exact"/>
        <w:ind w:left="0" w:right="0" w:firstLine="4940"/>
        <w:jc w:val="left"/>
      </w:pPr>
      <w:r>
        <w:rPr>
          <w:color w:val="000000"/>
          <w:spacing w:val="0"/>
          <w:w w:val="100"/>
          <w:position w:val="0"/>
          <w:u w:val="single"/>
        </w:rPr>
        <w:t>深圳市建筑科学研究院股份有限公司</w:t>
      </w:r>
      <w:r>
        <w:rPr>
          <w:rFonts w:ascii="Times New Roman" w:eastAsia="Times New Roman" w:hAnsi="Times New Roman" w:cs="Times New Roman"/>
          <w:color w:val="000000"/>
          <w:spacing w:val="0"/>
          <w:w w:val="100"/>
          <w:position w:val="0"/>
          <w:u w:val="single"/>
        </w:rPr>
        <w:t>2021</w:t>
      </w:r>
      <w:r>
        <w:rPr>
          <w:color w:val="000000"/>
          <w:spacing w:val="0"/>
          <w:w w:val="100"/>
          <w:position w:val="0"/>
          <w:u w:val="single"/>
        </w:rPr>
        <w:t xml:space="preserve">年年度报告全文 </w:t>
      </w:r>
      <w:r>
        <w:rPr>
          <w:color w:val="000000"/>
          <w:spacing w:val="0"/>
          <w:w w:val="100"/>
          <w:position w:val="0"/>
        </w:rPr>
        <w:t>态调整、能上能下的赛马机制，在公司平台规则机制下，充分授权一级部门管理团队的预算总包下的分配权、人员考核权， 以及对二级部门设置方案建议权。围绕共同目标、基于规则自主创造、平台化运作的生态系，各团队可用自己擅长的不同策 略路径，重点关注结果和可持续竞争力，共生共长。</w:t>
      </w:r>
    </w:p>
    <w:p>
      <w:pPr>
        <w:pStyle w:val="Style20"/>
        <w:keepNext w:val="0"/>
        <w:keepLines w:val="0"/>
        <w:widowControl w:val="0"/>
        <w:numPr>
          <w:ilvl w:val="0"/>
          <w:numId w:val="9"/>
        </w:numPr>
        <w:shd w:val="clear" w:color="auto" w:fill="auto"/>
        <w:bidi w:val="0"/>
        <w:spacing w:before="0" w:after="0" w:line="312" w:lineRule="exact"/>
        <w:ind w:left="0" w:right="0" w:firstLine="500"/>
        <w:jc w:val="both"/>
      </w:pPr>
      <w:bookmarkStart w:id="62" w:name="bookmark62"/>
      <w:bookmarkEnd w:id="62"/>
      <w:r>
        <w:rPr>
          <w:b/>
          <w:bCs/>
          <w:color w:val="000000"/>
          <w:spacing w:val="0"/>
          <w:w w:val="100"/>
          <w:position w:val="0"/>
        </w:rPr>
        <w:t>探索科技型企业的人、岗、职级动态匹配新机制</w:t>
      </w:r>
    </w:p>
    <w:p>
      <w:pPr>
        <w:pStyle w:val="Style2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突出员工双向选择岗位、自主申报确定职级，签署双赢协议，定岗定职定薪，实现不同时间段公司岗位需求与员工能 力、意愿、阶段成长目标之间更好匹配的更多可能性，激发团队每个人的内驱力、创造力，并聚焦创新价值收益分享。</w:t>
      </w:r>
    </w:p>
    <w:p>
      <w:pPr>
        <w:pStyle w:val="Style20"/>
        <w:keepNext w:val="0"/>
        <w:keepLines w:val="0"/>
        <w:widowControl w:val="0"/>
        <w:shd w:val="clear" w:color="auto" w:fill="auto"/>
        <w:tabs>
          <w:tab w:pos="981" w:val="left"/>
        </w:tabs>
        <w:bidi w:val="0"/>
        <w:spacing w:before="0" w:after="0" w:line="312" w:lineRule="exact"/>
        <w:ind w:left="0" w:right="0" w:firstLine="500"/>
        <w:jc w:val="both"/>
      </w:pPr>
      <w:bookmarkStart w:id="63" w:name="bookmark63"/>
      <w:r>
        <w:rPr>
          <w:b/>
          <w:bCs/>
          <w:color w:val="000000"/>
          <w:spacing w:val="0"/>
          <w:w w:val="100"/>
          <w:position w:val="0"/>
        </w:rPr>
        <w:t>（</w:t>
      </w:r>
      <w:bookmarkEnd w:id="63"/>
      <w:r>
        <w:rPr>
          <w:b/>
          <w:bCs/>
          <w:color w:val="000000"/>
          <w:spacing w:val="0"/>
          <w:w w:val="100"/>
          <w:position w:val="0"/>
        </w:rPr>
        <w:t>四）</w:t>
        <w:tab/>
        <w:t>建设领域的绿色科技品牌优势</w:t>
      </w:r>
    </w:p>
    <w:p>
      <w:pPr>
        <w:pStyle w:val="Style20"/>
        <w:keepNext w:val="0"/>
        <w:keepLines w:val="0"/>
        <w:widowControl w:val="0"/>
        <w:shd w:val="clear" w:color="auto" w:fill="auto"/>
        <w:bidi w:val="0"/>
        <w:spacing w:before="0" w:after="0" w:line="312" w:lineRule="exact"/>
        <w:ind w:left="0" w:right="0" w:firstLine="500"/>
        <w:jc w:val="both"/>
      </w:pPr>
      <w:r>
        <w:rPr>
          <w:rFonts w:ascii="Times New Roman" w:eastAsia="Times New Roman" w:hAnsi="Times New Roman" w:cs="Times New Roman"/>
          <w:color w:val="000000"/>
          <w:spacing w:val="0"/>
          <w:w w:val="100"/>
          <w:position w:val="0"/>
        </w:rPr>
        <w:t>2000</w:t>
      </w:r>
      <w:r>
        <w:rPr>
          <w:color w:val="000000"/>
          <w:spacing w:val="0"/>
          <w:w w:val="100"/>
          <w:position w:val="0"/>
        </w:rPr>
        <w:t>年以来公司专注于持续探索中国特色绿色生态转型之路，坚持创新科技赋能的可持续发展。自成立第一个建筑节 能实验室以来，公司已拥有</w:t>
      </w:r>
      <w:r>
        <w:rPr>
          <w:rFonts w:ascii="Times New Roman" w:eastAsia="Times New Roman" w:hAnsi="Times New Roman" w:cs="Times New Roman"/>
          <w:color w:val="000000"/>
          <w:spacing w:val="0"/>
          <w:w w:val="100"/>
          <w:position w:val="0"/>
        </w:rPr>
        <w:t>18</w:t>
      </w:r>
      <w:r>
        <w:rPr>
          <w:color w:val="000000"/>
          <w:spacing w:val="0"/>
          <w:w w:val="100"/>
          <w:position w:val="0"/>
        </w:rPr>
        <w:t>个国家级、省市级技术平台，覆盖城市规划设计和安全研究，绿色建筑和装配式建筑设计、咨 询、检测、认证等领域。依托公司技术平台，先后累计承担了涵盖国家重点研发计划在内的国内外各级重点项目（课题）</w:t>
      </w:r>
      <w:r>
        <w:rPr>
          <w:rFonts w:ascii="Times New Roman" w:eastAsia="Times New Roman" w:hAnsi="Times New Roman" w:cs="Times New Roman"/>
          <w:color w:val="000000"/>
          <w:spacing w:val="0"/>
          <w:w w:val="100"/>
          <w:position w:val="0"/>
        </w:rPr>
        <w:t xml:space="preserve">200 </w:t>
      </w:r>
      <w:r>
        <w:rPr>
          <w:color w:val="000000"/>
          <w:spacing w:val="0"/>
          <w:w w:val="100"/>
          <w:position w:val="0"/>
        </w:rPr>
        <w:t>余项，主、参编包括《绿色建筑评价标准》等国家、省、市级和团体标准、规范</w:t>
      </w:r>
      <w:r>
        <w:rPr>
          <w:rFonts w:ascii="Times New Roman" w:eastAsia="Times New Roman" w:hAnsi="Times New Roman" w:cs="Times New Roman"/>
          <w:color w:val="000000"/>
          <w:spacing w:val="0"/>
          <w:w w:val="100"/>
          <w:position w:val="0"/>
        </w:rPr>
        <w:t>200</w:t>
      </w:r>
      <w:r>
        <w:rPr>
          <w:color w:val="000000"/>
          <w:spacing w:val="0"/>
          <w:w w:val="100"/>
          <w:position w:val="0"/>
        </w:rPr>
        <w:t>余项，获得</w:t>
      </w:r>
      <w:r>
        <w:rPr>
          <w:rFonts w:ascii="Times New Roman" w:eastAsia="Times New Roman" w:hAnsi="Times New Roman" w:cs="Times New Roman"/>
          <w:color w:val="000000"/>
          <w:spacing w:val="0"/>
          <w:w w:val="100"/>
          <w:position w:val="0"/>
        </w:rPr>
        <w:t>“</w:t>
      </w:r>
      <w:r>
        <w:rPr>
          <w:color w:val="000000"/>
          <w:spacing w:val="0"/>
          <w:w w:val="100"/>
          <w:position w:val="0"/>
        </w:rPr>
        <w:t>国家装配式建筑范例城市和 产业基地</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广东省装配式建筑（设计类、检测类）产业基地</w:t>
      </w:r>
      <w:r>
        <w:rPr>
          <w:rFonts w:ascii="Times New Roman" w:eastAsia="Times New Roman" w:hAnsi="Times New Roman" w:cs="Times New Roman"/>
          <w:color w:val="000000"/>
          <w:spacing w:val="0"/>
          <w:w w:val="100"/>
          <w:position w:val="0"/>
        </w:rPr>
        <w:t>”</w:t>
      </w:r>
      <w:r>
        <w:rPr>
          <w:color w:val="000000"/>
          <w:spacing w:val="0"/>
          <w:w w:val="100"/>
          <w:position w:val="0"/>
        </w:rPr>
        <w:t>等多项荣誉。公司通过大量的数据积累和创新技术实践，形 成了以</w:t>
      </w:r>
      <w:r>
        <w:rPr>
          <w:rFonts w:ascii="Times New Roman" w:eastAsia="Times New Roman" w:hAnsi="Times New Roman" w:cs="Times New Roman"/>
          <w:color w:val="000000"/>
          <w:spacing w:val="0"/>
          <w:w w:val="100"/>
          <w:position w:val="0"/>
        </w:rPr>
        <w:t>“</w:t>
      </w:r>
      <w:r>
        <w:rPr>
          <w:color w:val="000000"/>
          <w:spacing w:val="0"/>
          <w:w w:val="100"/>
          <w:position w:val="0"/>
        </w:rPr>
        <w:t>诊断</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规划</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建设</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运营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更新</w:t>
      </w:r>
      <w:r>
        <w:rPr>
          <w:rFonts w:ascii="Times New Roman" w:eastAsia="Times New Roman" w:hAnsi="Times New Roman" w:cs="Times New Roman"/>
          <w:color w:val="000000"/>
          <w:spacing w:val="0"/>
          <w:w w:val="100"/>
          <w:position w:val="0"/>
        </w:rPr>
        <w:t>”</w:t>
      </w:r>
      <w:r>
        <w:rPr>
          <w:color w:val="000000"/>
          <w:spacing w:val="0"/>
          <w:w w:val="100"/>
          <w:position w:val="0"/>
        </w:rPr>
        <w:t>五位一体的业务能力和资质，涵盖科研、规划、设计、咨询、检测、项目 管理以及运营等多业务协同提供全过程所需综合解决方案。</w:t>
      </w:r>
    </w:p>
    <w:p>
      <w:pPr>
        <w:pStyle w:val="Style20"/>
        <w:keepNext w:val="0"/>
        <w:keepLines w:val="0"/>
        <w:widowControl w:val="0"/>
        <w:shd w:val="clear" w:color="auto" w:fill="auto"/>
        <w:bidi w:val="0"/>
        <w:spacing w:before="0" w:after="0" w:line="312" w:lineRule="exact"/>
        <w:ind w:left="0" w:right="0" w:firstLine="50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年，公司推动《深圳经济特区绿色建筑条例》和《深圳经济特区数据条例》建立，为构建高质量绿色城市发展奠 定了政策保障。同年</w:t>
      </w:r>
      <w:r>
        <w:rPr>
          <w:rFonts w:ascii="Times New Roman" w:eastAsia="Times New Roman" w:hAnsi="Times New Roman" w:cs="Times New Roman"/>
          <w:color w:val="000000"/>
          <w:spacing w:val="0"/>
          <w:w w:val="100"/>
          <w:position w:val="0"/>
        </w:rPr>
        <w:t>10</w:t>
      </w:r>
      <w:r>
        <w:rPr>
          <w:color w:val="000000"/>
          <w:spacing w:val="0"/>
          <w:w w:val="100"/>
          <w:position w:val="0"/>
        </w:rPr>
        <w:t>月，未来大厦策划之初确定的</w:t>
      </w:r>
      <w:r>
        <w:rPr>
          <w:rFonts w:ascii="Times New Roman" w:eastAsia="Times New Roman" w:hAnsi="Times New Roman" w:cs="Times New Roman"/>
          <w:color w:val="000000"/>
          <w:spacing w:val="0"/>
          <w:w w:val="100"/>
          <w:position w:val="0"/>
        </w:rPr>
        <w:t>“</w:t>
      </w:r>
      <w:r>
        <w:rPr>
          <w:color w:val="000000"/>
          <w:spacing w:val="0"/>
          <w:w w:val="100"/>
          <w:position w:val="0"/>
        </w:rPr>
        <w:t>光储直柔</w:t>
      </w:r>
      <w:r>
        <w:rPr>
          <w:rFonts w:ascii="Times New Roman" w:eastAsia="Times New Roman" w:hAnsi="Times New Roman" w:cs="Times New Roman"/>
          <w:color w:val="000000"/>
          <w:spacing w:val="0"/>
          <w:w w:val="100"/>
          <w:position w:val="0"/>
        </w:rPr>
        <w:t>”</w:t>
      </w:r>
      <w:r>
        <w:rPr>
          <w:color w:val="000000"/>
          <w:spacing w:val="0"/>
          <w:w w:val="100"/>
          <w:position w:val="0"/>
        </w:rPr>
        <w:t>技术路线被正式写入国务院印发的《</w:t>
      </w:r>
      <w:r>
        <w:rPr>
          <w:rFonts w:ascii="Times New Roman" w:eastAsia="Times New Roman" w:hAnsi="Times New Roman" w:cs="Times New Roman"/>
          <w:color w:val="000000"/>
          <w:spacing w:val="0"/>
          <w:w w:val="100"/>
          <w:position w:val="0"/>
        </w:rPr>
        <w:t>2030</w:t>
      </w:r>
      <w:r>
        <w:rPr>
          <w:color w:val="000000"/>
          <w:spacing w:val="0"/>
          <w:w w:val="100"/>
          <w:position w:val="0"/>
        </w:rPr>
        <w:t>年前碳达峰行动方 案》。公司已发展成为我国绿色建筑、生态城市领域的知名企业，具有很好的行业品牌影响力。</w:t>
      </w:r>
    </w:p>
    <w:p>
      <w:pPr>
        <w:pStyle w:val="Style2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公司雄安总部布局的战略成果在</w:t>
      </w:r>
      <w:r>
        <w:rPr>
          <w:rFonts w:ascii="Times New Roman" w:eastAsia="Times New Roman" w:hAnsi="Times New Roman" w:cs="Times New Roman"/>
          <w:color w:val="000000"/>
          <w:spacing w:val="0"/>
          <w:w w:val="100"/>
          <w:position w:val="0"/>
        </w:rPr>
        <w:t>2021</w:t>
      </w:r>
      <w:r>
        <w:rPr>
          <w:color w:val="000000"/>
          <w:spacing w:val="0"/>
          <w:w w:val="100"/>
          <w:position w:val="0"/>
        </w:rPr>
        <w:t>年进一步显现。雄安总部本地化人员突破</w:t>
      </w:r>
      <w:r>
        <w:rPr>
          <w:rFonts w:ascii="Times New Roman" w:eastAsia="Times New Roman" w:hAnsi="Times New Roman" w:cs="Times New Roman"/>
          <w:color w:val="000000"/>
          <w:spacing w:val="0"/>
          <w:w w:val="100"/>
          <w:position w:val="0"/>
        </w:rPr>
        <w:t>100</w:t>
      </w:r>
      <w:r>
        <w:rPr>
          <w:color w:val="000000"/>
          <w:spacing w:val="0"/>
          <w:w w:val="100"/>
          <w:position w:val="0"/>
        </w:rPr>
        <w:t>人。继续参与雄安绿色和</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规划 顶层设计及重要活动、北京副中心规划设计等工作。经河北省科技厅批准，负责筹建河北省绿色建筑人居环境技术创新中心， 完成河北雄安勘察设计协会绿色人居分会的筹建工作。雄安商务服务中心项目作为雄安新区首个开工建设的永久性建筑群， 近</w:t>
      </w:r>
      <w:r>
        <w:rPr>
          <w:rFonts w:ascii="Times New Roman" w:eastAsia="Times New Roman" w:hAnsi="Times New Roman" w:cs="Times New Roman"/>
          <w:color w:val="000000"/>
          <w:spacing w:val="0"/>
          <w:w w:val="100"/>
          <w:position w:val="0"/>
        </w:rPr>
        <w:t>90</w:t>
      </w:r>
      <w:r>
        <w:rPr>
          <w:color w:val="000000"/>
          <w:spacing w:val="0"/>
          <w:w w:val="100"/>
          <w:position w:val="0"/>
        </w:rPr>
        <w:t>万平方米，部分楼栋已竣工交付，已逐渐成为雄安新区的新地标和打卡地。</w:t>
      </w:r>
    </w:p>
    <w:p>
      <w:pPr>
        <w:pStyle w:val="Style20"/>
        <w:keepNext w:val="0"/>
        <w:keepLines w:val="0"/>
        <w:widowControl w:val="0"/>
        <w:shd w:val="clear" w:color="auto" w:fill="auto"/>
        <w:tabs>
          <w:tab w:pos="981" w:val="left"/>
        </w:tabs>
        <w:bidi w:val="0"/>
        <w:spacing w:before="0" w:after="0" w:line="312" w:lineRule="exact"/>
        <w:ind w:left="0" w:right="0" w:firstLine="500"/>
        <w:jc w:val="both"/>
      </w:pPr>
      <w:bookmarkStart w:id="64" w:name="bookmark64"/>
      <w:r>
        <w:rPr>
          <w:b/>
          <w:bCs/>
          <w:color w:val="000000"/>
          <w:spacing w:val="0"/>
          <w:w w:val="100"/>
          <w:position w:val="0"/>
        </w:rPr>
        <w:t>（</w:t>
      </w:r>
      <w:bookmarkEnd w:id="64"/>
      <w:r>
        <w:rPr>
          <w:b/>
          <w:bCs/>
          <w:color w:val="000000"/>
          <w:spacing w:val="0"/>
          <w:w w:val="100"/>
          <w:position w:val="0"/>
        </w:rPr>
        <w:t>五）</w:t>
        <w:tab/>
        <w:t>公司治理与管理优势</w:t>
      </w:r>
    </w:p>
    <w:p>
      <w:pPr>
        <w:pStyle w:val="Style2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公司十多年来持续创新和内化多种先进的公司治理及经营管理理念和机制，不断提升管理效能。</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月，国务院国 资委办公厅印发《国有企业公司治理示范企业名单》，公司获评国务院国资委</w:t>
      </w:r>
      <w:r>
        <w:rPr>
          <w:rFonts w:ascii="Times New Roman" w:eastAsia="Times New Roman" w:hAnsi="Times New Roman" w:cs="Times New Roman"/>
          <w:color w:val="000000"/>
          <w:spacing w:val="0"/>
          <w:w w:val="100"/>
          <w:position w:val="0"/>
        </w:rPr>
        <w:t>“</w:t>
      </w:r>
      <w:r>
        <w:rPr>
          <w:color w:val="000000"/>
          <w:spacing w:val="0"/>
          <w:w w:val="100"/>
          <w:position w:val="0"/>
        </w:rPr>
        <w:t>地方国有企业公司治理示范企业</w:t>
      </w:r>
      <w:r>
        <w:rPr>
          <w:rFonts w:ascii="Times New Roman" w:eastAsia="Times New Roman" w:hAnsi="Times New Roman" w:cs="Times New Roman"/>
          <w:color w:val="000000"/>
          <w:spacing w:val="0"/>
          <w:w w:val="100"/>
          <w:position w:val="0"/>
        </w:rPr>
        <w:t>”</w:t>
      </w:r>
      <w:r>
        <w:rPr>
          <w:color w:val="000000"/>
          <w:spacing w:val="0"/>
          <w:w w:val="100"/>
          <w:position w:val="0"/>
        </w:rPr>
        <w:t>（包括全国 的中央企业集团公司</w:t>
      </w:r>
      <w:r>
        <w:rPr>
          <w:rFonts w:ascii="Times New Roman" w:eastAsia="Times New Roman" w:hAnsi="Times New Roman" w:cs="Times New Roman"/>
          <w:color w:val="000000"/>
          <w:spacing w:val="0"/>
          <w:w w:val="100"/>
          <w:position w:val="0"/>
        </w:rPr>
        <w:t>28</w:t>
      </w:r>
      <w:r>
        <w:rPr>
          <w:color w:val="000000"/>
          <w:spacing w:val="0"/>
          <w:w w:val="100"/>
          <w:position w:val="0"/>
        </w:rPr>
        <w:t>家、基层企业</w:t>
      </w:r>
      <w:r>
        <w:rPr>
          <w:rFonts w:ascii="Times New Roman" w:eastAsia="Times New Roman" w:hAnsi="Times New Roman" w:cs="Times New Roman"/>
          <w:color w:val="000000"/>
          <w:spacing w:val="0"/>
          <w:w w:val="100"/>
          <w:position w:val="0"/>
        </w:rPr>
        <w:t>60</w:t>
      </w:r>
      <w:r>
        <w:rPr>
          <w:color w:val="000000"/>
          <w:spacing w:val="0"/>
          <w:w w:val="100"/>
          <w:position w:val="0"/>
        </w:rPr>
        <w:t>家，地方国有企业集团公司</w:t>
      </w:r>
      <w:r>
        <w:rPr>
          <w:rFonts w:ascii="Times New Roman" w:eastAsia="Times New Roman" w:hAnsi="Times New Roman" w:cs="Times New Roman"/>
          <w:color w:val="000000"/>
          <w:spacing w:val="0"/>
          <w:w w:val="100"/>
          <w:position w:val="0"/>
        </w:rPr>
        <w:t>17</w:t>
      </w:r>
      <w:r>
        <w:rPr>
          <w:color w:val="000000"/>
          <w:spacing w:val="0"/>
          <w:w w:val="100"/>
          <w:position w:val="0"/>
        </w:rPr>
        <w:t>家、地方国有企业</w:t>
      </w:r>
      <w:r>
        <w:rPr>
          <w:rFonts w:ascii="Times New Roman" w:eastAsia="Times New Roman" w:hAnsi="Times New Roman" w:cs="Times New Roman"/>
          <w:color w:val="000000"/>
          <w:spacing w:val="0"/>
          <w:w w:val="100"/>
          <w:position w:val="0"/>
        </w:rPr>
        <w:t>40</w:t>
      </w:r>
      <w:r>
        <w:rPr>
          <w:color w:val="000000"/>
          <w:spacing w:val="0"/>
          <w:w w:val="100"/>
          <w:position w:val="0"/>
        </w:rPr>
        <w:t>家）。公司将再接再厉，持续推动 企业治理水平不断提升、改革发展活力不断增强，切实把制度优势转化为治理效能和经营绩效，形成更多可复制可推广经验。</w:t>
      </w:r>
    </w:p>
    <w:p>
      <w:pPr>
        <w:pStyle w:val="Style20"/>
        <w:keepNext w:val="0"/>
        <w:keepLines w:val="0"/>
        <w:widowControl w:val="0"/>
        <w:numPr>
          <w:ilvl w:val="0"/>
          <w:numId w:val="11"/>
        </w:numPr>
        <w:shd w:val="clear" w:color="auto" w:fill="auto"/>
        <w:bidi w:val="0"/>
        <w:spacing w:before="0" w:after="0" w:line="312" w:lineRule="exact"/>
        <w:ind w:left="0" w:right="0" w:firstLine="500"/>
        <w:jc w:val="both"/>
      </w:pPr>
      <w:bookmarkStart w:id="65" w:name="bookmark65"/>
      <w:bookmarkEnd w:id="65"/>
      <w:r>
        <w:rPr>
          <w:b/>
          <w:bCs/>
          <w:color w:val="000000"/>
          <w:spacing w:val="0"/>
          <w:w w:val="100"/>
          <w:position w:val="0"/>
        </w:rPr>
        <w:t>已构建以党的领导为核心、上市公司章程为纲、国资监管制度为基的有效治理体系</w:t>
      </w:r>
    </w:p>
    <w:p>
      <w:pPr>
        <w:pStyle w:val="Style2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一是党委进章程，起实效，把方向。</w:t>
      </w:r>
      <w:r>
        <w:rPr>
          <w:rFonts w:ascii="Times New Roman" w:eastAsia="Times New Roman" w:hAnsi="Times New Roman" w:cs="Times New Roman"/>
          <w:color w:val="000000"/>
          <w:spacing w:val="0"/>
          <w:w w:val="100"/>
          <w:position w:val="0"/>
        </w:rPr>
        <w:t>2017</w:t>
      </w:r>
      <w:r>
        <w:rPr>
          <w:color w:val="000000"/>
          <w:spacing w:val="0"/>
          <w:w w:val="100"/>
          <w:position w:val="0"/>
        </w:rPr>
        <w:t>年将党委职责写入《公司章程》后，有效融合党委与上市公司传统治理结构， 通过制度明确党委</w:t>
      </w:r>
      <w:r>
        <w:rPr>
          <w:rFonts w:ascii="Times New Roman" w:eastAsia="Times New Roman" w:hAnsi="Times New Roman" w:cs="Times New Roman"/>
          <w:color w:val="000000"/>
          <w:spacing w:val="0"/>
          <w:w w:val="100"/>
          <w:position w:val="0"/>
        </w:rPr>
        <w:t>“</w:t>
      </w:r>
      <w:r>
        <w:rPr>
          <w:color w:val="000000"/>
          <w:spacing w:val="0"/>
          <w:w w:val="100"/>
          <w:position w:val="0"/>
        </w:rPr>
        <w:t>把方向、管大局、促落实</w:t>
      </w:r>
      <w:r>
        <w:rPr>
          <w:rFonts w:ascii="Times New Roman" w:eastAsia="Times New Roman" w:hAnsi="Times New Roman" w:cs="Times New Roman"/>
          <w:color w:val="000000"/>
          <w:spacing w:val="0"/>
          <w:w w:val="100"/>
          <w:position w:val="0"/>
        </w:rPr>
        <w:t>”</w:t>
      </w:r>
      <w:r>
        <w:rPr>
          <w:color w:val="000000"/>
          <w:spacing w:val="0"/>
          <w:w w:val="100"/>
          <w:position w:val="0"/>
        </w:rPr>
        <w:t>的领导作用；强化董事会</w:t>
      </w:r>
      <w:r>
        <w:rPr>
          <w:rFonts w:ascii="Times New Roman" w:eastAsia="Times New Roman" w:hAnsi="Times New Roman" w:cs="Times New Roman"/>
          <w:color w:val="000000"/>
          <w:spacing w:val="0"/>
          <w:w w:val="100"/>
          <w:position w:val="0"/>
        </w:rPr>
        <w:t>“</w:t>
      </w:r>
      <w:r>
        <w:rPr>
          <w:color w:val="000000"/>
          <w:spacing w:val="0"/>
          <w:w w:val="100"/>
          <w:position w:val="0"/>
        </w:rPr>
        <w:t>定战略、作决策、防风险</w:t>
      </w:r>
      <w:r>
        <w:rPr>
          <w:rFonts w:ascii="Times New Roman" w:eastAsia="Times New Roman" w:hAnsi="Times New Roman" w:cs="Times New Roman"/>
          <w:color w:val="000000"/>
          <w:spacing w:val="0"/>
          <w:w w:val="100"/>
          <w:position w:val="0"/>
        </w:rPr>
        <w:t>”</w:t>
      </w:r>
      <w:r>
        <w:rPr>
          <w:color w:val="000000"/>
          <w:spacing w:val="0"/>
          <w:w w:val="100"/>
          <w:position w:val="0"/>
        </w:rPr>
        <w:t xml:space="preserve">的决策作用；落实经理层 </w:t>
      </w:r>
      <w:r>
        <w:rPr>
          <w:rFonts w:ascii="Times New Roman" w:eastAsia="Times New Roman" w:hAnsi="Times New Roman" w:cs="Times New Roman"/>
          <w:color w:val="000000"/>
          <w:spacing w:val="0"/>
          <w:w w:val="100"/>
          <w:position w:val="0"/>
        </w:rPr>
        <w:t>“</w:t>
      </w:r>
      <w:r>
        <w:rPr>
          <w:color w:val="000000"/>
          <w:spacing w:val="0"/>
          <w:w w:val="100"/>
          <w:position w:val="0"/>
        </w:rPr>
        <w:t>谋经营、抓落实、强管理</w:t>
      </w:r>
      <w:r>
        <w:rPr>
          <w:rFonts w:ascii="Times New Roman" w:eastAsia="Times New Roman" w:hAnsi="Times New Roman" w:cs="Times New Roman"/>
          <w:color w:val="000000"/>
          <w:spacing w:val="0"/>
          <w:w w:val="100"/>
          <w:position w:val="0"/>
        </w:rPr>
        <w:t>”</w:t>
      </w:r>
      <w:r>
        <w:rPr>
          <w:color w:val="000000"/>
          <w:spacing w:val="0"/>
          <w:w w:val="100"/>
          <w:position w:val="0"/>
        </w:rPr>
        <w:t>的执行作用。</w:t>
      </w:r>
    </w:p>
    <w:p>
      <w:pPr>
        <w:pStyle w:val="Style2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二是建制度，出流程，强执行。建立规范的授权体系，坚持效率为先精益管理和风险分类管控的作战体系，建立符合 公司发展战略要求的一体化制度体系，并持续按合规要求进行更新。</w:t>
      </w:r>
      <w:r>
        <w:rPr>
          <w:rFonts w:ascii="Times New Roman" w:eastAsia="Times New Roman" w:hAnsi="Times New Roman" w:cs="Times New Roman"/>
          <w:color w:val="000000"/>
          <w:spacing w:val="0"/>
          <w:w w:val="100"/>
          <w:position w:val="0"/>
        </w:rPr>
        <w:t>2021</w:t>
      </w:r>
      <w:r>
        <w:rPr>
          <w:color w:val="000000"/>
          <w:spacing w:val="0"/>
          <w:w w:val="100"/>
          <w:position w:val="0"/>
        </w:rPr>
        <w:t>年，出台</w:t>
      </w:r>
      <w:r>
        <w:rPr>
          <w:rFonts w:ascii="Times New Roman" w:eastAsia="Times New Roman" w:hAnsi="Times New Roman" w:cs="Times New Roman"/>
          <w:color w:val="000000"/>
          <w:spacing w:val="0"/>
          <w:w w:val="100"/>
          <w:position w:val="0"/>
        </w:rPr>
        <w:t>“</w:t>
      </w:r>
      <w:r>
        <w:rPr>
          <w:color w:val="000000"/>
          <w:spacing w:val="0"/>
          <w:w w:val="100"/>
          <w:position w:val="0"/>
        </w:rPr>
        <w:t>三重一大</w:t>
      </w:r>
      <w:r>
        <w:rPr>
          <w:rFonts w:ascii="Times New Roman" w:eastAsia="Times New Roman" w:hAnsi="Times New Roman" w:cs="Times New Roman"/>
          <w:color w:val="000000"/>
          <w:spacing w:val="0"/>
          <w:w w:val="100"/>
          <w:position w:val="0"/>
        </w:rPr>
        <w:t>”</w:t>
      </w:r>
      <w:r>
        <w:rPr>
          <w:color w:val="000000"/>
          <w:spacing w:val="0"/>
          <w:w w:val="100"/>
          <w:position w:val="0"/>
        </w:rPr>
        <w:t>制度，明确党委决策事项、前 置审议事项</w:t>
      </w:r>
      <w:r>
        <w:rPr>
          <w:rFonts w:ascii="Times New Roman" w:eastAsia="Times New Roman" w:hAnsi="Times New Roman" w:cs="Times New Roman"/>
          <w:color w:val="000000"/>
          <w:spacing w:val="0"/>
          <w:w w:val="100"/>
          <w:position w:val="0"/>
        </w:rPr>
        <w:t>2</w:t>
      </w:r>
      <w:r>
        <w:rPr>
          <w:color w:val="000000"/>
          <w:spacing w:val="0"/>
          <w:w w:val="100"/>
          <w:position w:val="0"/>
        </w:rPr>
        <w:t>个清单；根据最新修订的《公司法》《证券法》及相关上市公司监管规则，较大幅度修订了《公司章程》及</w:t>
      </w:r>
      <w:r>
        <w:rPr>
          <w:rFonts w:ascii="Times New Roman" w:eastAsia="Times New Roman" w:hAnsi="Times New Roman" w:cs="Times New Roman"/>
          <w:color w:val="000000"/>
          <w:spacing w:val="0"/>
          <w:w w:val="100"/>
          <w:position w:val="0"/>
        </w:rPr>
        <w:t xml:space="preserve">28 </w:t>
      </w:r>
      <w:r>
        <w:rPr>
          <w:color w:val="000000"/>
          <w:spacing w:val="0"/>
          <w:w w:val="100"/>
          <w:position w:val="0"/>
        </w:rPr>
        <w:t>项需由董事会、股东大会审议批准的基本制度的；完成党委会</w:t>
      </w:r>
      <w:r>
        <w:rPr>
          <w:rFonts w:ascii="Times New Roman" w:eastAsia="Times New Roman" w:hAnsi="Times New Roman" w:cs="Times New Roman"/>
          <w:color w:val="000000"/>
          <w:spacing w:val="0"/>
          <w:w w:val="100"/>
          <w:position w:val="0"/>
        </w:rPr>
        <w:t>33</w:t>
      </w:r>
      <w:r>
        <w:rPr>
          <w:color w:val="000000"/>
          <w:spacing w:val="0"/>
          <w:w w:val="100"/>
          <w:position w:val="0"/>
        </w:rPr>
        <w:t>次，董事会</w:t>
      </w:r>
      <w:r>
        <w:rPr>
          <w:rFonts w:ascii="Times New Roman" w:eastAsia="Times New Roman" w:hAnsi="Times New Roman" w:cs="Times New Roman"/>
          <w:color w:val="000000"/>
          <w:spacing w:val="0"/>
          <w:w w:val="100"/>
          <w:position w:val="0"/>
        </w:rPr>
        <w:t>7</w:t>
      </w:r>
      <w:r>
        <w:rPr>
          <w:color w:val="000000"/>
          <w:spacing w:val="0"/>
          <w:w w:val="100"/>
          <w:position w:val="0"/>
        </w:rPr>
        <w:t>次，股东大会</w:t>
      </w:r>
      <w:r>
        <w:rPr>
          <w:rFonts w:ascii="Times New Roman" w:eastAsia="Times New Roman" w:hAnsi="Times New Roman" w:cs="Times New Roman"/>
          <w:color w:val="000000"/>
          <w:spacing w:val="0"/>
          <w:w w:val="100"/>
          <w:position w:val="0"/>
        </w:rPr>
        <w:t>2</w:t>
      </w:r>
      <w:r>
        <w:rPr>
          <w:color w:val="000000"/>
          <w:spacing w:val="0"/>
          <w:w w:val="100"/>
          <w:position w:val="0"/>
        </w:rPr>
        <w:t>次，监事会</w:t>
      </w:r>
      <w:r>
        <w:rPr>
          <w:rFonts w:ascii="Times New Roman" w:eastAsia="Times New Roman" w:hAnsi="Times New Roman" w:cs="Times New Roman"/>
          <w:color w:val="000000"/>
          <w:spacing w:val="0"/>
          <w:w w:val="100"/>
          <w:position w:val="0"/>
        </w:rPr>
        <w:t>7</w:t>
      </w:r>
      <w:r>
        <w:rPr>
          <w:color w:val="000000"/>
          <w:spacing w:val="0"/>
          <w:w w:val="100"/>
          <w:position w:val="0"/>
        </w:rPr>
        <w:t xml:space="preserve">次，总经理办公会 </w:t>
      </w:r>
      <w:r>
        <w:rPr>
          <w:rFonts w:ascii="Times New Roman" w:eastAsia="Times New Roman" w:hAnsi="Times New Roman" w:cs="Times New Roman"/>
          <w:color w:val="000000"/>
          <w:spacing w:val="0"/>
          <w:w w:val="100"/>
          <w:position w:val="0"/>
        </w:rPr>
        <w:t>25</w:t>
      </w:r>
      <w:r>
        <w:rPr>
          <w:color w:val="000000"/>
          <w:spacing w:val="0"/>
          <w:w w:val="100"/>
          <w:position w:val="0"/>
        </w:rPr>
        <w:t>次（股东大会、董事会、各专门委员会审议事项清单详见附件</w:t>
      </w:r>
      <w:r>
        <w:rPr>
          <w:rFonts w:ascii="Times New Roman" w:eastAsia="Times New Roman" w:hAnsi="Times New Roman" w:cs="Times New Roman"/>
          <w:color w:val="000000"/>
          <w:spacing w:val="0"/>
          <w:w w:val="100"/>
          <w:position w:val="0"/>
        </w:rPr>
        <w:t>1-3</w:t>
      </w:r>
      <w:r>
        <w:rPr>
          <w:color w:val="000000"/>
          <w:spacing w:val="0"/>
          <w:w w:val="100"/>
          <w:position w:val="0"/>
        </w:rPr>
        <w:t>）</w:t>
      </w:r>
      <w:r>
        <w:rPr>
          <w:color w:val="000000"/>
          <w:spacing w:val="0"/>
          <w:w w:val="100"/>
          <w:position w:val="0"/>
        </w:rPr>
        <w:t>；通过制度、培训、信息化系统、考核评价、管理审计 等手段，加强包括子公司在内的各单元依法依规决策并传递内部信息，并持续作好定期报告和临时公告（</w:t>
      </w:r>
      <w:r>
        <w:rPr>
          <w:rFonts w:ascii="Times New Roman" w:eastAsia="Times New Roman" w:hAnsi="Times New Roman" w:cs="Times New Roman"/>
          <w:color w:val="000000"/>
          <w:spacing w:val="0"/>
          <w:w w:val="100"/>
          <w:position w:val="0"/>
        </w:rPr>
        <w:t>134</w:t>
      </w:r>
      <w:r>
        <w:rPr>
          <w:color w:val="000000"/>
          <w:spacing w:val="0"/>
          <w:w w:val="100"/>
          <w:position w:val="0"/>
        </w:rPr>
        <w:t>项）、投资者 问答（</w:t>
      </w:r>
      <w:r>
        <w:rPr>
          <w:rFonts w:ascii="Times New Roman" w:eastAsia="Times New Roman" w:hAnsi="Times New Roman" w:cs="Times New Roman"/>
          <w:color w:val="000000"/>
          <w:spacing w:val="0"/>
          <w:w w:val="100"/>
          <w:position w:val="0"/>
        </w:rPr>
        <w:t>124</w:t>
      </w:r>
      <w:r>
        <w:rPr>
          <w:color w:val="000000"/>
          <w:spacing w:val="0"/>
          <w:w w:val="100"/>
          <w:position w:val="0"/>
        </w:rPr>
        <w:t>项）等工作；完成内部审计</w:t>
      </w:r>
      <w:r>
        <w:rPr>
          <w:rFonts w:ascii="Times New Roman" w:eastAsia="Times New Roman" w:hAnsi="Times New Roman" w:cs="Times New Roman"/>
          <w:color w:val="000000"/>
          <w:spacing w:val="0"/>
          <w:w w:val="100"/>
          <w:position w:val="0"/>
        </w:rPr>
        <w:t>17</w:t>
      </w:r>
      <w:r>
        <w:rPr>
          <w:color w:val="000000"/>
          <w:spacing w:val="0"/>
          <w:w w:val="100"/>
          <w:position w:val="0"/>
        </w:rPr>
        <w:t>项，未发现重大问题，发现一般性的金额类问题</w:t>
      </w:r>
      <w:r>
        <w:rPr>
          <w:rFonts w:ascii="Times New Roman" w:eastAsia="Times New Roman" w:hAnsi="Times New Roman" w:cs="Times New Roman"/>
          <w:color w:val="000000"/>
          <w:spacing w:val="0"/>
          <w:w w:val="100"/>
          <w:position w:val="0"/>
        </w:rPr>
        <w:t>0</w:t>
      </w:r>
      <w:r>
        <w:rPr>
          <w:color w:val="000000"/>
          <w:spacing w:val="0"/>
          <w:w w:val="100"/>
          <w:position w:val="0"/>
        </w:rPr>
        <w:t>项、非金额类问题</w:t>
      </w:r>
      <w:r>
        <w:rPr>
          <w:rFonts w:ascii="Times New Roman" w:eastAsia="Times New Roman" w:hAnsi="Times New Roman" w:cs="Times New Roman"/>
          <w:color w:val="000000"/>
          <w:spacing w:val="0"/>
          <w:w w:val="100"/>
          <w:position w:val="0"/>
        </w:rPr>
        <w:t>51</w:t>
      </w:r>
      <w:r>
        <w:rPr>
          <w:color w:val="000000"/>
          <w:spacing w:val="0"/>
          <w:w w:val="100"/>
          <w:position w:val="0"/>
        </w:rPr>
        <w:t>项（已完成整 改</w:t>
      </w:r>
      <w:r>
        <w:rPr>
          <w:rFonts w:ascii="Times New Roman" w:eastAsia="Times New Roman" w:hAnsi="Times New Roman" w:cs="Times New Roman"/>
          <w:color w:val="000000"/>
          <w:spacing w:val="0"/>
          <w:w w:val="100"/>
          <w:position w:val="0"/>
        </w:rPr>
        <w:t>38</w:t>
      </w:r>
      <w:r>
        <w:rPr>
          <w:color w:val="000000"/>
          <w:spacing w:val="0"/>
          <w:w w:val="100"/>
          <w:position w:val="0"/>
        </w:rPr>
        <w:t>项），内审推动制度修订</w:t>
      </w:r>
      <w:r>
        <w:rPr>
          <w:rFonts w:ascii="Times New Roman" w:eastAsia="Times New Roman" w:hAnsi="Times New Roman" w:cs="Times New Roman"/>
          <w:color w:val="000000"/>
          <w:spacing w:val="0"/>
          <w:w w:val="100"/>
          <w:position w:val="0"/>
        </w:rPr>
        <w:t>5</w:t>
      </w:r>
      <w:r>
        <w:rPr>
          <w:color w:val="000000"/>
          <w:spacing w:val="0"/>
          <w:w w:val="100"/>
          <w:position w:val="0"/>
        </w:rPr>
        <w:t>项、推动业务流程完善</w:t>
      </w:r>
      <w:r>
        <w:rPr>
          <w:rFonts w:ascii="Times New Roman" w:eastAsia="Times New Roman" w:hAnsi="Times New Roman" w:cs="Times New Roman"/>
          <w:color w:val="000000"/>
          <w:spacing w:val="0"/>
          <w:w w:val="100"/>
          <w:position w:val="0"/>
        </w:rPr>
        <w:t>6</w:t>
      </w:r>
      <w:r>
        <w:rPr>
          <w:color w:val="000000"/>
          <w:spacing w:val="0"/>
          <w:w w:val="100"/>
          <w:position w:val="0"/>
        </w:rPr>
        <w:t>项。更多内容详见公司</w:t>
      </w:r>
      <w:r>
        <w:rPr>
          <w:rFonts w:ascii="Times New Roman" w:eastAsia="Times New Roman" w:hAnsi="Times New Roman" w:cs="Times New Roman"/>
          <w:color w:val="000000"/>
          <w:spacing w:val="0"/>
          <w:w w:val="100"/>
          <w:position w:val="0"/>
        </w:rPr>
        <w:t>2021</w:t>
      </w:r>
      <w:r>
        <w:rPr>
          <w:color w:val="000000"/>
          <w:spacing w:val="0"/>
          <w:w w:val="100"/>
          <w:position w:val="0"/>
        </w:rPr>
        <w:t>年度内控自评价报告。</w:t>
      </w:r>
    </w:p>
    <w:p>
      <w:pPr>
        <w:pStyle w:val="Style2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三是明分工，重配合，压考核。通过党组织与经营管理两条线的交叉任职，党委书记任董事长、党委专职副书记任董 事、纪委书记任监事会主席，并充分发挥</w:t>
      </w:r>
      <w:r>
        <w:rPr>
          <w:rFonts w:ascii="Times New Roman" w:eastAsia="Times New Roman" w:hAnsi="Times New Roman" w:cs="Times New Roman"/>
          <w:color w:val="000000"/>
          <w:spacing w:val="0"/>
          <w:w w:val="100"/>
          <w:position w:val="0"/>
        </w:rPr>
        <w:t>“</w:t>
      </w:r>
      <w:r>
        <w:rPr>
          <w:color w:val="000000"/>
          <w:spacing w:val="0"/>
          <w:w w:val="100"/>
          <w:position w:val="0"/>
        </w:rPr>
        <w:t>将支部建在连上</w:t>
      </w:r>
      <w:r>
        <w:rPr>
          <w:rFonts w:ascii="Times New Roman" w:eastAsia="Times New Roman" w:hAnsi="Times New Roman" w:cs="Times New Roman"/>
          <w:color w:val="000000"/>
          <w:spacing w:val="0"/>
          <w:w w:val="100"/>
          <w:position w:val="0"/>
        </w:rPr>
        <w:t>”</w:t>
      </w:r>
      <w:r>
        <w:rPr>
          <w:color w:val="000000"/>
          <w:spacing w:val="0"/>
          <w:w w:val="100"/>
          <w:position w:val="0"/>
        </w:rPr>
        <w:t>，各中层管理者任党支部书记及支委一岗双责，从上到下分工配 合，落实经营责任、疫情防控、安全生产、廉洁合规等考核机制，确保党委重大部署得到落实。</w:t>
      </w:r>
    </w:p>
    <w:p>
      <w:pPr>
        <w:pStyle w:val="Style2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四是兴文化，建渠道，保公平。党委牵头，党建铸魂，引领担当创新的国企文化方向。通过党委书记讲党课、党委专 职副书记分管党建和人力资源管理工作、全体党员群众结对子等长效机制，让党员成为决策执行和企业文化传播者、团队凝 聚力的核心，确保科技型企业最重要的人才团队心气顺、敢担当，力出一孔，并逐渐形成了</w:t>
      </w:r>
      <w:r>
        <w:rPr>
          <w:rFonts w:ascii="Times New Roman" w:eastAsia="Times New Roman" w:hAnsi="Times New Roman" w:cs="Times New Roman"/>
          <w:color w:val="000000"/>
          <w:spacing w:val="0"/>
          <w:w w:val="100"/>
          <w:position w:val="0"/>
        </w:rPr>
        <w:t>“</w:t>
      </w:r>
      <w:r>
        <w:rPr>
          <w:color w:val="000000"/>
          <w:spacing w:val="0"/>
          <w:w w:val="100"/>
          <w:position w:val="0"/>
        </w:rPr>
        <w:t>公开、公平、共享、共生</w:t>
      </w:r>
      <w:r>
        <w:rPr>
          <w:rFonts w:ascii="Times New Roman" w:eastAsia="Times New Roman" w:hAnsi="Times New Roman" w:cs="Times New Roman"/>
          <w:color w:val="000000"/>
          <w:spacing w:val="0"/>
          <w:w w:val="100"/>
          <w:position w:val="0"/>
        </w:rPr>
        <w:t>”</w:t>
      </w:r>
      <w:r>
        <w:rPr>
          <w:color w:val="000000"/>
          <w:spacing w:val="0"/>
          <w:w w:val="100"/>
          <w:position w:val="0"/>
        </w:rPr>
        <w:t>的团</w:t>
      </w:r>
    </w:p>
    <w:p>
      <w:pPr>
        <w:pStyle w:val="Style20"/>
        <w:keepNext w:val="0"/>
        <w:keepLines w:val="0"/>
        <w:widowControl w:val="0"/>
        <w:shd w:val="clear" w:color="auto" w:fill="auto"/>
        <w:bidi w:val="0"/>
        <w:spacing w:before="0" w:after="0" w:line="312" w:lineRule="exact"/>
        <w:ind w:left="0" w:right="0" w:firstLine="4940"/>
        <w:jc w:val="left"/>
      </w:pPr>
      <w:r>
        <w:rPr>
          <w:color w:val="000000"/>
          <w:spacing w:val="0"/>
          <w:w w:val="100"/>
          <w:position w:val="0"/>
          <w:u w:val="single"/>
        </w:rPr>
        <w:t>深圳市建筑科学研究院股份有限公司</w:t>
      </w:r>
      <w:r>
        <w:rPr>
          <w:rFonts w:ascii="Times New Roman" w:eastAsia="Times New Roman" w:hAnsi="Times New Roman" w:cs="Times New Roman"/>
          <w:color w:val="000000"/>
          <w:spacing w:val="0"/>
          <w:w w:val="100"/>
          <w:position w:val="0"/>
          <w:u w:val="single"/>
        </w:rPr>
        <w:t>2021</w:t>
      </w:r>
      <w:r>
        <w:rPr>
          <w:color w:val="000000"/>
          <w:spacing w:val="0"/>
          <w:w w:val="100"/>
          <w:position w:val="0"/>
          <w:u w:val="single"/>
        </w:rPr>
        <w:t xml:space="preserve">年年度报告全文 </w:t>
      </w:r>
      <w:r>
        <w:rPr>
          <w:color w:val="000000"/>
          <w:spacing w:val="0"/>
          <w:w w:val="100"/>
          <w:position w:val="0"/>
        </w:rPr>
        <w:t>队文化，并选以</w:t>
      </w:r>
      <w:r>
        <w:rPr>
          <w:rFonts w:ascii="Times New Roman" w:eastAsia="Times New Roman" w:hAnsi="Times New Roman" w:cs="Times New Roman"/>
          <w:color w:val="000000"/>
          <w:spacing w:val="0"/>
          <w:w w:val="100"/>
          <w:position w:val="0"/>
        </w:rPr>
        <w:t>“</w:t>
      </w:r>
      <w:r>
        <w:rPr>
          <w:color w:val="000000"/>
          <w:spacing w:val="0"/>
          <w:w w:val="100"/>
          <w:position w:val="0"/>
        </w:rPr>
        <w:t>蜜蜂</w:t>
      </w:r>
      <w:r>
        <w:rPr>
          <w:rFonts w:ascii="Times New Roman" w:eastAsia="Times New Roman" w:hAnsi="Times New Roman" w:cs="Times New Roman"/>
          <w:color w:val="000000"/>
          <w:spacing w:val="0"/>
          <w:w w:val="100"/>
          <w:position w:val="0"/>
        </w:rPr>
        <w:t>”</w:t>
      </w:r>
      <w:r>
        <w:rPr>
          <w:color w:val="000000"/>
          <w:spacing w:val="0"/>
          <w:w w:val="100"/>
          <w:position w:val="0"/>
        </w:rPr>
        <w:t>为寓意，结合公司在行业内外活动，公</w:t>
      </w:r>
    </w:p>
    <w:p>
      <w:pPr>
        <w:pStyle w:val="Style20"/>
        <w:keepNext w:val="0"/>
        <w:keepLines w:val="0"/>
        <w:widowControl w:val="0"/>
        <w:numPr>
          <w:ilvl w:val="0"/>
          <w:numId w:val="11"/>
        </w:numPr>
        <w:shd w:val="clear" w:color="auto" w:fill="auto"/>
        <w:bidi w:val="0"/>
        <w:spacing w:before="0" w:after="0" w:line="312" w:lineRule="exact"/>
        <w:ind w:left="0" w:right="0" w:firstLine="500"/>
        <w:jc w:val="both"/>
      </w:pPr>
      <w:bookmarkStart w:id="66" w:name="bookmark66"/>
      <w:bookmarkEnd w:id="66"/>
      <w:r>
        <w:rPr>
          <w:b/>
          <w:bCs/>
          <w:color w:val="000000"/>
          <w:spacing w:val="0"/>
          <w:w w:val="100"/>
          <w:position w:val="0"/>
        </w:rPr>
        <w:t>董事会创新机制，狠抓科技创新核心竞争力</w:t>
      </w:r>
    </w:p>
    <w:p>
      <w:pPr>
        <w:pStyle w:val="Style2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一是公司长期坚持绿色基因和绿色发展理念。董事会严格坚持绿色发展初心，在贯彻中央要求的</w:t>
      </w:r>
      <w:r>
        <w:rPr>
          <w:rFonts w:ascii="Times New Roman" w:eastAsia="Times New Roman" w:hAnsi="Times New Roman" w:cs="Times New Roman"/>
          <w:color w:val="000000"/>
          <w:spacing w:val="0"/>
          <w:w w:val="100"/>
          <w:position w:val="0"/>
        </w:rPr>
        <w:t>“</w:t>
      </w:r>
      <w:r>
        <w:rPr>
          <w:color w:val="000000"/>
          <w:spacing w:val="0"/>
          <w:w w:val="100"/>
          <w:position w:val="0"/>
        </w:rPr>
        <w:t>绿水青山、金山银山</w:t>
      </w:r>
      <w:r>
        <w:rPr>
          <w:rFonts w:ascii="Times New Roman" w:eastAsia="Times New Roman" w:hAnsi="Times New Roman" w:cs="Times New Roman"/>
          <w:color w:val="000000"/>
          <w:spacing w:val="0"/>
          <w:w w:val="100"/>
          <w:position w:val="0"/>
        </w:rPr>
        <w:t xml:space="preserve">” </w:t>
      </w:r>
      <w:r>
        <w:rPr>
          <w:color w:val="000000"/>
          <w:spacing w:val="0"/>
          <w:w w:val="100"/>
          <w:position w:val="0"/>
        </w:rPr>
        <w:t>的</w:t>
      </w:r>
      <w:r>
        <w:rPr>
          <w:rFonts w:ascii="Times New Roman" w:eastAsia="Times New Roman" w:hAnsi="Times New Roman" w:cs="Times New Roman"/>
          <w:color w:val="000000"/>
          <w:spacing w:val="0"/>
          <w:w w:val="100"/>
          <w:position w:val="0"/>
        </w:rPr>
        <w:t>“</w:t>
      </w:r>
      <w:r>
        <w:rPr>
          <w:color w:val="000000"/>
          <w:spacing w:val="0"/>
          <w:w w:val="100"/>
          <w:position w:val="0"/>
        </w:rPr>
        <w:t>两山</w:t>
      </w:r>
      <w:r>
        <w:rPr>
          <w:rFonts w:ascii="Times New Roman" w:eastAsia="Times New Roman" w:hAnsi="Times New Roman" w:cs="Times New Roman"/>
          <w:color w:val="000000"/>
          <w:spacing w:val="0"/>
          <w:w w:val="100"/>
          <w:position w:val="0"/>
        </w:rPr>
        <w:t>”</w:t>
      </w:r>
      <w:r>
        <w:rPr>
          <w:color w:val="000000"/>
          <w:spacing w:val="0"/>
          <w:w w:val="100"/>
          <w:position w:val="0"/>
        </w:rPr>
        <w:t>理论中做坚定的践行者，在生态文明</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背景下为国家和深圳、雄安多地的绿色发展战略、</w:t>
      </w:r>
      <w:r>
        <w:rPr>
          <w:rFonts w:ascii="Times New Roman" w:eastAsia="Times New Roman" w:hAnsi="Times New Roman" w:cs="Times New Roman"/>
          <w:color w:val="000000"/>
          <w:spacing w:val="0"/>
          <w:w w:val="100"/>
          <w:position w:val="0"/>
        </w:rPr>
        <w:t>“</w:t>
      </w:r>
      <w:r>
        <w:rPr>
          <w:color w:val="000000"/>
          <w:spacing w:val="0"/>
          <w:w w:val="100"/>
          <w:position w:val="0"/>
        </w:rPr>
        <w:t>房住不炒</w:t>
      </w:r>
      <w:r>
        <w:rPr>
          <w:rFonts w:ascii="Times New Roman" w:eastAsia="Times New Roman" w:hAnsi="Times New Roman" w:cs="Times New Roman"/>
          <w:color w:val="000000"/>
          <w:spacing w:val="0"/>
          <w:w w:val="100"/>
          <w:position w:val="0"/>
        </w:rPr>
        <w:t>”</w:t>
      </w:r>
      <w:r>
        <w:rPr>
          <w:color w:val="000000"/>
          <w:spacing w:val="0"/>
          <w:w w:val="100"/>
          <w:position w:val="0"/>
        </w:rPr>
        <w:t>政策中做 坚定的技术体系突破升级的探索者。</w:t>
      </w:r>
    </w:p>
    <w:p>
      <w:pPr>
        <w:pStyle w:val="Style2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二是董事会结构合理，持续保持一流独立董事团队。建科院上市前就已实现外部董事占多数的董事会结构，上市后董 事会</w:t>
      </w:r>
      <w:r>
        <w:rPr>
          <w:rFonts w:ascii="Times New Roman" w:eastAsia="Times New Roman" w:hAnsi="Times New Roman" w:cs="Times New Roman"/>
          <w:color w:val="000000"/>
          <w:spacing w:val="0"/>
          <w:w w:val="100"/>
          <w:position w:val="0"/>
        </w:rPr>
        <w:t>9</w:t>
      </w:r>
      <w:r>
        <w:rPr>
          <w:color w:val="000000"/>
          <w:spacing w:val="0"/>
          <w:w w:val="100"/>
          <w:position w:val="0"/>
        </w:rPr>
        <w:t>人，其中外部董事占多数，且</w:t>
      </w:r>
      <w:r>
        <w:rPr>
          <w:rFonts w:ascii="Times New Roman" w:eastAsia="Times New Roman" w:hAnsi="Times New Roman" w:cs="Times New Roman"/>
          <w:color w:val="000000"/>
          <w:spacing w:val="0"/>
          <w:w w:val="100"/>
          <w:position w:val="0"/>
        </w:rPr>
        <w:t>3</w:t>
      </w:r>
      <w:r>
        <w:rPr>
          <w:color w:val="000000"/>
          <w:spacing w:val="0"/>
          <w:w w:val="100"/>
          <w:position w:val="0"/>
        </w:rPr>
        <w:t>名独立董事包括行业专家</w:t>
      </w:r>
      <w:r>
        <w:rPr>
          <w:rFonts w:ascii="Times New Roman" w:eastAsia="Times New Roman" w:hAnsi="Times New Roman" w:cs="Times New Roman"/>
          <w:color w:val="000000"/>
          <w:spacing w:val="0"/>
          <w:w w:val="100"/>
          <w:position w:val="0"/>
        </w:rPr>
        <w:t>1</w:t>
      </w:r>
      <w:r>
        <w:rPr>
          <w:color w:val="000000"/>
          <w:spacing w:val="0"/>
          <w:w w:val="100"/>
          <w:position w:val="0"/>
        </w:rPr>
        <w:t>名（曾有中科院院士担任，目前为具备多年企业管理经验的 行业专家）、法律和财务方面专家各</w:t>
      </w:r>
      <w:r>
        <w:rPr>
          <w:rFonts w:ascii="Times New Roman" w:eastAsia="Times New Roman" w:hAnsi="Times New Roman" w:cs="Times New Roman"/>
          <w:color w:val="000000"/>
          <w:spacing w:val="0"/>
          <w:w w:val="100"/>
          <w:position w:val="0"/>
        </w:rPr>
        <w:t>1</w:t>
      </w:r>
      <w:r>
        <w:rPr>
          <w:color w:val="000000"/>
          <w:spacing w:val="0"/>
          <w:w w:val="100"/>
          <w:position w:val="0"/>
        </w:rPr>
        <w:t>名（其中一人是人大代表，不仅代表中小股东，更代表公众利益），独立董事充分了 解公司经营情况，并参与调研和专项研讨，多年来独立董事能够充分发表意见，维护公司根本利益和中小投资者利益的</w:t>
      </w:r>
      <w:r>
        <w:rPr>
          <w:rFonts w:ascii="Times New Roman" w:eastAsia="Times New Roman" w:hAnsi="Times New Roman" w:cs="Times New Roman"/>
          <w:color w:val="000000"/>
          <w:spacing w:val="0"/>
          <w:w w:val="100"/>
          <w:position w:val="0"/>
        </w:rPr>
        <w:t>“</w:t>
      </w:r>
      <w:r>
        <w:rPr>
          <w:color w:val="000000"/>
          <w:spacing w:val="0"/>
          <w:w w:val="100"/>
          <w:position w:val="0"/>
        </w:rPr>
        <w:t>一 体两面</w:t>
      </w:r>
      <w:r>
        <w:rPr>
          <w:rFonts w:ascii="Times New Roman" w:eastAsia="Times New Roman" w:hAnsi="Times New Roman" w:cs="Times New Roman"/>
          <w:color w:val="000000"/>
          <w:spacing w:val="0"/>
          <w:w w:val="100"/>
          <w:position w:val="0"/>
        </w:rPr>
        <w:t>”</w:t>
      </w:r>
      <w:r>
        <w:rPr>
          <w:color w:val="000000"/>
          <w:spacing w:val="0"/>
          <w:w w:val="100"/>
          <w:position w:val="0"/>
        </w:rPr>
        <w:t>，保证了董事会决策的科学性、公正性、专业性。</w:t>
      </w:r>
    </w:p>
    <w:p>
      <w:pPr>
        <w:pStyle w:val="Style2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 xml:space="preserve">三是董事会下创新设立市场与科技创新委员会，统领技术战略制定与实施。该委员会是在创业板上市公司法定要求的 </w:t>
      </w:r>
      <w:r>
        <w:rPr>
          <w:rFonts w:ascii="Times New Roman" w:eastAsia="Times New Roman" w:hAnsi="Times New Roman" w:cs="Times New Roman"/>
          <w:color w:val="000000"/>
          <w:spacing w:val="0"/>
          <w:w w:val="100"/>
          <w:position w:val="0"/>
        </w:rPr>
        <w:t>4</w:t>
      </w:r>
      <w:r>
        <w:rPr>
          <w:color w:val="000000"/>
          <w:spacing w:val="0"/>
          <w:w w:val="100"/>
          <w:position w:val="0"/>
        </w:rPr>
        <w:t>个委员会之外创新设立的，并下设专家咨询委员会。该委员会是将技术管理提升到与经营管理同等重要位置的重大战略举 措，能有效改变常规董事会在战略研究制定和科技创新缺乏抓手、受制于日常经营短期成本压力的状况。</w:t>
      </w:r>
      <w:r>
        <w:rPr>
          <w:rFonts w:ascii="Times New Roman" w:eastAsia="Times New Roman" w:hAnsi="Times New Roman" w:cs="Times New Roman"/>
          <w:color w:val="000000"/>
          <w:spacing w:val="0"/>
          <w:w w:val="100"/>
          <w:position w:val="0"/>
        </w:rPr>
        <w:t>2021</w:t>
      </w:r>
      <w:r>
        <w:rPr>
          <w:color w:val="000000"/>
          <w:spacing w:val="0"/>
          <w:w w:val="100"/>
          <w:position w:val="0"/>
        </w:rPr>
        <w:t>年，将该委员 会办公室职能设在董事会办公室，负责指导、监督、评价公司以创造环境、社会、治理</w:t>
      </w:r>
      <w:r>
        <w:rPr>
          <w:color w:val="000000"/>
          <w:spacing w:val="0"/>
          <w:w w:val="100"/>
          <w:position w:val="0"/>
        </w:rPr>
        <w:t>（</w:t>
      </w:r>
      <w:r>
        <w:rPr>
          <w:rFonts w:ascii="Times New Roman" w:eastAsia="Times New Roman" w:hAnsi="Times New Roman" w:cs="Times New Roman"/>
          <w:color w:val="000000"/>
          <w:spacing w:val="0"/>
          <w:w w:val="100"/>
          <w:position w:val="0"/>
        </w:rPr>
        <w:t>ESG</w:t>
      </w:r>
      <w:r>
        <w:rPr>
          <w:color w:val="000000"/>
          <w:spacing w:val="0"/>
          <w:w w:val="100"/>
          <w:position w:val="0"/>
        </w:rPr>
        <w:t>）价值的市场体系、以绿色研 究院和实验室为主的研发创新体系，确保切实落实公司战略决策，推动形成前瞻、长期的市场与科技创新实施路径、资源体 系、可持续竞争力。</w:t>
      </w:r>
    </w:p>
    <w:p>
      <w:pPr>
        <w:pStyle w:val="Style20"/>
        <w:keepNext w:val="0"/>
        <w:keepLines w:val="0"/>
        <w:widowControl w:val="0"/>
        <w:numPr>
          <w:ilvl w:val="0"/>
          <w:numId w:val="11"/>
        </w:numPr>
        <w:shd w:val="clear" w:color="auto" w:fill="auto"/>
        <w:tabs>
          <w:tab w:pos="850" w:val="left"/>
        </w:tabs>
        <w:bidi w:val="0"/>
        <w:spacing w:before="0" w:after="0" w:line="312" w:lineRule="exact"/>
        <w:ind w:left="0" w:right="0" w:firstLine="500"/>
        <w:jc w:val="both"/>
      </w:pPr>
      <w:bookmarkStart w:id="67" w:name="bookmark67"/>
      <w:bookmarkEnd w:id="67"/>
      <w:r>
        <w:rPr>
          <w:b/>
          <w:bCs/>
          <w:color w:val="000000"/>
          <w:spacing w:val="0"/>
          <w:w w:val="100"/>
          <w:position w:val="0"/>
        </w:rPr>
        <w:t>公司坚持探索科技型企业、知识型员工的自组织管理模式，以文化认同为核心，以数字化为手段，人性化为本， 提升职场自驱力和幸福感</w:t>
      </w:r>
    </w:p>
    <w:p>
      <w:pPr>
        <w:pStyle w:val="Style2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一是完成职业经理人改革，激发企业经营活力。根据</w:t>
      </w:r>
      <w:r>
        <w:rPr>
          <w:rFonts w:ascii="Times New Roman" w:eastAsia="Times New Roman" w:hAnsi="Times New Roman" w:cs="Times New Roman"/>
          <w:color w:val="000000"/>
          <w:spacing w:val="0"/>
          <w:w w:val="100"/>
          <w:position w:val="0"/>
        </w:rPr>
        <w:t>“</w:t>
      </w:r>
      <w:r>
        <w:rPr>
          <w:color w:val="000000"/>
          <w:spacing w:val="0"/>
          <w:w w:val="100"/>
          <w:position w:val="0"/>
        </w:rPr>
        <w:t>科改</w:t>
      </w:r>
      <w:r>
        <w:rPr>
          <w:rFonts w:ascii="Times New Roman" w:eastAsia="Times New Roman" w:hAnsi="Times New Roman" w:cs="Times New Roman"/>
          <w:color w:val="000000"/>
          <w:spacing w:val="0"/>
          <w:w w:val="100"/>
          <w:position w:val="0"/>
        </w:rPr>
        <w:t>”</w:t>
      </w:r>
      <w:r>
        <w:rPr>
          <w:color w:val="000000"/>
          <w:spacing w:val="0"/>
          <w:w w:val="100"/>
          <w:position w:val="0"/>
        </w:rPr>
        <w:t>要求，在公司本级完成任期制和契约化改革、全面实施经 营班子的职业经理人制度的基础上，</w:t>
      </w:r>
      <w:r>
        <w:rPr>
          <w:rFonts w:ascii="Times New Roman" w:eastAsia="Times New Roman" w:hAnsi="Times New Roman" w:cs="Times New Roman"/>
          <w:color w:val="000000"/>
          <w:spacing w:val="0"/>
          <w:w w:val="100"/>
          <w:position w:val="0"/>
        </w:rPr>
        <w:t>2021</w:t>
      </w:r>
      <w:r>
        <w:rPr>
          <w:color w:val="000000"/>
          <w:spacing w:val="0"/>
          <w:w w:val="100"/>
          <w:position w:val="0"/>
        </w:rPr>
        <w:t>年推动一级部门负责人、主要子公司管理团队（市政中心、湖北建胜）近</w:t>
      </w:r>
      <w:r>
        <w:rPr>
          <w:rFonts w:ascii="Times New Roman" w:eastAsia="Times New Roman" w:hAnsi="Times New Roman" w:cs="Times New Roman"/>
          <w:color w:val="000000"/>
          <w:spacing w:val="0"/>
          <w:w w:val="100"/>
          <w:position w:val="0"/>
        </w:rPr>
        <w:t>30</w:t>
      </w:r>
      <w:r>
        <w:rPr>
          <w:color w:val="000000"/>
          <w:spacing w:val="0"/>
          <w:w w:val="100"/>
          <w:position w:val="0"/>
        </w:rPr>
        <w:t>个岗位 的竞聘和市场化选聘工作，持续开展高端管理和技术人员的市场化引进工作。</w:t>
      </w:r>
    </w:p>
    <w:p>
      <w:pPr>
        <w:pStyle w:val="Style2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二是坚持数字化管理创新，牵引员工</w:t>
      </w:r>
      <w:r>
        <w:rPr>
          <w:rFonts w:ascii="Times New Roman" w:eastAsia="Times New Roman" w:hAnsi="Times New Roman" w:cs="Times New Roman"/>
          <w:color w:val="000000"/>
          <w:spacing w:val="0"/>
          <w:w w:val="100"/>
          <w:position w:val="0"/>
        </w:rPr>
        <w:t>“</w:t>
      </w:r>
      <w:r>
        <w:rPr>
          <w:color w:val="000000"/>
          <w:spacing w:val="0"/>
          <w:w w:val="100"/>
          <w:position w:val="0"/>
        </w:rPr>
        <w:t>自组织</w:t>
      </w:r>
      <w:r>
        <w:rPr>
          <w:rFonts w:ascii="Times New Roman" w:eastAsia="Times New Roman" w:hAnsi="Times New Roman" w:cs="Times New Roman"/>
          <w:color w:val="000000"/>
          <w:spacing w:val="0"/>
          <w:w w:val="100"/>
          <w:position w:val="0"/>
        </w:rPr>
        <w:t>”</w:t>
      </w:r>
      <w:r>
        <w:rPr>
          <w:color w:val="000000"/>
          <w:spacing w:val="0"/>
          <w:w w:val="100"/>
          <w:position w:val="0"/>
        </w:rPr>
        <w:t>管理。近二十年来，公司率先在行业内突破既有管理模式，跨界学习引 进世界先进管理体系，用市场价值链、扁平化、流程制等现代公司管理知识和观念牵引突破。坚持不依靠人员和组织规模的 简单增加实现公司业务增长，</w:t>
      </w:r>
      <w:r>
        <w:rPr>
          <w:rFonts w:ascii="Times New Roman" w:eastAsia="Times New Roman" w:hAnsi="Times New Roman" w:cs="Times New Roman"/>
          <w:color w:val="000000"/>
          <w:spacing w:val="0"/>
          <w:w w:val="100"/>
          <w:position w:val="0"/>
        </w:rPr>
        <w:t>2021</w:t>
      </w:r>
      <w:r>
        <w:rPr>
          <w:color w:val="000000"/>
          <w:spacing w:val="0"/>
          <w:w w:val="100"/>
          <w:position w:val="0"/>
        </w:rPr>
        <w:t>年取得重大进展包括：以大数据、区块链为主要工具，以岗位要求、人岗匹配的员工行为 要素数据形成</w:t>
      </w:r>
      <w:r>
        <w:rPr>
          <w:rFonts w:ascii="Times New Roman" w:eastAsia="Times New Roman" w:hAnsi="Times New Roman" w:cs="Times New Roman"/>
          <w:color w:val="000000"/>
          <w:spacing w:val="0"/>
          <w:w w:val="100"/>
          <w:position w:val="0"/>
        </w:rPr>
        <w:t>“</w:t>
      </w:r>
      <w:r>
        <w:rPr>
          <w:color w:val="000000"/>
          <w:spacing w:val="0"/>
          <w:w w:val="100"/>
          <w:position w:val="0"/>
        </w:rPr>
        <w:t>员工画像</w:t>
      </w:r>
      <w:r>
        <w:rPr>
          <w:rFonts w:ascii="Times New Roman" w:eastAsia="Times New Roman" w:hAnsi="Times New Roman" w:cs="Times New Roman"/>
          <w:color w:val="000000"/>
          <w:spacing w:val="0"/>
          <w:w w:val="100"/>
          <w:position w:val="0"/>
        </w:rPr>
        <w:t>”“</w:t>
      </w:r>
      <w:r>
        <w:rPr>
          <w:color w:val="000000"/>
          <w:spacing w:val="0"/>
          <w:w w:val="100"/>
          <w:position w:val="0"/>
        </w:rPr>
        <w:t>党员画像</w:t>
      </w:r>
      <w:r>
        <w:rPr>
          <w:rFonts w:ascii="Times New Roman" w:eastAsia="Times New Roman" w:hAnsi="Times New Roman" w:cs="Times New Roman"/>
          <w:color w:val="000000"/>
          <w:spacing w:val="0"/>
          <w:w w:val="100"/>
          <w:position w:val="0"/>
        </w:rPr>
        <w:t>”</w:t>
      </w:r>
      <w:r>
        <w:rPr>
          <w:color w:val="000000"/>
          <w:spacing w:val="0"/>
          <w:w w:val="100"/>
          <w:position w:val="0"/>
        </w:rPr>
        <w:t>，持续加大数字化的</w:t>
      </w:r>
      <w:r>
        <w:rPr>
          <w:rFonts w:ascii="Times New Roman" w:eastAsia="Times New Roman" w:hAnsi="Times New Roman" w:cs="Times New Roman"/>
          <w:color w:val="000000"/>
          <w:spacing w:val="0"/>
          <w:w w:val="100"/>
          <w:position w:val="0"/>
        </w:rPr>
        <w:t>“</w:t>
      </w:r>
      <w:r>
        <w:rPr>
          <w:color w:val="000000"/>
          <w:spacing w:val="0"/>
          <w:w w:val="100"/>
          <w:position w:val="0"/>
        </w:rPr>
        <w:t>乐活工社</w:t>
      </w:r>
      <w:r>
        <w:rPr>
          <w:rFonts w:ascii="Times New Roman" w:eastAsia="Times New Roman" w:hAnsi="Times New Roman" w:cs="Times New Roman"/>
          <w:color w:val="000000"/>
          <w:spacing w:val="0"/>
          <w:w w:val="100"/>
          <w:position w:val="0"/>
        </w:rPr>
        <w:t>”</w:t>
      </w:r>
      <w:r>
        <w:rPr>
          <w:color w:val="000000"/>
          <w:spacing w:val="0"/>
          <w:w w:val="100"/>
          <w:position w:val="0"/>
        </w:rPr>
        <w:t xml:space="preserve">（健康生活，快乐工作）平台投入，牵引全员管理从以 </w:t>
      </w:r>
      <w:r>
        <w:rPr>
          <w:rFonts w:ascii="Times New Roman" w:eastAsia="Times New Roman" w:hAnsi="Times New Roman" w:cs="Times New Roman"/>
          <w:color w:val="000000"/>
          <w:spacing w:val="0"/>
          <w:w w:val="100"/>
          <w:position w:val="0"/>
        </w:rPr>
        <w:t>KPI</w:t>
      </w:r>
      <w:r>
        <w:rPr>
          <w:color w:val="000000"/>
          <w:spacing w:val="0"/>
          <w:w w:val="100"/>
          <w:position w:val="0"/>
        </w:rPr>
        <w:t>为中心的</w:t>
      </w:r>
      <w:r>
        <w:rPr>
          <w:rFonts w:ascii="Times New Roman" w:eastAsia="Times New Roman" w:hAnsi="Times New Roman" w:cs="Times New Roman"/>
          <w:color w:val="000000"/>
          <w:spacing w:val="0"/>
          <w:w w:val="100"/>
          <w:position w:val="0"/>
        </w:rPr>
        <w:t>“</w:t>
      </w:r>
      <w:r>
        <w:rPr>
          <w:color w:val="000000"/>
          <w:spacing w:val="0"/>
          <w:w w:val="100"/>
          <w:position w:val="0"/>
        </w:rPr>
        <w:t>他组织</w:t>
      </w:r>
      <w:r>
        <w:rPr>
          <w:rFonts w:ascii="Times New Roman" w:eastAsia="Times New Roman" w:hAnsi="Times New Roman" w:cs="Times New Roman"/>
          <w:color w:val="000000"/>
          <w:spacing w:val="0"/>
          <w:w w:val="100"/>
          <w:position w:val="0"/>
        </w:rPr>
        <w:t>”</w:t>
      </w:r>
      <w:r>
        <w:rPr>
          <w:color w:val="000000"/>
          <w:spacing w:val="0"/>
          <w:w w:val="100"/>
          <w:position w:val="0"/>
        </w:rPr>
        <w:t>模式转变为以</w:t>
      </w:r>
      <w:r>
        <w:rPr>
          <w:rFonts w:ascii="Times New Roman" w:eastAsia="Times New Roman" w:hAnsi="Times New Roman" w:cs="Times New Roman"/>
          <w:color w:val="000000"/>
          <w:spacing w:val="0"/>
          <w:w w:val="100"/>
          <w:position w:val="0"/>
        </w:rPr>
        <w:t>“</w:t>
      </w:r>
      <w:r>
        <w:rPr>
          <w:color w:val="000000"/>
          <w:spacing w:val="0"/>
          <w:w w:val="100"/>
          <w:position w:val="0"/>
        </w:rPr>
        <w:t>公司赢、员工赢</w:t>
      </w:r>
      <w:r>
        <w:rPr>
          <w:rFonts w:ascii="Times New Roman" w:eastAsia="Times New Roman" w:hAnsi="Times New Roman" w:cs="Times New Roman"/>
          <w:color w:val="000000"/>
          <w:spacing w:val="0"/>
          <w:w w:val="100"/>
          <w:position w:val="0"/>
        </w:rPr>
        <w:t>”</w:t>
      </w:r>
      <w:r>
        <w:rPr>
          <w:color w:val="000000"/>
          <w:spacing w:val="0"/>
          <w:w w:val="100"/>
          <w:position w:val="0"/>
        </w:rPr>
        <w:t>自驱力为特征的</w:t>
      </w:r>
      <w:r>
        <w:rPr>
          <w:rFonts w:ascii="Times New Roman" w:eastAsia="Times New Roman" w:hAnsi="Times New Roman" w:cs="Times New Roman"/>
          <w:color w:val="000000"/>
          <w:spacing w:val="0"/>
          <w:w w:val="100"/>
          <w:position w:val="0"/>
        </w:rPr>
        <w:t>“</w:t>
      </w:r>
      <w:r>
        <w:rPr>
          <w:color w:val="000000"/>
          <w:spacing w:val="0"/>
          <w:w w:val="100"/>
          <w:position w:val="0"/>
        </w:rPr>
        <w:t>双赢协议</w:t>
      </w:r>
      <w:r>
        <w:rPr>
          <w:rFonts w:ascii="Times New Roman" w:eastAsia="Times New Roman" w:hAnsi="Times New Roman" w:cs="Times New Roman"/>
          <w:color w:val="000000"/>
          <w:spacing w:val="0"/>
          <w:w w:val="100"/>
          <w:position w:val="0"/>
        </w:rPr>
        <w:t>'</w:t>
      </w:r>
      <w:r>
        <w:rPr>
          <w:color w:val="000000"/>
          <w:spacing w:val="0"/>
          <w:w w:val="100"/>
          <w:position w:val="0"/>
        </w:rPr>
        <w:t>'承诺及以</w:t>
      </w:r>
      <w:r>
        <w:rPr>
          <w:rFonts w:ascii="Times New Roman" w:eastAsia="Times New Roman" w:hAnsi="Times New Roman" w:cs="Times New Roman"/>
          <w:color w:val="000000"/>
          <w:spacing w:val="0"/>
          <w:w w:val="100"/>
          <w:position w:val="0"/>
        </w:rPr>
        <w:t>“</w:t>
      </w:r>
      <w:r>
        <w:rPr>
          <w:color w:val="000000"/>
          <w:spacing w:val="0"/>
          <w:w w:val="100"/>
          <w:position w:val="0"/>
        </w:rPr>
        <w:t>岗位竞聘、干部员工岗位及工作 任务双向选择</w:t>
      </w:r>
      <w:r>
        <w:rPr>
          <w:rFonts w:ascii="Times New Roman" w:eastAsia="Times New Roman" w:hAnsi="Times New Roman" w:cs="Times New Roman"/>
          <w:color w:val="000000"/>
          <w:spacing w:val="0"/>
          <w:w w:val="100"/>
          <w:position w:val="0"/>
        </w:rPr>
        <w:t>”</w:t>
      </w:r>
      <w:r>
        <w:rPr>
          <w:color w:val="000000"/>
          <w:spacing w:val="0"/>
          <w:w w:val="100"/>
          <w:position w:val="0"/>
        </w:rPr>
        <w:t>为表现形式的</w:t>
      </w:r>
      <w:r>
        <w:rPr>
          <w:rFonts w:ascii="Times New Roman" w:eastAsia="Times New Roman" w:hAnsi="Times New Roman" w:cs="Times New Roman"/>
          <w:color w:val="000000"/>
          <w:spacing w:val="0"/>
          <w:w w:val="100"/>
          <w:position w:val="0"/>
        </w:rPr>
        <w:t>“</w:t>
      </w:r>
      <w:r>
        <w:rPr>
          <w:color w:val="000000"/>
          <w:spacing w:val="0"/>
          <w:w w:val="100"/>
          <w:position w:val="0"/>
        </w:rPr>
        <w:t>自组织</w:t>
      </w:r>
      <w:r>
        <w:rPr>
          <w:rFonts w:ascii="Times New Roman" w:eastAsia="Times New Roman" w:hAnsi="Times New Roman" w:cs="Times New Roman"/>
          <w:color w:val="000000"/>
          <w:spacing w:val="0"/>
          <w:w w:val="100"/>
          <w:position w:val="0"/>
        </w:rPr>
        <w:t>”</w:t>
      </w:r>
      <w:r>
        <w:rPr>
          <w:color w:val="000000"/>
          <w:spacing w:val="0"/>
          <w:w w:val="100"/>
          <w:position w:val="0"/>
        </w:rPr>
        <w:t>模式，并完善自组织授权、人才成长体系创新，激发企业和员工的自我变革与创新能 力</w:t>
      </w:r>
    </w:p>
    <w:p>
      <w:pPr>
        <w:pStyle w:val="Style2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三是强调综合激励模型，提高人才成长自驱力。试点实施</w:t>
      </w:r>
      <w:r>
        <w:rPr>
          <w:rFonts w:ascii="Times New Roman" w:eastAsia="Times New Roman" w:hAnsi="Times New Roman" w:cs="Times New Roman"/>
          <w:color w:val="000000"/>
          <w:spacing w:val="0"/>
          <w:w w:val="100"/>
          <w:position w:val="0"/>
        </w:rPr>
        <w:t>“IBR</w:t>
      </w:r>
      <w:r>
        <w:rPr>
          <w:color w:val="000000"/>
          <w:spacing w:val="0"/>
          <w:w w:val="100"/>
          <w:position w:val="0"/>
        </w:rPr>
        <w:t>蜜蜂激励模型</w:t>
      </w:r>
      <w:r>
        <w:rPr>
          <w:rFonts w:ascii="Times New Roman" w:eastAsia="Times New Roman" w:hAnsi="Times New Roman" w:cs="Times New Roman"/>
          <w:color w:val="000000"/>
          <w:spacing w:val="0"/>
          <w:w w:val="100"/>
          <w:position w:val="0"/>
        </w:rPr>
        <w:t>”</w:t>
      </w:r>
      <w:r>
        <w:rPr>
          <w:color w:val="000000"/>
          <w:spacing w:val="0"/>
          <w:w w:val="100"/>
          <w:position w:val="0"/>
        </w:rPr>
        <w:t>绩效与薪酬制度，包含岗位工资、绩效奖 金、超额激励奖、创新红利奖、股权激励。岗位绩效以硬指标为主，体现当下作战力。职级绩效以带领团队能力建设、构建 机制流程、创新长远竞争力、培养后备人才等软性指标为主，体现可持续竞争力贡献及发展潜力。中长效激励则将探索研究 结合资本运作同步推进，提升激励效应。根据试点效果，继续完善蜜蜂模型，有效激励不同类型人才，提高薪酬投入产出效 率。</w:t>
      </w:r>
    </w:p>
    <w:p>
      <w:pPr>
        <w:pStyle w:val="Style2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四是启动试点认证，促进人岗匹配效率提升。结合</w:t>
      </w:r>
      <w:r>
        <w:rPr>
          <w:rFonts w:ascii="Times New Roman" w:eastAsia="Times New Roman" w:hAnsi="Times New Roman" w:cs="Times New Roman"/>
          <w:color w:val="000000"/>
          <w:spacing w:val="0"/>
          <w:w w:val="100"/>
          <w:position w:val="0"/>
        </w:rPr>
        <w:t>“</w:t>
      </w:r>
      <w:r>
        <w:rPr>
          <w:color w:val="000000"/>
          <w:spacing w:val="0"/>
          <w:w w:val="100"/>
          <w:position w:val="0"/>
        </w:rPr>
        <w:t>双赢协议</w:t>
      </w:r>
      <w:r>
        <w:rPr>
          <w:rFonts w:ascii="Times New Roman" w:eastAsia="Times New Roman" w:hAnsi="Times New Roman" w:cs="Times New Roman"/>
          <w:color w:val="000000"/>
          <w:spacing w:val="0"/>
          <w:w w:val="100"/>
          <w:position w:val="0"/>
        </w:rPr>
        <w:t>”</w:t>
      </w:r>
      <w:r>
        <w:rPr>
          <w:color w:val="000000"/>
          <w:spacing w:val="0"/>
          <w:w w:val="100"/>
          <w:position w:val="0"/>
        </w:rPr>
        <w:t>制度实施，开展公司人力资源盘点、科技人才、创新人 才和骨干人才识别工作。探索建立项目主任认证、制度建设和管理的常态化工作机制。</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月完成首轮人才盘点，输出 《</w:t>
      </w:r>
      <w:r>
        <w:rPr>
          <w:rFonts w:ascii="Times New Roman" w:eastAsia="Times New Roman" w:hAnsi="Times New Roman" w:cs="Times New Roman"/>
          <w:color w:val="000000"/>
          <w:spacing w:val="0"/>
          <w:w w:val="100"/>
          <w:position w:val="0"/>
        </w:rPr>
        <w:t>IBR</w:t>
      </w:r>
      <w:r>
        <w:rPr>
          <w:color w:val="000000"/>
          <w:spacing w:val="0"/>
          <w:w w:val="100"/>
          <w:position w:val="0"/>
        </w:rPr>
        <w:t>人才成长评估报告》。</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月完成项目主任试点认证工作，并结合试点效果，完善《项目主任认证试点工作方案》。 以创新管理试点与制度共建并行模式，完善员工职业发展体系，畅通员工晋升与退出渠道。</w:t>
      </w:r>
    </w:p>
    <w:p>
      <w:pPr>
        <w:pStyle w:val="Style20"/>
        <w:keepNext w:val="0"/>
        <w:keepLines w:val="0"/>
        <w:widowControl w:val="0"/>
        <w:numPr>
          <w:ilvl w:val="0"/>
          <w:numId w:val="11"/>
        </w:numPr>
        <w:shd w:val="clear" w:color="auto" w:fill="auto"/>
        <w:tabs>
          <w:tab w:pos="850" w:val="left"/>
        </w:tabs>
        <w:bidi w:val="0"/>
        <w:spacing w:before="0" w:after="0" w:line="312" w:lineRule="exact"/>
        <w:ind w:left="0" w:right="0" w:firstLine="500"/>
        <w:jc w:val="both"/>
      </w:pPr>
      <w:bookmarkStart w:id="68" w:name="bookmark68"/>
      <w:bookmarkEnd w:id="68"/>
      <w:r>
        <w:rPr>
          <w:b/>
          <w:bCs/>
          <w:color w:val="000000"/>
          <w:spacing w:val="0"/>
          <w:w w:val="100"/>
          <w:position w:val="0"/>
        </w:rPr>
        <w:t>探索“监督即服务”的国有企业监督新模式，为公司可持续发展保驾护航</w:t>
      </w:r>
    </w:p>
    <w:p>
      <w:pPr>
        <w:pStyle w:val="Style2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将纪检监察、监事会、财务总监、内部审计、内控、风控等协同联动，把准监督要点，紧盯关键岗位，强化执纪力度， 下沉一线工作，形成监督合力，提高监督效率。二是强调</w:t>
      </w:r>
      <w:r>
        <w:rPr>
          <w:rFonts w:ascii="Times New Roman" w:eastAsia="Times New Roman" w:hAnsi="Times New Roman" w:cs="Times New Roman"/>
          <w:color w:val="000000"/>
          <w:spacing w:val="0"/>
          <w:w w:val="100"/>
          <w:position w:val="0"/>
        </w:rPr>
        <w:t>“</w:t>
      </w:r>
      <w:r>
        <w:rPr>
          <w:color w:val="000000"/>
          <w:spacing w:val="0"/>
          <w:w w:val="100"/>
          <w:position w:val="0"/>
        </w:rPr>
        <w:t>监督即服务</w:t>
      </w:r>
      <w:r>
        <w:rPr>
          <w:rFonts w:ascii="Times New Roman" w:eastAsia="Times New Roman" w:hAnsi="Times New Roman" w:cs="Times New Roman"/>
          <w:color w:val="000000"/>
          <w:spacing w:val="0"/>
          <w:w w:val="100"/>
          <w:position w:val="0"/>
        </w:rPr>
        <w:t>”</w:t>
      </w:r>
      <w:r>
        <w:rPr>
          <w:color w:val="000000"/>
          <w:spacing w:val="0"/>
          <w:w w:val="100"/>
          <w:position w:val="0"/>
        </w:rPr>
        <w:t>理念。建立新任干部廉政谈话提醒机制和出具任前廉 洁审核意见机制，试行《建科院尽职履责及廉洁自律十项原则申报承诺书》，业务合作伙伴签署《从业人员廉洁自律承诺函》， 推动《科技创新容错机制实施办法（试行）》制度出台，让监督更有温度，让监督手段前移，更好地保护干部员工的同时， 防微杜渐。三是持续开展监督工作。通过月度抽查、季度测评、年度总结等方式，对经营质量、合规、内控、风险等进行监 督排查，及时整改。并探索异地监督工作模式和人才培育模式，取得实际效果。</w:t>
      </w:r>
    </w:p>
    <w:p>
      <w:pPr>
        <w:pStyle w:val="Style20"/>
        <w:keepNext w:val="0"/>
        <w:keepLines w:val="0"/>
        <w:widowControl w:val="0"/>
        <w:pBdr>
          <w:top w:val="single" w:sz="4" w:space="0" w:color="auto"/>
        </w:pBdr>
        <w:shd w:val="clear" w:color="auto" w:fill="auto"/>
        <w:bidi w:val="0"/>
        <w:spacing w:before="0" w:after="0" w:line="313" w:lineRule="exact"/>
        <w:ind w:left="0" w:right="0" w:firstLine="500"/>
        <w:jc w:val="both"/>
      </w:pPr>
      <w:bookmarkStart w:id="69" w:name="bookmark69"/>
      <w:r>
        <w:rPr>
          <w:b/>
          <w:bCs/>
          <w:color w:val="000000"/>
          <w:spacing w:val="0"/>
          <w:w w:val="100"/>
          <w:position w:val="0"/>
        </w:rPr>
        <w:t>（</w:t>
      </w:r>
      <w:bookmarkEnd w:id="69"/>
      <w:r>
        <w:rPr>
          <w:b/>
          <w:bCs/>
          <w:color w:val="000000"/>
          <w:spacing w:val="0"/>
          <w:w w:val="100"/>
          <w:position w:val="0"/>
        </w:rPr>
        <w:t>六）跨领域、跨专业，与全生命周期服务相匹配的资质体系建设优势</w:t>
      </w:r>
    </w:p>
    <w:p>
      <w:pPr>
        <w:pStyle w:val="Style20"/>
        <w:keepNext w:val="0"/>
        <w:keepLines w:val="0"/>
        <w:widowControl w:val="0"/>
        <w:shd w:val="clear" w:color="auto" w:fill="auto"/>
        <w:bidi w:val="0"/>
        <w:spacing w:before="0" w:after="360" w:line="313" w:lineRule="exact"/>
        <w:ind w:left="0" w:right="0" w:firstLine="500"/>
        <w:jc w:val="both"/>
      </w:pPr>
      <w:r>
        <w:rPr>
          <w:color w:val="000000"/>
          <w:spacing w:val="0"/>
          <w:w w:val="100"/>
          <w:position w:val="0"/>
        </w:rPr>
        <w:t>公司在发展的过程中不断积累和壮大，取得了各类资质，为公司业务发展提供了重要支撑。目前，公司及全资子公司 拥有城乡规划编制甲级、工程设计建筑行业（建筑工程）甲级、房屋建筑工程监理甲级、工程咨询单位甲级资信、工程设计 市政行业（给水工程、桥梁工程、道路工程、排水工程）专业乙级、风景园林工程设计专项乙级、工程勘察专业类（岩土工 程）乙级、建设工程质量检测机构资质证书、国家认证认可监督管理委员会颁发的检验检测机构资质认定证书</w:t>
      </w:r>
      <w:r>
        <w:rPr>
          <w:color w:val="000000"/>
          <w:spacing w:val="0"/>
          <w:w w:val="100"/>
          <w:position w:val="0"/>
        </w:rPr>
        <w:t>（</w:t>
      </w:r>
      <w:r>
        <w:rPr>
          <w:rFonts w:ascii="Times New Roman" w:eastAsia="Times New Roman" w:hAnsi="Times New Roman" w:cs="Times New Roman"/>
          <w:color w:val="000000"/>
          <w:spacing w:val="0"/>
          <w:w w:val="100"/>
          <w:position w:val="0"/>
        </w:rPr>
        <w:t>CMA</w:t>
      </w:r>
      <w:r>
        <w:rPr>
          <w:color w:val="000000"/>
          <w:spacing w:val="0"/>
          <w:w w:val="100"/>
          <w:position w:val="0"/>
        </w:rPr>
        <w:t>）、中 国合格评定国家认可委员会颁发的检验机构认可证书</w:t>
      </w:r>
      <w:r>
        <w:rPr>
          <w:color w:val="000000"/>
          <w:spacing w:val="0"/>
          <w:w w:val="100"/>
          <w:position w:val="0"/>
        </w:rPr>
        <w:t>（</w:t>
      </w:r>
      <w:r>
        <w:rPr>
          <w:rFonts w:ascii="Times New Roman" w:eastAsia="Times New Roman" w:hAnsi="Times New Roman" w:cs="Times New Roman"/>
          <w:color w:val="000000"/>
          <w:spacing w:val="0"/>
          <w:w w:val="100"/>
          <w:position w:val="0"/>
        </w:rPr>
        <w:t>CNAS</w:t>
      </w:r>
      <w:r>
        <w:rPr>
          <w:color w:val="000000"/>
          <w:spacing w:val="0"/>
          <w:w w:val="100"/>
          <w:position w:val="0"/>
        </w:rPr>
        <w:t>）</w:t>
      </w:r>
      <w:r>
        <w:rPr>
          <w:color w:val="000000"/>
          <w:spacing w:val="0"/>
          <w:w w:val="100"/>
          <w:position w:val="0"/>
        </w:rPr>
        <w:t>及实验室认可证书（</w:t>
      </w:r>
      <w:r>
        <w:rPr>
          <w:rFonts w:ascii="Times New Roman" w:eastAsia="Times New Roman" w:hAnsi="Times New Roman" w:cs="Times New Roman"/>
          <w:color w:val="000000"/>
          <w:spacing w:val="0"/>
          <w:w w:val="100"/>
          <w:position w:val="0"/>
        </w:rPr>
        <w:t>CNAS</w:t>
      </w:r>
      <w:r>
        <w:rPr>
          <w:color w:val="000000"/>
          <w:spacing w:val="0"/>
          <w:w w:val="100"/>
          <w:position w:val="0"/>
        </w:rPr>
        <w:t>）等资质。完善的资质和认可体 系是企业综合实力的体现，特别是在工程技术服务行业中，资质往往是业务开展和项目招投标的基本条件，公司资质和认可 涵盖了建筑工程、市政等领域，涉及到设计、咨询、管理和检测等多个环节，为公司全面开拓市场提供了强有力的资质保证。</w:t>
      </w:r>
    </w:p>
    <w:p>
      <w:pPr>
        <w:pStyle w:val="Style26"/>
        <w:keepNext w:val="0"/>
        <w:keepLines w:val="0"/>
        <w:widowControl w:val="0"/>
        <w:shd w:val="clear" w:color="auto" w:fill="auto"/>
        <w:bidi w:val="0"/>
        <w:spacing w:before="0" w:after="360" w:line="240" w:lineRule="auto"/>
        <w:ind w:left="0" w:right="0" w:firstLine="0"/>
        <w:jc w:val="left"/>
      </w:pPr>
      <w:bookmarkStart w:id="70" w:name="bookmark70"/>
      <w:r>
        <w:rPr>
          <w:color w:val="000000"/>
          <w:spacing w:val="0"/>
          <w:w w:val="100"/>
          <w:position w:val="0"/>
          <w:sz w:val="24"/>
          <w:szCs w:val="24"/>
        </w:rPr>
        <w:t>四</w:t>
      </w:r>
      <w:bookmarkEnd w:id="70"/>
      <w:r>
        <w:rPr>
          <w:color w:val="000000"/>
          <w:spacing w:val="0"/>
          <w:w w:val="100"/>
          <w:position w:val="0"/>
          <w:sz w:val="24"/>
          <w:szCs w:val="24"/>
        </w:rPr>
        <w:t>、主营业务分析</w:t>
      </w:r>
    </w:p>
    <w:p>
      <w:pPr>
        <w:pStyle w:val="Style31"/>
        <w:keepNext/>
        <w:keepLines/>
        <w:widowControl w:val="0"/>
        <w:shd w:val="clear" w:color="auto" w:fill="auto"/>
        <w:bidi w:val="0"/>
        <w:spacing w:before="0" w:after="260" w:line="240" w:lineRule="auto"/>
        <w:ind w:left="0" w:right="0" w:firstLine="0"/>
        <w:jc w:val="left"/>
      </w:pPr>
      <w:bookmarkStart w:id="71" w:name="bookmark71"/>
      <w:bookmarkStart w:id="72" w:name="bookmark72"/>
      <w:bookmarkStart w:id="73" w:name="bookmark73"/>
      <w:bookmarkStart w:id="74" w:name="bookmark74"/>
      <w:r>
        <w:rPr>
          <w:rFonts w:ascii="Times New Roman" w:eastAsia="Times New Roman" w:hAnsi="Times New Roman" w:cs="Times New Roman"/>
          <w:color w:val="000000"/>
          <w:spacing w:val="0"/>
          <w:w w:val="100"/>
          <w:position w:val="0"/>
        </w:rPr>
        <w:t>1</w:t>
      </w:r>
      <w:bookmarkEnd w:id="73"/>
      <w:r>
        <w:rPr>
          <w:color w:val="000000"/>
          <w:spacing w:val="0"/>
          <w:w w:val="100"/>
          <w:position w:val="0"/>
        </w:rPr>
        <w:t>、概述</w:t>
      </w:r>
      <w:bookmarkEnd w:id="71"/>
      <w:bookmarkEnd w:id="72"/>
      <w:bookmarkEnd w:id="74"/>
    </w:p>
    <w:p>
      <w:pPr>
        <w:pStyle w:val="Style20"/>
        <w:keepNext w:val="0"/>
        <w:keepLines w:val="0"/>
        <w:widowControl w:val="0"/>
        <w:shd w:val="clear" w:color="auto" w:fill="auto"/>
        <w:bidi w:val="0"/>
        <w:spacing w:before="0" w:after="0" w:line="313" w:lineRule="exact"/>
        <w:ind w:left="0" w:right="0" w:firstLine="500"/>
        <w:jc w:val="both"/>
      </w:pPr>
      <w:r>
        <w:rPr>
          <w:rFonts w:ascii="Times New Roman" w:eastAsia="Times New Roman" w:hAnsi="Times New Roman" w:cs="Times New Roman"/>
          <w:color w:val="000000"/>
          <w:spacing w:val="0"/>
          <w:w w:val="100"/>
          <w:position w:val="0"/>
        </w:rPr>
        <w:t>2021</w:t>
      </w:r>
      <w:r>
        <w:rPr>
          <w:color w:val="000000"/>
          <w:spacing w:val="0"/>
          <w:w w:val="100"/>
          <w:position w:val="0"/>
        </w:rPr>
        <w:t>年，面对国内疫情散发和复杂严峻的市场环境等局面，公司坚定秉持</w:t>
      </w:r>
      <w:r>
        <w:rPr>
          <w:rFonts w:ascii="Times New Roman" w:eastAsia="Times New Roman" w:hAnsi="Times New Roman" w:cs="Times New Roman"/>
          <w:color w:val="000000"/>
          <w:spacing w:val="0"/>
          <w:w w:val="100"/>
          <w:position w:val="0"/>
        </w:rPr>
        <w:t>“</w:t>
      </w:r>
      <w:r>
        <w:rPr>
          <w:color w:val="000000"/>
          <w:spacing w:val="0"/>
          <w:w w:val="100"/>
          <w:position w:val="0"/>
        </w:rPr>
        <w:t>绿色城市科技产业集团</w:t>
      </w:r>
      <w:r>
        <w:rPr>
          <w:rFonts w:ascii="Times New Roman" w:eastAsia="Times New Roman" w:hAnsi="Times New Roman" w:cs="Times New Roman"/>
          <w:color w:val="000000"/>
          <w:spacing w:val="0"/>
          <w:w w:val="100"/>
          <w:position w:val="0"/>
        </w:rPr>
        <w:t>”</w:t>
      </w:r>
      <w:r>
        <w:rPr>
          <w:color w:val="000000"/>
          <w:spacing w:val="0"/>
          <w:w w:val="100"/>
          <w:position w:val="0"/>
        </w:rPr>
        <w:t>战略目标和发展策 略，</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背景下启动导向凝练、业务重构、价值再造。强化科技创新的战略导向，推动组织机构调整，加速科技创新平台 建设；坚持数字化管理创新，提升聚焦城市客户的综合技术服务能力，突显全链条绿色低碳技术服务业务和集团化统筹发展 的优势，持续锻造核心竞争力，积极应对行业转型变革压力。</w:t>
      </w:r>
    </w:p>
    <w:p>
      <w:pPr>
        <w:pStyle w:val="Style2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报告期内，公司经营稳健，实现全年营业收入</w:t>
      </w:r>
      <w:r>
        <w:rPr>
          <w:rFonts w:ascii="Times New Roman" w:eastAsia="Times New Roman" w:hAnsi="Times New Roman" w:cs="Times New Roman"/>
          <w:color w:val="000000"/>
          <w:spacing w:val="0"/>
          <w:w w:val="100"/>
          <w:position w:val="0"/>
        </w:rPr>
        <w:t>50,283</w:t>
      </w:r>
      <w:r>
        <w:rPr>
          <w:color w:val="000000"/>
          <w:spacing w:val="0"/>
          <w:w w:val="100"/>
          <w:position w:val="0"/>
        </w:rPr>
        <w:t>万元，同比略降</w:t>
      </w:r>
      <w:r>
        <w:rPr>
          <w:rFonts w:ascii="Times New Roman" w:eastAsia="Times New Roman" w:hAnsi="Times New Roman" w:cs="Times New Roman"/>
          <w:color w:val="000000"/>
          <w:spacing w:val="0"/>
          <w:w w:val="100"/>
          <w:position w:val="0"/>
        </w:rPr>
        <w:t>363</w:t>
      </w:r>
      <w:r>
        <w:rPr>
          <w:color w:val="000000"/>
          <w:spacing w:val="0"/>
          <w:w w:val="100"/>
          <w:position w:val="0"/>
        </w:rPr>
        <w:t>万元；归属于上市公司股东的净利润为</w:t>
      </w:r>
      <w:r>
        <w:rPr>
          <w:rFonts w:ascii="Times New Roman" w:eastAsia="Times New Roman" w:hAnsi="Times New Roman" w:cs="Times New Roman"/>
          <w:color w:val="000000"/>
          <w:spacing w:val="0"/>
          <w:w w:val="100"/>
          <w:position w:val="0"/>
        </w:rPr>
        <w:t>4,451</w:t>
      </w:r>
      <w:r>
        <w:rPr>
          <w:color w:val="000000"/>
          <w:spacing w:val="0"/>
          <w:w w:val="100"/>
          <w:position w:val="0"/>
        </w:rPr>
        <w:t>万 元，同比增长</w:t>
      </w:r>
      <w:r>
        <w:rPr>
          <w:rFonts w:ascii="Times New Roman" w:eastAsia="Times New Roman" w:hAnsi="Times New Roman" w:cs="Times New Roman"/>
          <w:color w:val="000000"/>
          <w:spacing w:val="0"/>
          <w:w w:val="100"/>
          <w:position w:val="0"/>
        </w:rPr>
        <w:t>1.46%</w:t>
      </w:r>
      <w:r>
        <w:rPr>
          <w:color w:val="000000"/>
          <w:spacing w:val="0"/>
          <w:w w:val="100"/>
          <w:position w:val="0"/>
        </w:rPr>
        <w:t>；销售回款</w:t>
      </w:r>
      <w:r>
        <w:rPr>
          <w:rFonts w:ascii="Times New Roman" w:eastAsia="Times New Roman" w:hAnsi="Times New Roman" w:cs="Times New Roman"/>
          <w:color w:val="000000"/>
          <w:spacing w:val="0"/>
          <w:w w:val="100"/>
          <w:position w:val="0"/>
        </w:rPr>
        <w:t>48,116</w:t>
      </w:r>
      <w:r>
        <w:rPr>
          <w:color w:val="000000"/>
          <w:spacing w:val="0"/>
          <w:w w:val="100"/>
          <w:position w:val="0"/>
        </w:rPr>
        <w:t>万元，再创历史新高，同比增长</w:t>
      </w:r>
      <w:r>
        <w:rPr>
          <w:rFonts w:ascii="Times New Roman" w:eastAsia="Times New Roman" w:hAnsi="Times New Roman" w:cs="Times New Roman"/>
          <w:color w:val="000000"/>
          <w:spacing w:val="0"/>
          <w:w w:val="100"/>
          <w:position w:val="0"/>
        </w:rPr>
        <w:t>11.88%</w:t>
      </w:r>
      <w:r>
        <w:rPr>
          <w:color w:val="000000"/>
          <w:spacing w:val="0"/>
          <w:w w:val="100"/>
          <w:position w:val="0"/>
        </w:rPr>
        <w:t>。经营活动产生的现金流量净额同比减少</w:t>
      </w:r>
      <w:r>
        <w:rPr>
          <w:rFonts w:ascii="Times New Roman" w:eastAsia="Times New Roman" w:hAnsi="Times New Roman" w:cs="Times New Roman"/>
          <w:color w:val="000000"/>
          <w:spacing w:val="0"/>
          <w:w w:val="100"/>
          <w:position w:val="0"/>
        </w:rPr>
        <w:t xml:space="preserve">2,361 </w:t>
      </w:r>
      <w:r>
        <w:rPr>
          <w:color w:val="000000"/>
          <w:spacing w:val="0"/>
          <w:w w:val="100"/>
          <w:position w:val="0"/>
        </w:rPr>
        <w:t>万元，同比下降</w:t>
      </w:r>
      <w:r>
        <w:rPr>
          <w:rFonts w:ascii="Times New Roman" w:eastAsia="Times New Roman" w:hAnsi="Times New Roman" w:cs="Times New Roman"/>
          <w:color w:val="000000"/>
          <w:spacing w:val="0"/>
          <w:w w:val="100"/>
          <w:position w:val="0"/>
        </w:rPr>
        <w:t>35.97%</w:t>
      </w:r>
      <w:r>
        <w:rPr>
          <w:color w:val="000000"/>
          <w:spacing w:val="0"/>
          <w:w w:val="100"/>
          <w:position w:val="0"/>
        </w:rPr>
        <w:t>，主要是因为</w:t>
      </w:r>
      <w:r>
        <w:rPr>
          <w:rFonts w:ascii="Times New Roman" w:eastAsia="Times New Roman" w:hAnsi="Times New Roman" w:cs="Times New Roman"/>
          <w:color w:val="000000"/>
          <w:spacing w:val="0"/>
          <w:w w:val="100"/>
          <w:position w:val="0"/>
        </w:rPr>
        <w:t>EPC</w:t>
      </w:r>
      <w:r>
        <w:rPr>
          <w:color w:val="000000"/>
          <w:spacing w:val="0"/>
          <w:w w:val="100"/>
          <w:position w:val="0"/>
        </w:rPr>
        <w:t>项目代收代付资金同比减少</w:t>
      </w:r>
      <w:r>
        <w:rPr>
          <w:rFonts w:ascii="Times New Roman" w:eastAsia="Times New Roman" w:hAnsi="Times New Roman" w:cs="Times New Roman"/>
          <w:color w:val="000000"/>
          <w:spacing w:val="0"/>
          <w:w w:val="100"/>
          <w:position w:val="0"/>
        </w:rPr>
        <w:t>3,827</w:t>
      </w:r>
      <w:r>
        <w:rPr>
          <w:color w:val="000000"/>
          <w:spacing w:val="0"/>
          <w:w w:val="100"/>
          <w:position w:val="0"/>
        </w:rPr>
        <w:t>万元所致，剔除</w:t>
      </w:r>
      <w:r>
        <w:rPr>
          <w:rFonts w:ascii="Times New Roman" w:eastAsia="Times New Roman" w:hAnsi="Times New Roman" w:cs="Times New Roman"/>
          <w:color w:val="000000"/>
          <w:spacing w:val="0"/>
          <w:w w:val="100"/>
          <w:position w:val="0"/>
        </w:rPr>
        <w:t>EPC</w:t>
      </w:r>
      <w:r>
        <w:rPr>
          <w:color w:val="000000"/>
          <w:spacing w:val="0"/>
          <w:w w:val="100"/>
          <w:position w:val="0"/>
        </w:rPr>
        <w:t>项目代收代付资金影响，经营 活动现金流量净增加</w:t>
      </w:r>
      <w:r>
        <w:rPr>
          <w:rFonts w:ascii="Times New Roman" w:eastAsia="Times New Roman" w:hAnsi="Times New Roman" w:cs="Times New Roman"/>
          <w:color w:val="000000"/>
          <w:spacing w:val="0"/>
          <w:w w:val="100"/>
          <w:position w:val="0"/>
        </w:rPr>
        <w:t>1,466</w:t>
      </w:r>
      <w:r>
        <w:rPr>
          <w:color w:val="000000"/>
          <w:spacing w:val="0"/>
          <w:w w:val="100"/>
          <w:position w:val="0"/>
        </w:rPr>
        <w:t>万元，同比增长</w:t>
      </w:r>
      <w:r>
        <w:rPr>
          <w:rFonts w:ascii="Times New Roman" w:eastAsia="Times New Roman" w:hAnsi="Times New Roman" w:cs="Times New Roman"/>
          <w:color w:val="000000"/>
          <w:spacing w:val="0"/>
          <w:w w:val="100"/>
          <w:position w:val="0"/>
        </w:rPr>
        <w:t>22.33%</w:t>
      </w:r>
      <w:r>
        <w:rPr>
          <w:color w:val="000000"/>
          <w:spacing w:val="0"/>
          <w:w w:val="100"/>
          <w:position w:val="0"/>
        </w:rPr>
        <w:t>。</w:t>
      </w:r>
    </w:p>
    <w:p>
      <w:pPr>
        <w:pStyle w:val="Style2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公司非经常性损益对净利润的影响金额为</w:t>
      </w:r>
      <w:r>
        <w:rPr>
          <w:rFonts w:ascii="Times New Roman" w:eastAsia="Times New Roman" w:hAnsi="Times New Roman" w:cs="Times New Roman"/>
          <w:color w:val="000000"/>
          <w:spacing w:val="0"/>
          <w:w w:val="100"/>
          <w:position w:val="0"/>
        </w:rPr>
        <w:t>1,537</w:t>
      </w:r>
      <w:r>
        <w:rPr>
          <w:color w:val="000000"/>
          <w:spacing w:val="0"/>
          <w:w w:val="100"/>
          <w:position w:val="0"/>
        </w:rPr>
        <w:t>万元，主要为公司承担国家及地方科研课题服务和政府公共平台建设服 务取得的专项经费收入，相关的项目支出均已等额计入研发费用。鉴于科研业务是公司业务服务类型之一，上述收益具备可 持续性。扣除上述非经常性损益影响后，归属于上市公司股东的净利润达</w:t>
      </w:r>
      <w:r>
        <w:rPr>
          <w:rFonts w:ascii="Times New Roman" w:eastAsia="Times New Roman" w:hAnsi="Times New Roman" w:cs="Times New Roman"/>
          <w:color w:val="000000"/>
          <w:spacing w:val="0"/>
          <w:w w:val="100"/>
          <w:position w:val="0"/>
        </w:rPr>
        <w:t>2,913</w:t>
      </w:r>
      <w:r>
        <w:rPr>
          <w:color w:val="000000"/>
          <w:spacing w:val="0"/>
          <w:w w:val="100"/>
          <w:position w:val="0"/>
        </w:rPr>
        <w:t>万元，同比增长</w:t>
      </w:r>
      <w:r>
        <w:rPr>
          <w:rFonts w:ascii="Times New Roman" w:eastAsia="Times New Roman" w:hAnsi="Times New Roman" w:cs="Times New Roman"/>
          <w:color w:val="000000"/>
          <w:spacing w:val="0"/>
          <w:w w:val="100"/>
          <w:position w:val="0"/>
        </w:rPr>
        <w:t>12.80%</w:t>
      </w:r>
      <w:r>
        <w:rPr>
          <w:color w:val="000000"/>
          <w:spacing w:val="0"/>
          <w:w w:val="100"/>
          <w:position w:val="0"/>
        </w:rPr>
        <w:t>，公司的经营质量进 一步提升。</w:t>
      </w:r>
    </w:p>
    <w:p>
      <w:pPr>
        <w:pStyle w:val="Style20"/>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具体情况如下：</w:t>
      </w:r>
    </w:p>
    <w:p>
      <w:pPr>
        <w:pStyle w:val="Style20"/>
        <w:keepNext w:val="0"/>
        <w:keepLines w:val="0"/>
        <w:widowControl w:val="0"/>
        <w:numPr>
          <w:ilvl w:val="0"/>
          <w:numId w:val="13"/>
        </w:numPr>
        <w:shd w:val="clear" w:color="auto" w:fill="auto"/>
        <w:tabs>
          <w:tab w:pos="746" w:val="left"/>
        </w:tabs>
        <w:bidi w:val="0"/>
        <w:spacing w:before="0" w:after="0" w:line="313" w:lineRule="exact"/>
        <w:ind w:left="0" w:right="0" w:firstLine="500"/>
        <w:jc w:val="both"/>
      </w:pPr>
      <w:bookmarkStart w:id="75" w:name="bookmark75"/>
      <w:bookmarkEnd w:id="75"/>
      <w:r>
        <w:rPr>
          <w:b/>
          <w:bCs/>
          <w:color w:val="000000"/>
          <w:spacing w:val="0"/>
          <w:w w:val="100"/>
          <w:position w:val="0"/>
        </w:rPr>
        <w:t>战略实施效益突显，“城市客户”业绩聚焦增长再发力</w:t>
      </w:r>
    </w:p>
    <w:p>
      <w:pPr>
        <w:pStyle w:val="Style20"/>
        <w:keepNext w:val="0"/>
        <w:keepLines w:val="0"/>
        <w:widowControl w:val="0"/>
        <w:shd w:val="clear" w:color="auto" w:fill="auto"/>
        <w:bidi w:val="0"/>
        <w:spacing w:before="0" w:after="0" w:line="313" w:lineRule="exact"/>
        <w:ind w:left="0" w:right="0" w:firstLine="50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年，公司围绕</w:t>
      </w:r>
      <w:r>
        <w:rPr>
          <w:rFonts w:ascii="Times New Roman" w:eastAsia="Times New Roman" w:hAnsi="Times New Roman" w:cs="Times New Roman"/>
          <w:color w:val="000000"/>
          <w:spacing w:val="0"/>
          <w:w w:val="100"/>
          <w:position w:val="0"/>
        </w:rPr>
        <w:t>“</w:t>
      </w:r>
      <w:r>
        <w:rPr>
          <w:color w:val="000000"/>
          <w:spacing w:val="0"/>
          <w:w w:val="100"/>
          <w:position w:val="0"/>
        </w:rPr>
        <w:t>安全韧性</w:t>
      </w:r>
      <w:r>
        <w:rPr>
          <w:rFonts w:ascii="Times New Roman" w:eastAsia="Times New Roman" w:hAnsi="Times New Roman" w:cs="Times New Roman"/>
          <w:color w:val="000000"/>
          <w:spacing w:val="0"/>
          <w:w w:val="100"/>
          <w:position w:val="0"/>
        </w:rPr>
        <w:t>”“</w:t>
      </w:r>
      <w:r>
        <w:rPr>
          <w:color w:val="000000"/>
          <w:spacing w:val="0"/>
          <w:w w:val="100"/>
          <w:position w:val="0"/>
        </w:rPr>
        <w:t>绿色低碳</w:t>
      </w:r>
      <w:r>
        <w:rPr>
          <w:rFonts w:ascii="Times New Roman" w:eastAsia="Times New Roman" w:hAnsi="Times New Roman" w:cs="Times New Roman"/>
          <w:color w:val="000000"/>
          <w:spacing w:val="0"/>
          <w:w w:val="100"/>
          <w:position w:val="0"/>
        </w:rPr>
        <w:t>”“</w:t>
      </w:r>
      <w:r>
        <w:rPr>
          <w:color w:val="000000"/>
          <w:spacing w:val="0"/>
          <w:w w:val="100"/>
          <w:position w:val="0"/>
        </w:rPr>
        <w:t>品质提升</w:t>
      </w:r>
      <w:r>
        <w:rPr>
          <w:rFonts w:ascii="Times New Roman" w:eastAsia="Times New Roman" w:hAnsi="Times New Roman" w:cs="Times New Roman"/>
          <w:color w:val="000000"/>
          <w:spacing w:val="0"/>
          <w:w w:val="100"/>
          <w:position w:val="0"/>
        </w:rPr>
        <w:t>”</w:t>
      </w:r>
      <w:r>
        <w:rPr>
          <w:color w:val="000000"/>
          <w:spacing w:val="0"/>
          <w:w w:val="100"/>
          <w:position w:val="0"/>
        </w:rPr>
        <w:t>三大核心特色，贯彻执行</w:t>
      </w:r>
      <w:r>
        <w:rPr>
          <w:rFonts w:ascii="Times New Roman" w:eastAsia="Times New Roman" w:hAnsi="Times New Roman" w:cs="Times New Roman"/>
          <w:color w:val="000000"/>
          <w:spacing w:val="0"/>
          <w:w w:val="100"/>
          <w:position w:val="0"/>
        </w:rPr>
        <w:t>“</w:t>
      </w:r>
      <w:r>
        <w:rPr>
          <w:color w:val="000000"/>
          <w:spacing w:val="0"/>
          <w:w w:val="100"/>
          <w:position w:val="0"/>
        </w:rPr>
        <w:t>城市客户</w:t>
      </w:r>
      <w:r>
        <w:rPr>
          <w:rFonts w:ascii="Times New Roman" w:eastAsia="Times New Roman" w:hAnsi="Times New Roman" w:cs="Times New Roman"/>
          <w:color w:val="000000"/>
          <w:spacing w:val="0"/>
          <w:w w:val="100"/>
          <w:position w:val="0"/>
        </w:rPr>
        <w:t>”</w:t>
      </w:r>
      <w:r>
        <w:rPr>
          <w:color w:val="000000"/>
          <w:spacing w:val="0"/>
          <w:w w:val="100"/>
          <w:position w:val="0"/>
        </w:rPr>
        <w:t>市场战略。深圳总部区位优 势，紧抓粤港澳大湾区发展和深圳建设中国特色社会主义先行示范区的战略机遇，以深圳为核心，辐射珠海、东莞、惠州等 大湾区城市，面向城市生态绿色发展需求，进一步发挥公司综合技术服务优势，提升公司在大湾区的业务竞争力和业务规模。 夯实雄安总部建设，深度开发雄安市场，形成区域的高端客户和生产力、人才中心。</w:t>
      </w:r>
    </w:p>
    <w:p>
      <w:pPr>
        <w:pStyle w:val="Style2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报告期内，以粤港澳大湾区、雄安总部辐射的京津冀片区、成渝片区、长三角片区等为主的核心城市群的营业收入占 公司总营收</w:t>
      </w:r>
      <w:r>
        <w:rPr>
          <w:rFonts w:ascii="Times New Roman" w:eastAsia="Times New Roman" w:hAnsi="Times New Roman" w:cs="Times New Roman"/>
          <w:color w:val="000000"/>
          <w:spacing w:val="0"/>
          <w:w w:val="100"/>
          <w:position w:val="0"/>
        </w:rPr>
        <w:t>89.46%</w:t>
      </w:r>
      <w:r>
        <w:rPr>
          <w:color w:val="000000"/>
          <w:spacing w:val="0"/>
          <w:w w:val="100"/>
          <w:position w:val="0"/>
        </w:rPr>
        <w:t>，规模效应逐步形成，协同效应优势不断突出，有利于公司抓住机遇，实现价值创造。</w:t>
      </w:r>
    </w:p>
    <w:p>
      <w:pPr>
        <w:pStyle w:val="Style20"/>
        <w:keepNext w:val="0"/>
        <w:keepLines w:val="0"/>
        <w:widowControl w:val="0"/>
        <w:numPr>
          <w:ilvl w:val="0"/>
          <w:numId w:val="13"/>
        </w:numPr>
        <w:shd w:val="clear" w:color="auto" w:fill="auto"/>
        <w:tabs>
          <w:tab w:pos="760" w:val="left"/>
        </w:tabs>
        <w:bidi w:val="0"/>
        <w:spacing w:before="0" w:after="0" w:line="313" w:lineRule="exact"/>
        <w:ind w:left="0" w:right="0" w:firstLine="500"/>
        <w:jc w:val="both"/>
      </w:pPr>
      <w:bookmarkStart w:id="76" w:name="bookmark76"/>
      <w:bookmarkEnd w:id="76"/>
      <w:r>
        <w:rPr>
          <w:b/>
          <w:bCs/>
          <w:color w:val="000000"/>
          <w:spacing w:val="0"/>
          <w:w w:val="100"/>
          <w:position w:val="0"/>
        </w:rPr>
        <w:t>持续推进全过程业务改革，发挥组合业务竞争优势和抗风险能力</w:t>
      </w:r>
    </w:p>
    <w:p>
      <w:pPr>
        <w:pStyle w:val="Style2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公司坚持促进自主技术创新，促进补链、延链、强链的发展方向。</w:t>
      </w:r>
      <w:r>
        <w:rPr>
          <w:rFonts w:ascii="Times New Roman" w:eastAsia="Times New Roman" w:hAnsi="Times New Roman" w:cs="Times New Roman"/>
          <w:color w:val="000000"/>
          <w:spacing w:val="0"/>
          <w:w w:val="100"/>
          <w:position w:val="0"/>
        </w:rPr>
        <w:t>2021</w:t>
      </w:r>
      <w:r>
        <w:rPr>
          <w:color w:val="000000"/>
          <w:spacing w:val="0"/>
          <w:w w:val="100"/>
          <w:position w:val="0"/>
        </w:rPr>
        <w:t>年，公司聚焦提升绿色建筑和城市绿色发展的 全过程技术服务的差异化竞争优势，探索科技成果赋权转化试点实施，逐步形成涵盖</w:t>
      </w:r>
      <w:r>
        <w:rPr>
          <w:rFonts w:ascii="Times New Roman" w:eastAsia="Times New Roman" w:hAnsi="Times New Roman" w:cs="Times New Roman"/>
          <w:color w:val="000000"/>
          <w:spacing w:val="0"/>
          <w:w w:val="100"/>
          <w:position w:val="0"/>
        </w:rPr>
        <w:t>“</w:t>
      </w:r>
      <w:r>
        <w:rPr>
          <w:color w:val="000000"/>
          <w:spacing w:val="0"/>
          <w:w w:val="100"/>
          <w:position w:val="0"/>
        </w:rPr>
        <w:t>生态诊断、平衡规划、动态实施、智 慧运营、持续评估</w:t>
      </w:r>
      <w:r>
        <w:rPr>
          <w:rFonts w:ascii="Times New Roman" w:eastAsia="Times New Roman" w:hAnsi="Times New Roman" w:cs="Times New Roman"/>
          <w:color w:val="000000"/>
          <w:spacing w:val="0"/>
          <w:w w:val="100"/>
          <w:position w:val="0"/>
        </w:rPr>
        <w:t>”</w:t>
      </w:r>
      <w:r>
        <w:rPr>
          <w:color w:val="000000"/>
          <w:spacing w:val="0"/>
          <w:w w:val="100"/>
          <w:position w:val="0"/>
        </w:rPr>
        <w:t>的全链条低碳规划技术服务产品创新体系；以国家</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战略为市场契机，试点以技术总顾问身份，为 政府部门等、提供</w:t>
      </w:r>
      <w:r>
        <w:rPr>
          <w:rFonts w:ascii="Times New Roman" w:eastAsia="Times New Roman" w:hAnsi="Times New Roman" w:cs="Times New Roman"/>
          <w:color w:val="000000"/>
          <w:spacing w:val="0"/>
          <w:w w:val="100"/>
          <w:position w:val="0"/>
        </w:rPr>
        <w:t>“</w:t>
      </w:r>
      <w:r>
        <w:rPr>
          <w:color w:val="000000"/>
          <w:spacing w:val="0"/>
          <w:w w:val="100"/>
          <w:position w:val="0"/>
        </w:rPr>
        <w:t>科学的碳目标研究、合理的路线图制定和系统的碳达峰、碳中和过程管理咨询</w:t>
      </w:r>
      <w:r>
        <w:rPr>
          <w:rFonts w:ascii="Times New Roman" w:eastAsia="Times New Roman" w:hAnsi="Times New Roman" w:cs="Times New Roman"/>
          <w:color w:val="000000"/>
          <w:spacing w:val="0"/>
          <w:w w:val="100"/>
          <w:position w:val="0"/>
        </w:rPr>
        <w:t>”</w:t>
      </w:r>
      <w:r>
        <w:rPr>
          <w:color w:val="000000"/>
          <w:spacing w:val="0"/>
          <w:w w:val="100"/>
          <w:position w:val="0"/>
        </w:rPr>
        <w:t>服务，以此打造公司技术 总顾问业务模式。并以此引导规划设计、建设管理、检测认证及绿色运营等业务更好形成协同甚至整合效应，提升公司业务 综合竞争力。</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年公司主持国内多个城市的绿色、低碳、生态类规划编制研究工作，包括《珠海市国土空间生态修复规划 </w:t>
      </w:r>
      <w:r>
        <w:rPr>
          <w:color w:val="000000"/>
          <w:spacing w:val="0"/>
          <w:w w:val="100"/>
          <w:position w:val="0"/>
        </w:rPr>
        <w:t>（</w:t>
      </w:r>
      <w:r>
        <w:rPr>
          <w:rFonts w:ascii="Times New Roman" w:eastAsia="Times New Roman" w:hAnsi="Times New Roman" w:cs="Times New Roman"/>
          <w:color w:val="000000"/>
          <w:spacing w:val="0"/>
          <w:w w:val="100"/>
          <w:position w:val="0"/>
        </w:rPr>
        <w:t>2020-2035</w:t>
      </w:r>
      <w:r>
        <w:rPr>
          <w:color w:val="000000"/>
          <w:spacing w:val="0"/>
          <w:w w:val="100"/>
          <w:position w:val="0"/>
        </w:rPr>
        <w:t>年）》、河北张家口市张北县国土空间总体规划、东莞国际商务区绿色低碳建筑专项规划等。</w:t>
      </w:r>
    </w:p>
    <w:p>
      <w:pPr>
        <w:pStyle w:val="Style20"/>
        <w:keepNext w:val="0"/>
        <w:keepLines w:val="0"/>
        <w:widowControl w:val="0"/>
        <w:shd w:val="clear" w:color="auto" w:fill="auto"/>
        <w:bidi w:val="0"/>
        <w:spacing w:before="0" w:after="320" w:line="313" w:lineRule="exact"/>
        <w:ind w:left="0" w:right="0" w:firstLine="500"/>
        <w:jc w:val="both"/>
      </w:pPr>
      <w:r>
        <w:rPr>
          <w:color w:val="000000"/>
          <w:spacing w:val="0"/>
          <w:w w:val="100"/>
          <w:position w:val="0"/>
        </w:rPr>
        <w:t>报告期内，受行业形势的影响，公司在建筑设计、</w:t>
      </w:r>
      <w:r>
        <w:rPr>
          <w:rFonts w:ascii="Times New Roman" w:eastAsia="Times New Roman" w:hAnsi="Times New Roman" w:cs="Times New Roman"/>
          <w:color w:val="000000"/>
          <w:spacing w:val="0"/>
          <w:w w:val="100"/>
          <w:position w:val="0"/>
        </w:rPr>
        <w:t>EPC</w:t>
      </w:r>
      <w:r>
        <w:rPr>
          <w:color w:val="000000"/>
          <w:spacing w:val="0"/>
          <w:w w:val="100"/>
          <w:position w:val="0"/>
        </w:rPr>
        <w:t>及项目全过程管理业务有所下降，公司挖掘全链条绿色低碳技 术服务的优势，绿色人居公信板块实现大幅增长，总体保持了收入规模的稳定。其中涵盖城市规划、建筑设计、</w:t>
      </w:r>
      <w:r>
        <w:rPr>
          <w:rFonts w:ascii="Times New Roman" w:eastAsia="Times New Roman" w:hAnsi="Times New Roman" w:cs="Times New Roman"/>
          <w:color w:val="000000"/>
          <w:spacing w:val="0"/>
          <w:w w:val="100"/>
          <w:position w:val="0"/>
        </w:rPr>
        <w:t>EPC</w:t>
      </w:r>
      <w:r>
        <w:rPr>
          <w:color w:val="000000"/>
          <w:spacing w:val="0"/>
          <w:w w:val="100"/>
          <w:position w:val="0"/>
        </w:rPr>
        <w:t>及项目 全过程管理、绿色建设运营服务等业务的城市绿色发展全过程技术服务板块实现营业收入合计</w:t>
      </w:r>
      <w:r>
        <w:rPr>
          <w:rFonts w:ascii="Times New Roman" w:eastAsia="Times New Roman" w:hAnsi="Times New Roman" w:cs="Times New Roman"/>
          <w:color w:val="000000"/>
          <w:spacing w:val="0"/>
          <w:w w:val="100"/>
          <w:position w:val="0"/>
        </w:rPr>
        <w:t>22,782</w:t>
      </w:r>
      <w:r>
        <w:rPr>
          <w:color w:val="000000"/>
          <w:spacing w:val="0"/>
          <w:w w:val="100"/>
          <w:position w:val="0"/>
        </w:rPr>
        <w:t>万元，同比下降</w:t>
      </w:r>
      <w:r>
        <w:rPr>
          <w:rFonts w:ascii="Times New Roman" w:eastAsia="Times New Roman" w:hAnsi="Times New Roman" w:cs="Times New Roman"/>
          <w:color w:val="000000"/>
          <w:spacing w:val="0"/>
          <w:w w:val="100"/>
          <w:position w:val="0"/>
        </w:rPr>
        <w:t>28.08%</w:t>
      </w:r>
      <w:r>
        <w:rPr>
          <w:color w:val="000000"/>
          <w:spacing w:val="0"/>
          <w:w w:val="100"/>
          <w:position w:val="0"/>
        </w:rPr>
        <w:t>，</w:t>
      </w:r>
    </w:p>
    <w:p>
      <w:pPr>
        <w:pStyle w:val="Style20"/>
        <w:keepNext w:val="0"/>
        <w:keepLines w:val="0"/>
        <w:widowControl w:val="0"/>
        <w:shd w:val="clear" w:color="auto" w:fill="auto"/>
        <w:bidi w:val="0"/>
        <w:spacing w:before="0" w:after="0" w:line="313" w:lineRule="exact"/>
        <w:ind w:left="0" w:right="0" w:firstLine="4940"/>
        <w:jc w:val="left"/>
      </w:pPr>
      <w:r>
        <w:rPr>
          <w:color w:val="000000"/>
          <w:spacing w:val="0"/>
          <w:w w:val="100"/>
          <w:position w:val="0"/>
          <w:u w:val="single"/>
        </w:rPr>
        <w:t>深圳市建筑科学研究院股份有限公司</w:t>
      </w:r>
      <w:r>
        <w:rPr>
          <w:rFonts w:ascii="Times New Roman" w:eastAsia="Times New Roman" w:hAnsi="Times New Roman" w:cs="Times New Roman"/>
          <w:color w:val="000000"/>
          <w:spacing w:val="0"/>
          <w:w w:val="100"/>
          <w:position w:val="0"/>
          <w:u w:val="single"/>
        </w:rPr>
        <w:t>2021</w:t>
      </w:r>
      <w:r>
        <w:rPr>
          <w:color w:val="000000"/>
          <w:spacing w:val="0"/>
          <w:w w:val="100"/>
          <w:position w:val="0"/>
          <w:u w:val="single"/>
        </w:rPr>
        <w:t xml:space="preserve">年年度报告全文 </w:t>
      </w:r>
      <w:r>
        <w:rPr>
          <w:color w:val="000000"/>
          <w:spacing w:val="0"/>
          <w:w w:val="100"/>
          <w:position w:val="0"/>
        </w:rPr>
        <w:t>主要系受行业形势影响</w:t>
      </w:r>
      <w:r>
        <w:rPr>
          <w:rFonts w:ascii="Times New Roman" w:eastAsia="Times New Roman" w:hAnsi="Times New Roman" w:cs="Times New Roman"/>
          <w:color w:val="000000"/>
          <w:spacing w:val="0"/>
          <w:w w:val="100"/>
          <w:position w:val="0"/>
        </w:rPr>
        <w:t>EPC</w:t>
      </w:r>
      <w:r>
        <w:rPr>
          <w:color w:val="000000"/>
          <w:spacing w:val="0"/>
          <w:w w:val="100"/>
          <w:position w:val="0"/>
        </w:rPr>
        <w:t>及项目全过程业务下降</w:t>
      </w:r>
      <w:r>
        <w:rPr>
          <w:rFonts w:ascii="Times New Roman" w:eastAsia="Times New Roman" w:hAnsi="Times New Roman" w:cs="Times New Roman"/>
          <w:color w:val="000000"/>
          <w:spacing w:val="0"/>
          <w:w w:val="100"/>
          <w:position w:val="0"/>
        </w:rPr>
        <w:t>5,590</w:t>
      </w:r>
      <w:r>
        <w:rPr>
          <w:color w:val="000000"/>
          <w:spacing w:val="0"/>
          <w:w w:val="100"/>
          <w:position w:val="0"/>
        </w:rPr>
        <w:t>万元、建筑设计业务下降</w:t>
      </w:r>
      <w:r>
        <w:rPr>
          <w:rFonts w:ascii="Times New Roman" w:eastAsia="Times New Roman" w:hAnsi="Times New Roman" w:cs="Times New Roman"/>
          <w:color w:val="000000"/>
          <w:spacing w:val="0"/>
          <w:w w:val="100"/>
          <w:position w:val="0"/>
        </w:rPr>
        <w:t>2,249</w:t>
      </w:r>
      <w:r>
        <w:rPr>
          <w:color w:val="000000"/>
          <w:spacing w:val="0"/>
          <w:w w:val="100"/>
          <w:position w:val="0"/>
        </w:rPr>
        <w:t>万元。涵盖检测、检验、认证、绿色 建筑设计优化、工程性能质量检测检验认证、综合技术研究咨询等业务的绿色人居公信服务业务板块在报告期内实现营业收 入合计</w:t>
      </w:r>
      <w:r>
        <w:rPr>
          <w:rFonts w:ascii="Times New Roman" w:eastAsia="Times New Roman" w:hAnsi="Times New Roman" w:cs="Times New Roman"/>
          <w:color w:val="000000"/>
          <w:spacing w:val="0"/>
          <w:w w:val="100"/>
          <w:position w:val="0"/>
        </w:rPr>
        <w:t>24,084</w:t>
      </w:r>
      <w:r>
        <w:rPr>
          <w:color w:val="000000"/>
          <w:spacing w:val="0"/>
          <w:w w:val="100"/>
          <w:position w:val="0"/>
        </w:rPr>
        <w:t>万元，同比增长</w:t>
      </w:r>
      <w:r>
        <w:rPr>
          <w:rFonts w:ascii="Times New Roman" w:eastAsia="Times New Roman" w:hAnsi="Times New Roman" w:cs="Times New Roman"/>
          <w:color w:val="000000"/>
          <w:spacing w:val="0"/>
          <w:w w:val="100"/>
          <w:position w:val="0"/>
        </w:rPr>
        <w:t>26.97%</w:t>
      </w:r>
      <w:r>
        <w:rPr>
          <w:color w:val="000000"/>
          <w:spacing w:val="0"/>
          <w:w w:val="100"/>
          <w:position w:val="0"/>
        </w:rPr>
        <w:t>，毛利率达</w:t>
      </w:r>
      <w:r>
        <w:rPr>
          <w:rFonts w:ascii="Times New Roman" w:eastAsia="Times New Roman" w:hAnsi="Times New Roman" w:cs="Times New Roman"/>
          <w:color w:val="000000"/>
          <w:spacing w:val="0"/>
          <w:w w:val="100"/>
          <w:position w:val="0"/>
        </w:rPr>
        <w:t>40.97%</w:t>
      </w:r>
      <w:r>
        <w:rPr>
          <w:color w:val="000000"/>
          <w:spacing w:val="0"/>
          <w:w w:val="100"/>
          <w:position w:val="0"/>
        </w:rPr>
        <w:t>，同比上升</w:t>
      </w:r>
      <w:r>
        <w:rPr>
          <w:rFonts w:ascii="Times New Roman" w:eastAsia="Times New Roman" w:hAnsi="Times New Roman" w:cs="Times New Roman"/>
          <w:color w:val="000000"/>
          <w:spacing w:val="0"/>
          <w:w w:val="100"/>
          <w:position w:val="0"/>
        </w:rPr>
        <w:t>5.55</w:t>
      </w:r>
      <w:r>
        <w:rPr>
          <w:color w:val="000000"/>
          <w:spacing w:val="0"/>
          <w:w w:val="100"/>
          <w:position w:val="0"/>
        </w:rPr>
        <w:t>个百分点，主要系检测认证和研究咨询实现双增长， 分别增长约</w:t>
      </w:r>
      <w:r>
        <w:rPr>
          <w:rFonts w:ascii="Times New Roman" w:eastAsia="Times New Roman" w:hAnsi="Times New Roman" w:cs="Times New Roman"/>
          <w:color w:val="000000"/>
          <w:spacing w:val="0"/>
          <w:w w:val="100"/>
          <w:position w:val="0"/>
        </w:rPr>
        <w:t>4,608</w:t>
      </w:r>
      <w:r>
        <w:rPr>
          <w:color w:val="000000"/>
          <w:spacing w:val="0"/>
          <w:w w:val="100"/>
          <w:position w:val="0"/>
        </w:rPr>
        <w:t>万和</w:t>
      </w:r>
      <w:r>
        <w:rPr>
          <w:rFonts w:ascii="Times New Roman" w:eastAsia="Times New Roman" w:hAnsi="Times New Roman" w:cs="Times New Roman"/>
          <w:color w:val="000000"/>
          <w:spacing w:val="0"/>
          <w:w w:val="100"/>
          <w:position w:val="0"/>
        </w:rPr>
        <w:t>507</w:t>
      </w:r>
      <w:r>
        <w:rPr>
          <w:color w:val="000000"/>
          <w:spacing w:val="0"/>
          <w:w w:val="100"/>
          <w:position w:val="0"/>
        </w:rPr>
        <w:t>万元，规模增长效率提升进一步改善毛利所致。综上，公司总体毛利率达到</w:t>
      </w:r>
      <w:r>
        <w:rPr>
          <w:rFonts w:ascii="Times New Roman" w:eastAsia="Times New Roman" w:hAnsi="Times New Roman" w:cs="Times New Roman"/>
          <w:color w:val="000000"/>
          <w:spacing w:val="0"/>
          <w:w w:val="100"/>
          <w:position w:val="0"/>
        </w:rPr>
        <w:t>37.94%（</w:t>
      </w:r>
      <w:r>
        <w:rPr>
          <w:color w:val="000000"/>
          <w:spacing w:val="0"/>
          <w:w w:val="100"/>
          <w:position w:val="0"/>
        </w:rPr>
        <w:t>剔除一次性的不 可比营收后</w:t>
      </w:r>
      <w:r>
        <w:rPr>
          <w:rFonts w:ascii="Times New Roman" w:eastAsia="Times New Roman" w:hAnsi="Times New Roman" w:cs="Times New Roman"/>
          <w:color w:val="000000"/>
          <w:spacing w:val="0"/>
          <w:w w:val="100"/>
          <w:position w:val="0"/>
        </w:rPr>
        <w:t>）</w:t>
      </w:r>
      <w:r>
        <w:rPr>
          <w:color w:val="000000"/>
          <w:spacing w:val="0"/>
          <w:w w:val="100"/>
          <w:position w:val="0"/>
        </w:rPr>
        <w:t>，毛利率同比增长</w:t>
      </w:r>
      <w:r>
        <w:rPr>
          <w:rFonts w:ascii="Times New Roman" w:eastAsia="Times New Roman" w:hAnsi="Times New Roman" w:cs="Times New Roman"/>
          <w:color w:val="000000"/>
          <w:spacing w:val="0"/>
          <w:w w:val="100"/>
          <w:position w:val="0"/>
        </w:rPr>
        <w:t>3.27</w:t>
      </w:r>
      <w:r>
        <w:rPr>
          <w:color w:val="000000"/>
          <w:spacing w:val="0"/>
          <w:w w:val="100"/>
          <w:position w:val="0"/>
        </w:rPr>
        <w:t>个百分点。</w:t>
      </w:r>
    </w:p>
    <w:p>
      <w:pPr>
        <w:pStyle w:val="Style2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伴随国际认证能力的稳步提升，</w:t>
      </w:r>
      <w:r>
        <w:rPr>
          <w:rFonts w:ascii="Times New Roman" w:eastAsia="Times New Roman" w:hAnsi="Times New Roman" w:cs="Times New Roman"/>
          <w:color w:val="000000"/>
          <w:spacing w:val="0"/>
          <w:w w:val="100"/>
          <w:position w:val="0"/>
        </w:rPr>
        <w:t>WELL</w:t>
      </w:r>
      <w:r>
        <w:rPr>
          <w:color w:val="000000"/>
          <w:spacing w:val="0"/>
          <w:w w:val="100"/>
          <w:position w:val="0"/>
        </w:rPr>
        <w:t>健康建筑认证、</w:t>
      </w:r>
      <w:r>
        <w:rPr>
          <w:rFonts w:ascii="Times New Roman" w:eastAsia="Times New Roman" w:hAnsi="Times New Roman" w:cs="Times New Roman"/>
          <w:color w:val="000000"/>
          <w:spacing w:val="0"/>
          <w:w w:val="100"/>
          <w:position w:val="0"/>
        </w:rPr>
        <w:t>AH</w:t>
      </w:r>
      <w:r>
        <w:rPr>
          <w:color w:val="000000"/>
          <w:spacing w:val="0"/>
          <w:w w:val="100"/>
          <w:position w:val="0"/>
        </w:rPr>
        <w:t>（</w:t>
      </w:r>
      <w:r>
        <w:rPr>
          <w:rFonts w:ascii="Times New Roman" w:eastAsia="Times New Roman" w:hAnsi="Times New Roman" w:cs="Times New Roman"/>
          <w:color w:val="000000"/>
          <w:spacing w:val="0"/>
          <w:w w:val="100"/>
          <w:position w:val="0"/>
        </w:rPr>
        <w:t>Active House</w:t>
      </w:r>
      <w:r>
        <w:rPr>
          <w:color w:val="000000"/>
          <w:spacing w:val="0"/>
          <w:w w:val="100"/>
          <w:position w:val="0"/>
        </w:rPr>
        <w:t>）主动建筑认证、超低能耗建筑咨询、综合 解决方案技术咨询等新业务有所突破：自建科大楼获得中国首个</w:t>
      </w:r>
      <w:r>
        <w:rPr>
          <w:rFonts w:ascii="Times New Roman" w:eastAsia="Times New Roman" w:hAnsi="Times New Roman" w:cs="Times New Roman"/>
          <w:color w:val="000000"/>
          <w:spacing w:val="0"/>
          <w:w w:val="100"/>
          <w:position w:val="0"/>
        </w:rPr>
        <w:t>AH</w:t>
      </w:r>
      <w:r>
        <w:rPr>
          <w:color w:val="000000"/>
          <w:spacing w:val="0"/>
          <w:w w:val="100"/>
          <w:position w:val="0"/>
        </w:rPr>
        <w:t>运营奖后，未来大厦项目也于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月获得</w:t>
      </w:r>
      <w:r>
        <w:rPr>
          <w:rFonts w:ascii="Times New Roman" w:eastAsia="Times New Roman" w:hAnsi="Times New Roman" w:cs="Times New Roman"/>
          <w:color w:val="000000"/>
          <w:spacing w:val="0"/>
          <w:w w:val="100"/>
          <w:position w:val="0"/>
        </w:rPr>
        <w:t xml:space="preserve">Active House </w:t>
      </w:r>
      <w:r>
        <w:rPr>
          <w:rFonts w:ascii="Times New Roman" w:eastAsia="Times New Roman" w:hAnsi="Times New Roman" w:cs="Times New Roman"/>
          <w:color w:val="000000"/>
          <w:spacing w:val="0"/>
          <w:w w:val="100"/>
          <w:position w:val="0"/>
        </w:rPr>
        <w:t>10</w:t>
      </w:r>
      <w:r>
        <w:rPr>
          <w:color w:val="000000"/>
          <w:spacing w:val="0"/>
          <w:w w:val="100"/>
          <w:position w:val="0"/>
        </w:rPr>
        <w:t>周年国际大奖（全球仅三席）；公司的</w:t>
      </w:r>
      <w:r>
        <w:rPr>
          <w:rFonts w:ascii="Times New Roman" w:eastAsia="Times New Roman" w:hAnsi="Times New Roman" w:cs="Times New Roman"/>
          <w:color w:val="000000"/>
          <w:spacing w:val="0"/>
          <w:w w:val="100"/>
          <w:position w:val="0"/>
        </w:rPr>
        <w:t>WELL</w:t>
      </w:r>
      <w:r>
        <w:rPr>
          <w:color w:val="000000"/>
          <w:spacing w:val="0"/>
          <w:w w:val="100"/>
          <w:position w:val="0"/>
        </w:rPr>
        <w:t>咨询项目——无锡愉樾雅居作为无锡地铁集团的</w:t>
      </w:r>
      <w:r>
        <w:rPr>
          <w:rFonts w:ascii="Times New Roman" w:eastAsia="Times New Roman" w:hAnsi="Times New Roman" w:cs="Times New Roman"/>
          <w:color w:val="000000"/>
          <w:spacing w:val="0"/>
          <w:w w:val="100"/>
          <w:position w:val="0"/>
        </w:rPr>
        <w:t>TOD</w:t>
      </w:r>
      <w:r>
        <w:rPr>
          <w:color w:val="000000"/>
          <w:spacing w:val="0"/>
          <w:w w:val="100"/>
          <w:position w:val="0"/>
        </w:rPr>
        <w:t>大型项目，顺利 获得全球第</w:t>
      </w:r>
      <w:r>
        <w:rPr>
          <w:rFonts w:ascii="Times New Roman" w:eastAsia="Times New Roman" w:hAnsi="Times New Roman" w:cs="Times New Roman"/>
          <w:color w:val="000000"/>
          <w:spacing w:val="0"/>
          <w:w w:val="100"/>
          <w:position w:val="0"/>
        </w:rPr>
        <w:t>12</w:t>
      </w:r>
      <w:r>
        <w:rPr>
          <w:color w:val="000000"/>
          <w:spacing w:val="0"/>
          <w:w w:val="100"/>
          <w:position w:val="0"/>
        </w:rPr>
        <w:t>个</w:t>
      </w:r>
      <w:r>
        <w:rPr>
          <w:rFonts w:ascii="Times New Roman" w:eastAsia="Times New Roman" w:hAnsi="Times New Roman" w:cs="Times New Roman"/>
          <w:color w:val="000000"/>
          <w:spacing w:val="0"/>
          <w:w w:val="100"/>
          <w:position w:val="0"/>
        </w:rPr>
        <w:t>WELL</w:t>
      </w:r>
      <w:r>
        <w:rPr>
          <w:color w:val="000000"/>
          <w:spacing w:val="0"/>
          <w:w w:val="100"/>
          <w:position w:val="0"/>
        </w:rPr>
        <w:t>健康社区中期认证，更是成为全国首例获此殊誉的</w:t>
      </w:r>
      <w:r>
        <w:rPr>
          <w:rFonts w:ascii="Times New Roman" w:eastAsia="Times New Roman" w:hAnsi="Times New Roman" w:cs="Times New Roman"/>
          <w:color w:val="000000"/>
          <w:spacing w:val="0"/>
          <w:w w:val="100"/>
          <w:position w:val="0"/>
        </w:rPr>
        <w:t>TOD</w:t>
      </w:r>
      <w:r>
        <w:rPr>
          <w:color w:val="000000"/>
          <w:spacing w:val="0"/>
          <w:w w:val="100"/>
          <w:position w:val="0"/>
        </w:rPr>
        <w:t>项目。这标志着公司技术理念受到更为广泛的 认可，亦为认证业务的创新发展营造良好开端。</w:t>
      </w:r>
    </w:p>
    <w:p>
      <w:pPr>
        <w:pStyle w:val="Style2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报告期内，借助全面预算管理的有效实施，业财体系有效夯实，公司经营增质增效，业务毛利润改善明显。同时，公 司的全过程和组合业务模式，形成</w:t>
      </w:r>
      <w:r>
        <w:rPr>
          <w:rFonts w:ascii="Times New Roman" w:eastAsia="Times New Roman" w:hAnsi="Times New Roman" w:cs="Times New Roman"/>
          <w:color w:val="000000"/>
          <w:spacing w:val="0"/>
          <w:w w:val="100"/>
          <w:position w:val="0"/>
        </w:rPr>
        <w:t>“</w:t>
      </w:r>
      <w:r>
        <w:rPr>
          <w:color w:val="000000"/>
          <w:spacing w:val="0"/>
          <w:w w:val="100"/>
          <w:position w:val="0"/>
        </w:rPr>
        <w:t>增减互补，整体增长</w:t>
      </w:r>
      <w:r>
        <w:rPr>
          <w:rFonts w:ascii="Times New Roman" w:eastAsia="Times New Roman" w:hAnsi="Times New Roman" w:cs="Times New Roman"/>
          <w:color w:val="000000"/>
          <w:spacing w:val="0"/>
          <w:w w:val="100"/>
          <w:position w:val="0"/>
        </w:rPr>
        <w:t>”</w:t>
      </w:r>
      <w:r>
        <w:rPr>
          <w:color w:val="000000"/>
          <w:spacing w:val="0"/>
          <w:w w:val="100"/>
          <w:position w:val="0"/>
        </w:rPr>
        <w:t>的态势，充分体现了公司综合业务抗风险能力。随着业务模式自主 创新转型，公司业务从关注效率成本，转向兼顾韧性、效率和成本，将有助于公司战略落地实施，对接国家发展战略目标。</w:t>
      </w:r>
    </w:p>
    <w:p>
      <w:pPr>
        <w:pStyle w:val="Style20"/>
        <w:keepNext w:val="0"/>
        <w:keepLines w:val="0"/>
        <w:widowControl w:val="0"/>
        <w:numPr>
          <w:ilvl w:val="0"/>
          <w:numId w:val="13"/>
        </w:numPr>
        <w:shd w:val="clear" w:color="auto" w:fill="auto"/>
        <w:tabs>
          <w:tab w:pos="760" w:val="left"/>
        </w:tabs>
        <w:bidi w:val="0"/>
        <w:spacing w:before="0" w:after="0" w:line="313" w:lineRule="exact"/>
        <w:ind w:left="0" w:right="0" w:firstLine="500"/>
        <w:jc w:val="both"/>
      </w:pPr>
      <w:bookmarkStart w:id="77" w:name="bookmark77"/>
      <w:bookmarkEnd w:id="77"/>
      <w:r>
        <w:rPr>
          <w:b/>
          <w:bCs/>
          <w:color w:val="000000"/>
          <w:spacing w:val="0"/>
          <w:w w:val="100"/>
          <w:position w:val="0"/>
        </w:rPr>
        <w:t>科技创新战略推动，研发投入再创新高，科技创新成果示范初显</w:t>
      </w:r>
    </w:p>
    <w:p>
      <w:pPr>
        <w:pStyle w:val="Style2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报告期内，公司研发费用达</w:t>
      </w:r>
      <w:r>
        <w:rPr>
          <w:rFonts w:ascii="Times New Roman" w:eastAsia="Times New Roman" w:hAnsi="Times New Roman" w:cs="Times New Roman"/>
          <w:color w:val="000000"/>
          <w:spacing w:val="0"/>
          <w:w w:val="100"/>
          <w:position w:val="0"/>
        </w:rPr>
        <w:t>4,715</w:t>
      </w:r>
      <w:r>
        <w:rPr>
          <w:color w:val="000000"/>
          <w:spacing w:val="0"/>
          <w:w w:val="100"/>
          <w:position w:val="0"/>
        </w:rPr>
        <w:t>万元，同比增长</w:t>
      </w:r>
      <w:r>
        <w:rPr>
          <w:rFonts w:ascii="Times New Roman" w:eastAsia="Times New Roman" w:hAnsi="Times New Roman" w:cs="Times New Roman"/>
          <w:color w:val="000000"/>
          <w:spacing w:val="0"/>
          <w:w w:val="100"/>
          <w:position w:val="0"/>
        </w:rPr>
        <w:t>32.27%</w:t>
      </w:r>
      <w:r>
        <w:rPr>
          <w:color w:val="000000"/>
          <w:spacing w:val="0"/>
          <w:w w:val="100"/>
          <w:position w:val="0"/>
        </w:rPr>
        <w:t>。在</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背景下，公司以科技平台建设为核心，持续提升自 主创新水平和强化研发立项，为</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发展机遇打下坚实基础和储备创新技术。</w:t>
      </w:r>
    </w:p>
    <w:p>
      <w:pPr>
        <w:pStyle w:val="Style2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报告期内，公司夯实科技创新主体地位，抓好核心技术攻关，为业务新增量和释放新动能提供充足保障。公司基于多 项国家级、国际间合作项目成果，依托</w:t>
      </w:r>
      <w:r>
        <w:rPr>
          <w:rFonts w:ascii="Times New Roman" w:eastAsia="Times New Roman" w:hAnsi="Times New Roman" w:cs="Times New Roman"/>
          <w:color w:val="000000"/>
          <w:spacing w:val="0"/>
          <w:w w:val="100"/>
          <w:position w:val="0"/>
        </w:rPr>
        <w:t>“</w:t>
      </w:r>
      <w:r>
        <w:rPr>
          <w:color w:val="000000"/>
          <w:spacing w:val="0"/>
          <w:w w:val="100"/>
          <w:position w:val="0"/>
        </w:rPr>
        <w:t>城市客户</w:t>
      </w:r>
      <w:r>
        <w:rPr>
          <w:rFonts w:ascii="Times New Roman" w:eastAsia="Times New Roman" w:hAnsi="Times New Roman" w:cs="Times New Roman"/>
          <w:color w:val="000000"/>
          <w:spacing w:val="0"/>
          <w:w w:val="100"/>
          <w:position w:val="0"/>
        </w:rPr>
        <w:t>”</w:t>
      </w:r>
      <w:r>
        <w:rPr>
          <w:color w:val="000000"/>
          <w:spacing w:val="0"/>
          <w:w w:val="100"/>
          <w:position w:val="0"/>
        </w:rPr>
        <w:t>战略的推进，通过创新研究与业务实践相结合，已逐步形成涵盖碳核查诊 断、指标体系设定、规划方案评估、关键技术选择、节点流程管控等全过程低碳规划技术服务产品体系，并开发完成城市能 源核算平台、低碳策略辅助决策工具等相关核算与政策支持软件（其中</w:t>
      </w:r>
      <w:r>
        <w:rPr>
          <w:rFonts w:ascii="Times New Roman" w:eastAsia="Times New Roman" w:hAnsi="Times New Roman" w:cs="Times New Roman"/>
          <w:color w:val="000000"/>
          <w:spacing w:val="0"/>
          <w:w w:val="100"/>
          <w:position w:val="0"/>
        </w:rPr>
        <w:t>8</w:t>
      </w:r>
      <w:r>
        <w:rPr>
          <w:color w:val="000000"/>
          <w:spacing w:val="0"/>
          <w:w w:val="100"/>
          <w:position w:val="0"/>
        </w:rPr>
        <w:t>项已获软件著作权）</w:t>
      </w:r>
    </w:p>
    <w:p>
      <w:pPr>
        <w:pStyle w:val="Style20"/>
        <w:keepNext w:val="0"/>
        <w:keepLines w:val="0"/>
        <w:widowControl w:val="0"/>
        <w:shd w:val="clear" w:color="auto" w:fill="auto"/>
        <w:bidi w:val="0"/>
        <w:spacing w:before="0" w:after="0" w:line="313" w:lineRule="exact"/>
        <w:ind w:left="0" w:right="0" w:firstLine="500"/>
        <w:jc w:val="both"/>
      </w:pPr>
      <w:r>
        <w:rPr>
          <w:b/>
          <w:bCs/>
          <w:color w:val="000000"/>
          <w:spacing w:val="0"/>
          <w:w w:val="100"/>
          <w:position w:val="0"/>
        </w:rPr>
        <w:t>科技创新成果描述详见公司竞争力分析中的系统总结。</w:t>
      </w:r>
    </w:p>
    <w:p>
      <w:pPr>
        <w:pStyle w:val="Style20"/>
        <w:keepNext w:val="0"/>
        <w:keepLines w:val="0"/>
        <w:widowControl w:val="0"/>
        <w:numPr>
          <w:ilvl w:val="0"/>
          <w:numId w:val="13"/>
        </w:numPr>
        <w:shd w:val="clear" w:color="auto" w:fill="auto"/>
        <w:tabs>
          <w:tab w:pos="760" w:val="left"/>
        </w:tabs>
        <w:bidi w:val="0"/>
        <w:spacing w:before="0" w:after="0" w:line="313" w:lineRule="exact"/>
        <w:ind w:left="0" w:right="0" w:firstLine="500"/>
        <w:jc w:val="both"/>
      </w:pPr>
      <w:bookmarkStart w:id="78" w:name="bookmark78"/>
      <w:bookmarkEnd w:id="78"/>
      <w:r>
        <w:rPr>
          <w:b/>
          <w:bCs/>
          <w:color w:val="000000"/>
          <w:spacing w:val="0"/>
          <w:w w:val="100"/>
          <w:position w:val="0"/>
        </w:rPr>
        <w:t>品牌建设新突破，“双碳”绿色影响力再升级</w:t>
      </w:r>
    </w:p>
    <w:p>
      <w:pPr>
        <w:pStyle w:val="Style2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推动</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法规政策标准建立，课题攻关再创佳绩。公司推动启动《深圳经济特区绿色建筑条例》的立法，全过程参 与条例编制的讨论及条款制定，推动建筑行业的高质量绿色建筑发展。它将为深圳地区绿色建筑的高质量设计、施工、验收 全过程落地实施提供法律保障。推动《深圳经济特区数据条例》的立法，旨在提升公共数据质量、促进公共数据共享开放， 促进数据要素价值实现，深化数据在市场监管、公共服务、生态环境保护中应用。</w:t>
      </w:r>
    </w:p>
    <w:p>
      <w:pPr>
        <w:pStyle w:val="Style20"/>
        <w:keepNext w:val="0"/>
        <w:keepLines w:val="0"/>
        <w:widowControl w:val="0"/>
        <w:shd w:val="clear" w:color="auto" w:fill="auto"/>
        <w:bidi w:val="0"/>
        <w:spacing w:before="0" w:after="0" w:line="313" w:lineRule="exact"/>
        <w:ind w:left="0" w:right="0" w:firstLine="50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月，未来大厦策划之初确定的</w:t>
      </w:r>
      <w:r>
        <w:rPr>
          <w:rFonts w:ascii="Times New Roman" w:eastAsia="Times New Roman" w:hAnsi="Times New Roman" w:cs="Times New Roman"/>
          <w:color w:val="000000"/>
          <w:spacing w:val="0"/>
          <w:w w:val="100"/>
          <w:position w:val="0"/>
        </w:rPr>
        <w:t>“</w:t>
      </w:r>
      <w:r>
        <w:rPr>
          <w:color w:val="000000"/>
          <w:spacing w:val="0"/>
          <w:w w:val="100"/>
          <w:position w:val="0"/>
        </w:rPr>
        <w:t>光储直柔</w:t>
      </w:r>
      <w:r>
        <w:rPr>
          <w:rFonts w:ascii="Times New Roman" w:eastAsia="Times New Roman" w:hAnsi="Times New Roman" w:cs="Times New Roman"/>
          <w:color w:val="000000"/>
          <w:spacing w:val="0"/>
          <w:w w:val="100"/>
          <w:position w:val="0"/>
        </w:rPr>
        <w:t>”</w:t>
      </w:r>
      <w:r>
        <w:rPr>
          <w:color w:val="000000"/>
          <w:spacing w:val="0"/>
          <w:w w:val="100"/>
          <w:position w:val="0"/>
        </w:rPr>
        <w:t>技术路线被正式写入国务院印发的《</w:t>
      </w:r>
      <w:r>
        <w:rPr>
          <w:rFonts w:ascii="Times New Roman" w:eastAsia="Times New Roman" w:hAnsi="Times New Roman" w:cs="Times New Roman"/>
          <w:color w:val="000000"/>
          <w:spacing w:val="0"/>
          <w:w w:val="100"/>
          <w:position w:val="0"/>
        </w:rPr>
        <w:t>2030</w:t>
      </w:r>
      <w:r>
        <w:rPr>
          <w:color w:val="000000"/>
          <w:spacing w:val="0"/>
          <w:w w:val="100"/>
          <w:position w:val="0"/>
        </w:rPr>
        <w:t>年前碳达峰行动方案》。 深度参与深圳市碳达峰碳中和行动方案和规划编制工作，作为技术总顾问协助深圳市出台《深圳市近零碳排放区试点建设实 施方案》（深环〔</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212</w:t>
      </w:r>
      <w:r>
        <w:rPr>
          <w:color w:val="000000"/>
          <w:spacing w:val="0"/>
          <w:w w:val="100"/>
          <w:position w:val="0"/>
        </w:rPr>
        <w:t>号），参与《深圳市</w:t>
      </w:r>
      <w:r>
        <w:rPr>
          <w:rFonts w:ascii="Times New Roman" w:eastAsia="Times New Roman" w:hAnsi="Times New Roman" w:cs="Times New Roman"/>
          <w:color w:val="000000"/>
          <w:spacing w:val="0"/>
          <w:w w:val="100"/>
          <w:position w:val="0"/>
        </w:rPr>
        <w:t>2019-202</w:t>
      </w:r>
      <w:r>
        <w:rPr>
          <w:rFonts w:ascii="Times New Roman" w:eastAsia="Times New Roman" w:hAnsi="Times New Roman" w:cs="Times New Roman"/>
          <w:color w:val="000000"/>
          <w:spacing w:val="0"/>
          <w:w w:val="100"/>
          <w:position w:val="0"/>
        </w:rPr>
        <w:t>0</w:t>
      </w:r>
      <w:r>
        <w:rPr>
          <w:color w:val="000000"/>
          <w:spacing w:val="0"/>
          <w:w w:val="100"/>
          <w:position w:val="0"/>
        </w:rPr>
        <w:t>年市区两级温室气体清单编制工作方案》，并牵头组织深圳市南 山区</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前期研究和规划，深圳市罗湖区建筑领域碳达峰行动方案规划等工作。</w:t>
      </w:r>
      <w:r>
        <w:rPr>
          <w:rFonts w:ascii="Times New Roman" w:eastAsia="Times New Roman" w:hAnsi="Times New Roman" w:cs="Times New Roman"/>
          <w:color w:val="000000"/>
          <w:spacing w:val="0"/>
          <w:w w:val="100"/>
          <w:position w:val="0"/>
        </w:rPr>
        <w:t>2021</w:t>
      </w:r>
      <w:r>
        <w:rPr>
          <w:color w:val="000000"/>
          <w:spacing w:val="0"/>
          <w:w w:val="100"/>
          <w:position w:val="0"/>
        </w:rPr>
        <w:t>年推动福田区开展</w:t>
      </w:r>
      <w:r>
        <w:rPr>
          <w:rFonts w:ascii="Times New Roman" w:eastAsia="Times New Roman" w:hAnsi="Times New Roman" w:cs="Times New Roman"/>
          <w:color w:val="000000"/>
          <w:spacing w:val="0"/>
          <w:w w:val="100"/>
          <w:position w:val="0"/>
        </w:rPr>
        <w:t>“</w:t>
      </w:r>
      <w:r>
        <w:rPr>
          <w:color w:val="000000"/>
          <w:spacing w:val="0"/>
          <w:w w:val="100"/>
          <w:position w:val="0"/>
        </w:rPr>
        <w:t>公共建筑卓越绿 装降污减碳</w:t>
      </w:r>
      <w:r>
        <w:rPr>
          <w:rFonts w:ascii="Times New Roman" w:eastAsia="Times New Roman" w:hAnsi="Times New Roman" w:cs="Times New Roman"/>
          <w:color w:val="000000"/>
          <w:spacing w:val="0"/>
          <w:w w:val="100"/>
          <w:position w:val="0"/>
        </w:rPr>
        <w:t>”</w:t>
      </w:r>
      <w:r>
        <w:rPr>
          <w:color w:val="000000"/>
          <w:spacing w:val="0"/>
          <w:w w:val="100"/>
          <w:position w:val="0"/>
        </w:rPr>
        <w:t>行动，实施装修污染全过程管控技术，选取重点民生公共项目建设工程</w:t>
      </w:r>
      <w:r>
        <w:rPr>
          <w:rFonts w:ascii="Times New Roman" w:eastAsia="Times New Roman" w:hAnsi="Times New Roman" w:cs="Times New Roman"/>
          <w:color w:val="000000"/>
          <w:spacing w:val="0"/>
          <w:w w:val="100"/>
          <w:position w:val="0"/>
        </w:rPr>
        <w:t>28</w:t>
      </w:r>
      <w:r>
        <w:rPr>
          <w:color w:val="000000"/>
          <w:spacing w:val="0"/>
          <w:w w:val="100"/>
          <w:position w:val="0"/>
        </w:rPr>
        <w:t>个试点，大力提高新装修公共项目室 内空气质量，着力为市民提供更多放心呼吸的公共环境，是深入开展</w:t>
      </w:r>
      <w:r>
        <w:rPr>
          <w:rFonts w:ascii="Times New Roman" w:eastAsia="Times New Roman" w:hAnsi="Times New Roman" w:cs="Times New Roman"/>
          <w:color w:val="000000"/>
          <w:spacing w:val="0"/>
          <w:w w:val="100"/>
          <w:position w:val="0"/>
        </w:rPr>
        <w:t>“</w:t>
      </w:r>
      <w:r>
        <w:rPr>
          <w:color w:val="000000"/>
          <w:spacing w:val="0"/>
          <w:w w:val="100"/>
          <w:position w:val="0"/>
        </w:rPr>
        <w:t>我为群众办实事</w:t>
      </w:r>
      <w:r>
        <w:rPr>
          <w:rFonts w:ascii="Times New Roman" w:eastAsia="Times New Roman" w:hAnsi="Times New Roman" w:cs="Times New Roman"/>
          <w:color w:val="000000"/>
          <w:spacing w:val="0"/>
          <w:w w:val="100"/>
          <w:position w:val="0"/>
        </w:rPr>
        <w:t>”</w:t>
      </w:r>
      <w:r>
        <w:rPr>
          <w:color w:val="000000"/>
          <w:spacing w:val="0"/>
          <w:w w:val="100"/>
          <w:position w:val="0"/>
        </w:rPr>
        <w:t>的具体实践。已完工项目</w:t>
      </w:r>
      <w:r>
        <w:rPr>
          <w:rFonts w:ascii="Times New Roman" w:eastAsia="Times New Roman" w:hAnsi="Times New Roman" w:cs="Times New Roman"/>
          <w:color w:val="000000"/>
          <w:spacing w:val="0"/>
          <w:w w:val="100"/>
          <w:position w:val="0"/>
        </w:rPr>
        <w:t>6</w:t>
      </w:r>
      <w:r>
        <w:rPr>
          <w:color w:val="000000"/>
          <w:spacing w:val="0"/>
          <w:w w:val="100"/>
          <w:position w:val="0"/>
        </w:rPr>
        <w:t>项，效果 显著。相关科研成果</w:t>
      </w:r>
      <w:r>
        <w:rPr>
          <w:rFonts w:ascii="Times New Roman" w:eastAsia="Times New Roman" w:hAnsi="Times New Roman" w:cs="Times New Roman"/>
          <w:color w:val="000000"/>
          <w:spacing w:val="0"/>
          <w:w w:val="100"/>
          <w:position w:val="0"/>
        </w:rPr>
        <w:t>“</w:t>
      </w:r>
      <w:r>
        <w:rPr>
          <w:color w:val="000000"/>
          <w:spacing w:val="0"/>
          <w:w w:val="100"/>
          <w:position w:val="0"/>
        </w:rPr>
        <w:t>室内装修污染防控理论、关键技术及应用</w:t>
      </w:r>
      <w:r>
        <w:rPr>
          <w:rFonts w:ascii="Times New Roman" w:eastAsia="Times New Roman" w:hAnsi="Times New Roman" w:cs="Times New Roman"/>
          <w:color w:val="000000"/>
          <w:spacing w:val="0"/>
          <w:w w:val="100"/>
          <w:position w:val="0"/>
        </w:rPr>
        <w:t>”</w:t>
      </w:r>
      <w:r>
        <w:rPr>
          <w:color w:val="000000"/>
          <w:spacing w:val="0"/>
          <w:w w:val="100"/>
          <w:position w:val="0"/>
        </w:rPr>
        <w:t>被评为</w:t>
      </w:r>
      <w:r>
        <w:rPr>
          <w:rFonts w:ascii="Times New Roman" w:eastAsia="Times New Roman" w:hAnsi="Times New Roman" w:cs="Times New Roman"/>
          <w:color w:val="000000"/>
          <w:spacing w:val="0"/>
          <w:w w:val="100"/>
          <w:position w:val="0"/>
        </w:rPr>
        <w:t>2021</w:t>
      </w:r>
      <w:r>
        <w:rPr>
          <w:color w:val="000000"/>
          <w:spacing w:val="0"/>
          <w:w w:val="100"/>
          <w:position w:val="0"/>
        </w:rPr>
        <w:t>年度深圳市科技进步奖二等奖，是建筑行业在当 年该奖中唯一获奖项目。公司累计获奖近</w:t>
      </w:r>
      <w:r>
        <w:rPr>
          <w:rFonts w:ascii="Times New Roman" w:eastAsia="Times New Roman" w:hAnsi="Times New Roman" w:cs="Times New Roman"/>
          <w:color w:val="000000"/>
          <w:spacing w:val="0"/>
          <w:w w:val="100"/>
          <w:position w:val="0"/>
        </w:rPr>
        <w:t>300</w:t>
      </w:r>
      <w:r>
        <w:rPr>
          <w:color w:val="000000"/>
          <w:spacing w:val="0"/>
          <w:w w:val="100"/>
          <w:position w:val="0"/>
        </w:rPr>
        <w:t>项。</w:t>
      </w:r>
    </w:p>
    <w:p>
      <w:pPr>
        <w:pStyle w:val="Style2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公司雄安总部布局的战略成果在</w:t>
      </w:r>
      <w:r>
        <w:rPr>
          <w:rFonts w:ascii="Times New Roman" w:eastAsia="Times New Roman" w:hAnsi="Times New Roman" w:cs="Times New Roman"/>
          <w:color w:val="000000"/>
          <w:spacing w:val="0"/>
          <w:w w:val="100"/>
          <w:position w:val="0"/>
        </w:rPr>
        <w:t>2021</w:t>
      </w:r>
      <w:r>
        <w:rPr>
          <w:color w:val="000000"/>
          <w:spacing w:val="0"/>
          <w:w w:val="100"/>
          <w:position w:val="0"/>
        </w:rPr>
        <w:t>年进一步显现。雄安总部本地化人员突破</w:t>
      </w:r>
      <w:r>
        <w:rPr>
          <w:rFonts w:ascii="Times New Roman" w:eastAsia="Times New Roman" w:hAnsi="Times New Roman" w:cs="Times New Roman"/>
          <w:color w:val="000000"/>
          <w:spacing w:val="0"/>
          <w:w w:val="100"/>
          <w:position w:val="0"/>
        </w:rPr>
        <w:t>100</w:t>
      </w:r>
      <w:r>
        <w:rPr>
          <w:color w:val="000000"/>
          <w:spacing w:val="0"/>
          <w:w w:val="100"/>
          <w:position w:val="0"/>
        </w:rPr>
        <w:t>人，继续参与雄安绿色和</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规划 顶层设计及重要活动、北京副中心规划设计等工作。经河北省科技厅批准，负责筹建河北省绿色建筑人居环境技术创新中心， 完成河北雄安勘察设计协会绿色人居分会的筹建工作。雄安商务服务中心项目作为雄安新区首个开工建设的永久性建筑群， 近</w:t>
      </w:r>
      <w:r>
        <w:rPr>
          <w:rFonts w:ascii="Times New Roman" w:eastAsia="Times New Roman" w:hAnsi="Times New Roman" w:cs="Times New Roman"/>
          <w:color w:val="000000"/>
          <w:spacing w:val="0"/>
          <w:w w:val="100"/>
          <w:position w:val="0"/>
        </w:rPr>
        <w:t>90</w:t>
      </w:r>
      <w:r>
        <w:rPr>
          <w:color w:val="000000"/>
          <w:spacing w:val="0"/>
          <w:w w:val="100"/>
          <w:position w:val="0"/>
        </w:rPr>
        <w:t>万平方米，部分楼栋已竣工交付，已逐渐成为雄安新区的新地标和打卡地。</w:t>
      </w:r>
    </w:p>
    <w:p>
      <w:pPr>
        <w:pStyle w:val="Style2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公司长期以来开展的建筑节能、绿色建筑和城市绿色发展的研究与实践，是推动实现</w:t>
      </w:r>
      <w:r>
        <w:rPr>
          <w:rFonts w:ascii="Times New Roman" w:eastAsia="Times New Roman" w:hAnsi="Times New Roman" w:cs="Times New Roman"/>
          <w:color w:val="000000"/>
          <w:spacing w:val="0"/>
          <w:w w:val="100"/>
          <w:position w:val="0"/>
        </w:rPr>
        <w:t>“</w:t>
      </w:r>
      <w:r>
        <w:rPr>
          <w:color w:val="000000"/>
          <w:spacing w:val="0"/>
          <w:w w:val="100"/>
          <w:position w:val="0"/>
        </w:rPr>
        <w:t>碳达峰</w:t>
      </w:r>
      <w:r>
        <w:rPr>
          <w:rFonts w:ascii="Times New Roman" w:eastAsia="Times New Roman" w:hAnsi="Times New Roman" w:cs="Times New Roman"/>
          <w:color w:val="000000"/>
          <w:spacing w:val="0"/>
          <w:w w:val="100"/>
          <w:position w:val="0"/>
        </w:rPr>
        <w:t>”“</w:t>
      </w:r>
      <w:r>
        <w:rPr>
          <w:color w:val="000000"/>
          <w:spacing w:val="0"/>
          <w:w w:val="100"/>
          <w:position w:val="0"/>
        </w:rPr>
        <w:t>碳中和</w:t>
      </w:r>
      <w:r>
        <w:rPr>
          <w:rFonts w:ascii="Times New Roman" w:eastAsia="Times New Roman" w:hAnsi="Times New Roman" w:cs="Times New Roman"/>
          <w:color w:val="000000"/>
          <w:spacing w:val="0"/>
          <w:w w:val="100"/>
          <w:position w:val="0"/>
        </w:rPr>
        <w:t>”</w:t>
      </w:r>
      <w:r>
        <w:rPr>
          <w:color w:val="000000"/>
          <w:spacing w:val="0"/>
          <w:w w:val="100"/>
          <w:position w:val="0"/>
        </w:rPr>
        <w:t>的重要途径之 一。通过发挥这一领域的能力积累和创新实践，一方面创造商业价值回报股东，同时也为城市和大众建设优质、幸福、可持 续的宜居空间，致力于实现可持续的环境价值和社会价值创造。</w:t>
      </w:r>
      <w:r>
        <w:br w:type="page"/>
      </w:r>
    </w:p>
    <w:p>
      <w:pPr>
        <w:pStyle w:val="Style31"/>
        <w:keepNext/>
        <w:keepLines/>
        <w:widowControl w:val="0"/>
        <w:shd w:val="clear" w:color="auto" w:fill="auto"/>
        <w:bidi w:val="0"/>
        <w:spacing w:before="0" w:line="240" w:lineRule="auto"/>
        <w:ind w:left="0" w:right="0" w:firstLine="0"/>
        <w:jc w:val="left"/>
      </w:pPr>
      <w:bookmarkStart w:id="79" w:name="bookmark79"/>
      <w:bookmarkStart w:id="80" w:name="bookmark80"/>
      <w:bookmarkStart w:id="81" w:name="bookmark81"/>
      <w:bookmarkStart w:id="82" w:name="bookmark82"/>
      <w:r>
        <w:rPr>
          <w:rFonts w:ascii="Times New Roman" w:eastAsia="Times New Roman" w:hAnsi="Times New Roman" w:cs="Times New Roman"/>
          <w:color w:val="000000"/>
          <w:spacing w:val="0"/>
          <w:w w:val="100"/>
          <w:position w:val="0"/>
        </w:rPr>
        <w:t>2</w:t>
      </w:r>
      <w:bookmarkEnd w:id="81"/>
      <w:r>
        <w:rPr>
          <w:color w:val="000000"/>
          <w:spacing w:val="0"/>
          <w:w w:val="100"/>
          <w:position w:val="0"/>
        </w:rPr>
        <w:t>、收入与成本</w:t>
      </w:r>
      <w:bookmarkEnd w:id="79"/>
      <w:bookmarkEnd w:id="80"/>
      <w:bookmarkEnd w:id="82"/>
    </w:p>
    <w:p>
      <w:pPr>
        <w:pStyle w:val="Style31"/>
        <w:keepNext/>
        <w:keepLines/>
        <w:widowControl w:val="0"/>
        <w:shd w:val="clear" w:color="auto" w:fill="auto"/>
        <w:bidi w:val="0"/>
        <w:spacing w:before="0" w:line="240" w:lineRule="auto"/>
        <w:ind w:left="0" w:right="0" w:firstLine="0"/>
        <w:jc w:val="left"/>
      </w:pPr>
      <w:bookmarkStart w:id="79" w:name="bookmark79"/>
      <w:bookmarkStart w:id="80" w:name="bookmark80"/>
      <w:bookmarkStart w:id="83" w:name="bookmark83"/>
      <w:bookmarkStart w:id="84" w:name="bookmark84"/>
      <w:r>
        <w:rPr>
          <w:color w:val="000000"/>
          <w:spacing w:val="0"/>
          <w:w w:val="100"/>
          <w:position w:val="0"/>
        </w:rPr>
        <w:t>（</w:t>
      </w:r>
      <w:bookmarkEnd w:id="83"/>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79"/>
      <w:bookmarkEnd w:id="80"/>
      <w:bookmarkEnd w:id="84"/>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营业收入整体情况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704"/>
        <w:gridCol w:w="1560"/>
        <w:gridCol w:w="1555"/>
        <w:gridCol w:w="1560"/>
        <w:gridCol w:w="93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502,831,397.93</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506,457,668.54</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-0.72%</w:t>
            </w:r>
          </w:p>
        </w:tc>
      </w:tr>
      <w:tr>
        <w:trPr>
          <w:trHeight w:val="398"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502,831,397.93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506,457,668.54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-0.72%</w:t>
            </w:r>
          </w:p>
        </w:tc>
      </w:tr>
      <w:tr>
        <w:trPr>
          <w:trHeight w:val="403"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城市规划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103,568,112.15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94,641,652.11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公信服务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207,072,267.60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160,987,452.54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建筑设计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85,766,650.16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108,254,008.13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建筑咨询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33,768,984.52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28,702,184.65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EPC</w:t>
            </w:r>
            <w:r>
              <w:rPr>
                <w:color w:val="000000"/>
                <w:spacing w:val="0"/>
                <w:w w:val="100"/>
                <w:position w:val="0"/>
              </w:rPr>
              <w:t>及项目全过程管理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35,849,335.54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91,749,889.00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36,806,047.96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22,122,482.11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66.37%</w:t>
            </w:r>
          </w:p>
        </w:tc>
      </w:tr>
      <w:tr>
        <w:trPr>
          <w:trHeight w:val="403"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105,220,302.69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105,663,826.15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19,083,971.93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21,404,793.77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329,787,374.64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329,410,743.98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44,585,637.72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44,427,455.58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4,149,393.97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4,796,132.09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4,716.98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754,716.97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-99.38%</w:t>
            </w:r>
          </w:p>
        </w:tc>
      </w:tr>
      <w:tr>
        <w:trPr>
          <w:trHeight w:val="398"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直营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502,831,397.93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506,457,668.54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注：上年分地区营收进行了分类调整，对部分华北和西北的项目做了分地区调整，口径与本报告期保持一致。</w:t>
      </w:r>
    </w:p>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85" w:name="bookmark85"/>
      <w:bookmarkStart w:id="86" w:name="bookmark86"/>
      <w:bookmarkStart w:id="87" w:name="bookmark87"/>
      <w:bookmarkStart w:id="88" w:name="bookmark88"/>
      <w:r>
        <w:rPr>
          <w:color w:val="000000"/>
          <w:spacing w:val="0"/>
          <w:w w:val="100"/>
          <w:position w:val="0"/>
        </w:rPr>
        <w:t>（</w:t>
      </w:r>
      <w:bookmarkEnd w:id="87"/>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85"/>
      <w:bookmarkEnd w:id="86"/>
      <w:bookmarkEnd w:id="88"/>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68"/>
        <w:gridCol w:w="1368"/>
        <w:gridCol w:w="1363"/>
        <w:gridCol w:w="1368"/>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bl>
    <w:p>
      <w:pPr>
        <w:spacing w:lineRule="exact" w:line="1"/>
        <w:rPr>
          <w:sz w:val="2"/>
          <w:szCs w:val="2"/>
        </w:rPr>
      </w:pPr>
      <w:r>
        <w:br w:type="page"/>
      </w:r>
    </w:p>
    <w:tbl>
      <w:tblPr>
        <w:tblOverlap w:val="never"/>
        <w:jc w:val="center"/>
        <w:tblLayout w:type="fixed"/>
      </w:tblPr>
      <w:tblGrid>
        <w:gridCol w:w="1368"/>
        <w:gridCol w:w="1368"/>
        <w:gridCol w:w="1368"/>
        <w:gridCol w:w="1363"/>
        <w:gridCol w:w="1368"/>
        <w:gridCol w:w="1368"/>
        <w:gridCol w:w="1382"/>
      </w:tblGrid>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城市规划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103,568,112.15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54,111,907.49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公信服务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207,072,267.60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117,008,884.18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建筑设计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85,766,650.16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48,030,811.58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w:t>
            </w:r>
          </w:p>
        </w:tc>
      </w:tr>
      <w:tr>
        <w:trPr>
          <w:trHeight w:val="398"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105,220,302.69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61,393,456.48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329,787,374.64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191,152,116.46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直营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502,831,397.93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305,043,513.48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w:t>
            </w:r>
          </w:p>
        </w:tc>
      </w:tr>
    </w:tbl>
    <w:p>
      <w:pPr>
        <w:widowControl w:val="0"/>
        <w:spacing w:after="79" w:line="1" w:lineRule="exact"/>
      </w:pP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493" w:val="left"/>
        </w:tabs>
        <w:bidi w:val="0"/>
        <w:spacing w:before="0" w:line="240" w:lineRule="auto"/>
        <w:ind w:left="0" w:right="0" w:firstLine="0"/>
        <w:jc w:val="left"/>
      </w:pPr>
      <w:bookmarkStart w:id="89" w:name="bookmark89"/>
      <w:bookmarkStart w:id="90" w:name="bookmark90"/>
      <w:bookmarkStart w:id="91" w:name="bookmark91"/>
      <w:bookmarkStart w:id="92" w:name="bookmark92"/>
      <w:r>
        <w:rPr>
          <w:color w:val="000000"/>
          <w:spacing w:val="0"/>
          <w:w w:val="100"/>
          <w:position w:val="0"/>
        </w:rPr>
        <w:t>（</w:t>
      </w:r>
      <w:bookmarkEnd w:id="91"/>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89"/>
      <w:bookmarkEnd w:id="90"/>
      <w:bookmarkEnd w:id="92"/>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keepLines/>
        <w:widowControl w:val="0"/>
        <w:shd w:val="clear" w:color="auto" w:fill="auto"/>
        <w:tabs>
          <w:tab w:pos="493" w:val="left"/>
        </w:tabs>
        <w:bidi w:val="0"/>
        <w:spacing w:before="0" w:line="240" w:lineRule="auto"/>
        <w:ind w:left="0" w:right="0" w:firstLine="0"/>
        <w:jc w:val="left"/>
      </w:pPr>
      <w:bookmarkStart w:id="93" w:name="bookmark93"/>
      <w:bookmarkStart w:id="94" w:name="bookmark94"/>
      <w:bookmarkStart w:id="95" w:name="bookmark95"/>
      <w:bookmarkStart w:id="96" w:name="bookmark96"/>
      <w:r>
        <w:rPr>
          <w:color w:val="000000"/>
          <w:spacing w:val="0"/>
          <w:w w:val="100"/>
          <w:position w:val="0"/>
        </w:rPr>
        <w:t>（</w:t>
      </w:r>
      <w:bookmarkEnd w:id="95"/>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93"/>
      <w:bookmarkEnd w:id="94"/>
      <w:bookmarkEnd w:id="96"/>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已签订的重大销售合同截至本报告期的履行情况</w:t>
      </w:r>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104"/>
        <w:gridCol w:w="710"/>
        <w:gridCol w:w="850"/>
        <w:gridCol w:w="883"/>
        <w:gridCol w:w="710"/>
        <w:gridCol w:w="566"/>
        <w:gridCol w:w="710"/>
        <w:gridCol w:w="850"/>
        <w:gridCol w:w="566"/>
        <w:gridCol w:w="533"/>
        <w:gridCol w:w="850"/>
        <w:gridCol w:w="710"/>
        <w:gridCol w:w="533"/>
      </w:tblGrid>
      <w:tr>
        <w:trPr>
          <w:trHeight w:val="196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合同标的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对方当 事人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合同总金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合计已履 行金额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期履行</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待履</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行金</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本期确</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认的销</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售收入</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累计确认 的销售收 入金额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应收</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账款</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回款</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 正常 履行</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影响重大 合同履行 的各项条 件是否发 生重大变</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是否存</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在合同</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无法履</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行的重</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大风险</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合同 未正 常履 行的 说明</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国际低碳城 产业园区配 套住房项目 </w:t>
            </w:r>
            <w:r>
              <w:rPr>
                <w:rFonts w:ascii="Times New Roman" w:eastAsia="Times New Roman" w:hAnsi="Times New Roman" w:cs="Times New Roman"/>
                <w:color w:val="000000"/>
                <w:spacing w:val="0"/>
                <w:w w:val="100"/>
                <w:position w:val="0"/>
              </w:rPr>
              <w:t>EPC</w:t>
            </w:r>
            <w:r>
              <w:rPr>
                <w:color w:val="000000"/>
                <w:spacing w:val="0"/>
                <w:w w:val="100"/>
                <w:position w:val="0"/>
              </w:rPr>
              <w:t>总承包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龙岗区 住房和 建设局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39,957.37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3,814.24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362.92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190.11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342.38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3,598.34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66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雄安商务服</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务中心项目</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全过程工程</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咨询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河北雄 安商务 服务中 心有限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18,934.75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13,487.52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1,970.61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752.48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1,859.07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12,724.07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79" w:line="1" w:lineRule="exact"/>
      </w:pPr>
    </w:p>
    <w:p>
      <w:pPr>
        <w:pStyle w:val="Style20"/>
        <w:keepNext w:val="0"/>
        <w:keepLines w:val="0"/>
        <w:widowControl w:val="0"/>
        <w:shd w:val="clear" w:color="auto" w:fill="auto"/>
        <w:bidi w:val="0"/>
        <w:spacing w:before="0" w:after="80" w:line="310" w:lineRule="exact"/>
        <w:ind w:left="0" w:right="0" w:firstLine="0"/>
        <w:jc w:val="left"/>
      </w:pPr>
      <w:r>
        <w:rPr>
          <w:color w:val="000000"/>
          <w:spacing w:val="0"/>
          <w:w w:val="100"/>
          <w:position w:val="0"/>
        </w:rPr>
        <w:t>注：</w:t>
      </w:r>
    </w:p>
    <w:p>
      <w:pPr>
        <w:pStyle w:val="Style20"/>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据《企业会计准则第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号——收入》规定，本公司在与深圳市龙岗区住房和建设局订立的合同中所确认的收入以净额 法确认为准，不包含施工单位建安工程费用。国际低碳城产业园区配套住房项目</w:t>
      </w:r>
      <w:r>
        <w:rPr>
          <w:rFonts w:ascii="Times New Roman" w:eastAsia="Times New Roman" w:hAnsi="Times New Roman" w:cs="Times New Roman"/>
          <w:color w:val="000000"/>
          <w:spacing w:val="0"/>
          <w:w w:val="100"/>
          <w:position w:val="0"/>
        </w:rPr>
        <w:t>EPC</w:t>
      </w:r>
      <w:r>
        <w:rPr>
          <w:color w:val="000000"/>
          <w:spacing w:val="0"/>
          <w:w w:val="100"/>
          <w:position w:val="0"/>
        </w:rPr>
        <w:t xml:space="preserve">总承包项目总合同金额为人民币 </w:t>
      </w:r>
      <w:r>
        <w:rPr>
          <w:rFonts w:ascii="Times New Roman" w:eastAsia="Times New Roman" w:hAnsi="Times New Roman" w:cs="Times New Roman"/>
          <w:color w:val="000000"/>
          <w:spacing w:val="0"/>
          <w:w w:val="100"/>
          <w:position w:val="0"/>
        </w:rPr>
        <w:t>39,957</w:t>
      </w:r>
      <w:r>
        <w:rPr>
          <w:color w:val="000000"/>
          <w:spacing w:val="0"/>
          <w:w w:val="100"/>
          <w:position w:val="0"/>
        </w:rPr>
        <w:t>万元（含税），概算批复合同金额为人民币</w:t>
      </w:r>
      <w:r>
        <w:rPr>
          <w:rFonts w:ascii="Times New Roman" w:eastAsia="Times New Roman" w:hAnsi="Times New Roman" w:cs="Times New Roman"/>
          <w:color w:val="000000"/>
          <w:spacing w:val="0"/>
          <w:w w:val="100"/>
          <w:position w:val="0"/>
        </w:rPr>
        <w:t>34,768</w:t>
      </w:r>
      <w:r>
        <w:rPr>
          <w:color w:val="000000"/>
          <w:spacing w:val="0"/>
          <w:w w:val="100"/>
          <w:position w:val="0"/>
        </w:rPr>
        <w:t>万元（含税），扣除施工单位建安工程费用人民币</w:t>
      </w:r>
      <w:r>
        <w:rPr>
          <w:rFonts w:ascii="Times New Roman" w:eastAsia="Times New Roman" w:hAnsi="Times New Roman" w:cs="Times New Roman"/>
          <w:color w:val="000000"/>
          <w:spacing w:val="0"/>
          <w:w w:val="100"/>
          <w:position w:val="0"/>
        </w:rPr>
        <w:t>30,764</w:t>
      </w:r>
      <w:r>
        <w:rPr>
          <w:color w:val="000000"/>
          <w:spacing w:val="0"/>
          <w:w w:val="100"/>
          <w:position w:val="0"/>
        </w:rPr>
        <w:t xml:space="preserve">万元（含 </w:t>
      </w:r>
      <w:r>
        <w:rPr>
          <w:color w:val="000000"/>
          <w:spacing w:val="0"/>
          <w:w w:val="100"/>
          <w:position w:val="0"/>
        </w:rPr>
        <w:t>税）后，归属于建科院的总收入为人民币</w:t>
      </w:r>
      <w:r>
        <w:rPr>
          <w:rFonts w:ascii="Times New Roman" w:eastAsia="Times New Roman" w:hAnsi="Times New Roman" w:cs="Times New Roman"/>
          <w:color w:val="000000"/>
          <w:spacing w:val="0"/>
          <w:w w:val="100"/>
          <w:position w:val="0"/>
        </w:rPr>
        <w:t>4,004</w:t>
      </w:r>
      <w:r>
        <w:rPr>
          <w:color w:val="000000"/>
          <w:spacing w:val="0"/>
          <w:w w:val="100"/>
          <w:position w:val="0"/>
        </w:rPr>
        <w:t>万元（含税）。</w:t>
      </w:r>
    </w:p>
    <w:p>
      <w:pPr>
        <w:pStyle w:val="Style20"/>
        <w:keepNext w:val="0"/>
        <w:keepLines w:val="0"/>
        <w:widowControl w:val="0"/>
        <w:shd w:val="clear" w:color="auto" w:fill="auto"/>
        <w:bidi w:val="0"/>
        <w:spacing w:before="0" w:after="380" w:line="313" w:lineRule="exact"/>
        <w:ind w:left="0" w:right="0" w:firstLine="0"/>
        <w:jc w:val="left"/>
      </w:pPr>
      <w:r>
        <w:rPr>
          <w:rFonts w:ascii="Times New Roman" w:eastAsia="Times New Roman" w:hAnsi="Times New Roman" w:cs="Times New Roman"/>
          <w:color w:val="000000"/>
          <w:spacing w:val="0"/>
          <w:w w:val="100"/>
          <w:position w:val="0"/>
        </w:rPr>
        <w:t>（2）2020</w:t>
      </w:r>
      <w:r>
        <w:rPr>
          <w:color w:val="000000"/>
          <w:spacing w:val="0"/>
          <w:w w:val="100"/>
          <w:position w:val="0"/>
        </w:rPr>
        <w:t>年本公司与中国雄安集团城市发展投资有限公司签订原合同《雄安商务服务中心项目全过程工程咨询》的补充协 议：因合同主体发生变更，该项目原甲方中国雄安集团城市发展投资有限公司的全部权利义务转让给河北雄安商务服务中 心有限公司，除上述权利义务概括转移外，原合同的其他内容不变。本合同中所确认的收入以净额法确认为准，不包含北 京双圆工程监理咨询有限公司的监理费。雄安商务服务中心项目全过程工程咨询项目总合同金额为人民币</w:t>
      </w:r>
      <w:r>
        <w:rPr>
          <w:rFonts w:ascii="Times New Roman" w:eastAsia="Times New Roman" w:hAnsi="Times New Roman" w:cs="Times New Roman"/>
          <w:color w:val="000000"/>
          <w:spacing w:val="0"/>
          <w:w w:val="100"/>
          <w:position w:val="0"/>
        </w:rPr>
        <w:t>18,934</w:t>
      </w:r>
      <w:r>
        <w:rPr>
          <w:color w:val="000000"/>
          <w:spacing w:val="0"/>
          <w:w w:val="100"/>
          <w:position w:val="0"/>
        </w:rPr>
        <w:t>万元（含 税），扣除联合体单位北京双圆工程咨询监理有限公司所承担的监理板块人民币</w:t>
      </w:r>
      <w:r>
        <w:rPr>
          <w:rFonts w:ascii="Times New Roman" w:eastAsia="Times New Roman" w:hAnsi="Times New Roman" w:cs="Times New Roman"/>
          <w:color w:val="000000"/>
          <w:spacing w:val="0"/>
          <w:w w:val="100"/>
          <w:position w:val="0"/>
        </w:rPr>
        <w:t>4,694</w:t>
      </w:r>
      <w:r>
        <w:rPr>
          <w:color w:val="000000"/>
          <w:spacing w:val="0"/>
          <w:w w:val="100"/>
          <w:position w:val="0"/>
        </w:rPr>
        <w:t>万元（含税）后，归属于建科院的总 收入为人民币</w:t>
      </w:r>
      <w:r>
        <w:rPr>
          <w:rFonts w:ascii="Times New Roman" w:eastAsia="Times New Roman" w:hAnsi="Times New Roman" w:cs="Times New Roman"/>
          <w:color w:val="000000"/>
          <w:spacing w:val="0"/>
          <w:w w:val="100"/>
          <w:position w:val="0"/>
        </w:rPr>
        <w:t>14,240</w:t>
      </w:r>
      <w:r>
        <w:rPr>
          <w:color w:val="000000"/>
          <w:spacing w:val="0"/>
          <w:w w:val="100"/>
          <w:position w:val="0"/>
        </w:rPr>
        <w:t>万元（含税）。</w:t>
      </w:r>
    </w:p>
    <w:p>
      <w:pPr>
        <w:pStyle w:val="Style20"/>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已签订的重大采购合同截至本报告期的履行情况</w:t>
      </w:r>
    </w:p>
    <w:p>
      <w:pPr>
        <w:pStyle w:val="Style20"/>
        <w:keepNext w:val="0"/>
        <w:keepLines w:val="0"/>
        <w:widowControl w:val="0"/>
        <w:shd w:val="clear" w:color="auto" w:fill="auto"/>
        <w:bidi w:val="0"/>
        <w:spacing w:before="0" w:after="28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280" w:line="240" w:lineRule="auto"/>
        <w:ind w:left="0" w:right="0" w:firstLine="0"/>
        <w:jc w:val="left"/>
      </w:pPr>
      <w:bookmarkStart w:id="100" w:name="bookmark100"/>
      <w:bookmarkStart w:id="97" w:name="bookmark97"/>
      <w:bookmarkStart w:id="98" w:name="bookmark98"/>
      <w:bookmarkStart w:id="99" w:name="bookmark99"/>
      <w:r>
        <w:rPr>
          <w:color w:val="000000"/>
          <w:spacing w:val="0"/>
          <w:w w:val="100"/>
          <w:position w:val="0"/>
        </w:rPr>
        <w:t>（</w:t>
      </w:r>
      <w:bookmarkEnd w:id="99"/>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00"/>
      <w:bookmarkEnd w:id="97"/>
      <w:bookmarkEnd w:id="98"/>
    </w:p>
    <w:p>
      <w:pPr>
        <w:pStyle w:val="Style20"/>
        <w:keepNext w:val="0"/>
        <w:keepLines w:val="0"/>
        <w:widowControl w:val="0"/>
        <w:shd w:val="clear" w:color="auto" w:fill="auto"/>
        <w:bidi w:val="0"/>
        <w:spacing w:before="0" w:after="140" w:line="313" w:lineRule="exact"/>
        <w:ind w:left="0" w:right="0" w:firstLine="0"/>
        <w:jc w:val="left"/>
      </w:pPr>
      <w:r>
        <w:rPr>
          <w:color w:val="000000"/>
          <w:spacing w:val="0"/>
          <w:w w:val="100"/>
          <w:position w:val="0"/>
        </w:rPr>
        <w:t>产品分类</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2285"/>
        <w:gridCol w:w="1416"/>
        <w:gridCol w:w="1133"/>
        <w:gridCol w:w="1421"/>
        <w:gridCol w:w="1133"/>
        <w:gridCol w:w="826"/>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占营业成本 比重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占营业成本 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169,622,392.52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55.61%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142,367,256.93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43.02%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42,857,054.59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88,634,922.62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26.79%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租赁费及使用权资产折旧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17,114,464.57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15,579,570.27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19,978,484.34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20,378,618.87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专业技术服务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55,471,117.46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63,937,212.66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19.32%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-13.24%</w:t>
            </w:r>
          </w:p>
        </w:tc>
      </w:tr>
    </w:tbl>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说明：</w:t>
      </w:r>
    </w:p>
    <w:p>
      <w:pPr>
        <w:pStyle w:val="Style20"/>
        <w:keepNext w:val="0"/>
        <w:keepLines w:val="0"/>
        <w:widowControl w:val="0"/>
        <w:shd w:val="clear" w:color="auto" w:fill="auto"/>
        <w:bidi w:val="0"/>
        <w:spacing w:before="0" w:after="380" w:line="298" w:lineRule="exact"/>
        <w:ind w:left="0" w:right="0" w:firstLine="0"/>
        <w:jc w:val="left"/>
      </w:pPr>
      <w:r>
        <w:rPr>
          <w:color w:val="000000"/>
          <w:spacing w:val="0"/>
          <w:w w:val="100"/>
          <w:position w:val="0"/>
        </w:rPr>
        <w:t>分包费同比减少，主要系项目处于不同阶段分包费波动所致，其中雄安商服项目本报告期项目阶段的分包费同比上年减少 约</w:t>
      </w:r>
      <w:r>
        <w:rPr>
          <w:rFonts w:ascii="Times New Roman" w:eastAsia="Times New Roman" w:hAnsi="Times New Roman" w:cs="Times New Roman"/>
          <w:color w:val="000000"/>
          <w:spacing w:val="0"/>
          <w:w w:val="100"/>
          <w:position w:val="0"/>
        </w:rPr>
        <w:t>2,686</w:t>
      </w:r>
      <w:r>
        <w:rPr>
          <w:color w:val="000000"/>
          <w:spacing w:val="0"/>
          <w:w w:val="100"/>
          <w:position w:val="0"/>
        </w:rPr>
        <w:t>万元。</w:t>
      </w:r>
    </w:p>
    <w:p>
      <w:pPr>
        <w:pStyle w:val="Style31"/>
        <w:keepNext/>
        <w:keepLines/>
        <w:widowControl w:val="0"/>
        <w:shd w:val="clear" w:color="auto" w:fill="auto"/>
        <w:tabs>
          <w:tab w:pos="493" w:val="left"/>
        </w:tabs>
        <w:bidi w:val="0"/>
        <w:spacing w:before="0" w:after="280" w:line="240" w:lineRule="auto"/>
        <w:ind w:left="0" w:right="0" w:firstLine="0"/>
        <w:jc w:val="left"/>
      </w:pPr>
      <w:bookmarkStart w:id="101" w:name="bookmark101"/>
      <w:bookmarkStart w:id="102" w:name="bookmark102"/>
      <w:bookmarkStart w:id="103" w:name="bookmark103"/>
      <w:bookmarkStart w:id="104" w:name="bookmark104"/>
      <w:r>
        <w:rPr>
          <w:color w:val="000000"/>
          <w:spacing w:val="0"/>
          <w:w w:val="100"/>
          <w:position w:val="0"/>
        </w:rPr>
        <w:t>（</w:t>
      </w:r>
      <w:bookmarkEnd w:id="103"/>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01"/>
      <w:bookmarkEnd w:id="102"/>
      <w:bookmarkEnd w:id="104"/>
    </w:p>
    <w:p>
      <w:pPr>
        <w:pStyle w:val="Style20"/>
        <w:keepNext w:val="0"/>
        <w:keepLines w:val="0"/>
        <w:widowControl w:val="0"/>
        <w:shd w:val="clear" w:color="auto" w:fill="auto"/>
        <w:bidi w:val="0"/>
        <w:spacing w:before="0" w:after="380" w:line="298"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05" w:name="bookmark105"/>
      <w:bookmarkStart w:id="106" w:name="bookmark106"/>
      <w:bookmarkStart w:id="107" w:name="bookmark107"/>
      <w:bookmarkStart w:id="108" w:name="bookmark108"/>
      <w:r>
        <w:rPr>
          <w:color w:val="000000"/>
          <w:spacing w:val="0"/>
          <w:w w:val="100"/>
          <w:position w:val="0"/>
        </w:rPr>
        <w:t>（</w:t>
      </w:r>
      <w:bookmarkEnd w:id="107"/>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05"/>
      <w:bookmarkEnd w:id="106"/>
      <w:bookmarkEnd w:id="108"/>
    </w:p>
    <w:p>
      <w:pPr>
        <w:pStyle w:val="Style20"/>
        <w:keepNext w:val="0"/>
        <w:keepLines w:val="0"/>
        <w:widowControl w:val="0"/>
        <w:shd w:val="clear" w:color="auto" w:fill="auto"/>
        <w:bidi w:val="0"/>
        <w:spacing w:before="0" w:after="280" w:line="34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280" w:line="240" w:lineRule="auto"/>
        <w:ind w:left="0" w:right="0" w:firstLine="0"/>
        <w:jc w:val="left"/>
      </w:pPr>
      <w:bookmarkStart w:id="109" w:name="bookmark109"/>
      <w:bookmarkStart w:id="110" w:name="bookmark110"/>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09"/>
      <w:bookmarkEnd w:id="110"/>
      <w:bookmarkEnd w:id="112"/>
    </w:p>
    <w:p>
      <w:pPr>
        <w:pStyle w:val="Style20"/>
        <w:keepNext w:val="0"/>
        <w:keepLines w:val="0"/>
        <w:widowControl w:val="0"/>
        <w:shd w:val="clear" w:color="auto" w:fill="auto"/>
        <w:bidi w:val="0"/>
        <w:spacing w:before="0" w:after="80" w:line="298" w:lineRule="exact"/>
        <w:ind w:left="0" w:right="0" w:firstLine="0"/>
        <w:jc w:val="left"/>
      </w:pPr>
      <w:r>
        <w:rPr>
          <w:color w:val="000000"/>
          <w:spacing w:val="0"/>
          <w:w w:val="100"/>
          <w:position w:val="0"/>
        </w:rPr>
        <w:t>公司主要销售客户情况</w:t>
      </w:r>
    </w:p>
    <w:tbl>
      <w:tblPr>
        <w:tblOverlap w:val="never"/>
        <w:jc w:val="center"/>
        <w:tblLayout w:type="fixed"/>
      </w:tblPr>
      <w:tblGrid>
        <w:gridCol w:w="5107"/>
        <w:gridCol w:w="447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105,545,886.42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20.99%</w:t>
            </w:r>
          </w:p>
        </w:tc>
      </w:tr>
    </w:tbl>
    <w:p>
      <w:pPr>
        <w:spacing w:lineRule="exact" w:line="1"/>
        <w:rPr>
          <w:sz w:val="2"/>
          <w:szCs w:val="2"/>
        </w:rPr>
      </w:pPr>
      <w:r>
        <w:br w:type="page"/>
      </w:r>
    </w:p>
    <w:tbl>
      <w:tblPr>
        <w:tblOverlap w:val="never"/>
        <w:jc w:val="center"/>
        <w:tblLayout w:type="fixed"/>
      </w:tblPr>
      <w:tblGrid>
        <w:gridCol w:w="864"/>
        <w:gridCol w:w="130"/>
        <w:gridCol w:w="3168"/>
        <w:gridCol w:w="1003"/>
        <w:gridCol w:w="1320"/>
        <w:gridCol w:w="3216"/>
      </w:tblGrid>
      <w:tr>
        <w:trPr>
          <w:trHeight w:val="422" w:hRule="exact"/>
        </w:trPr>
        <w:tc>
          <w:tcPr>
            <w:gridSpan w:val="4"/>
            <w:tcBorders>
              <w:top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gridSpan w:val="6"/>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客户一（国有企业）</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60,560,938.39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12.04%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客户二（政府机构）</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12,229,786.38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客户三（政府机构）</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11,532,075.53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客户四（企业）</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11,496,321.02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客户五（政府机构）</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9,726,765.10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105,545,886.42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20.99%</w:t>
            </w:r>
          </w:p>
        </w:tc>
      </w:tr>
      <w:tr>
        <w:trPr>
          <w:trHeight w:val="1104" w:hRule="exact"/>
        </w:trPr>
        <w:tc>
          <w:tcPr>
            <w:gridSpan w:val="6"/>
            <w:tcBorders>
              <w:top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主要客户其他情况说明</w:t>
            </w:r>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公司主要供应商情况</w:t>
            </w:r>
          </w:p>
        </w:tc>
      </w:tr>
      <w:tr>
        <w:trPr>
          <w:trHeight w:val="403"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55,130,090.27</w:t>
            </w:r>
          </w:p>
        </w:tc>
      </w:tr>
      <w:tr>
        <w:trPr>
          <w:trHeight w:val="403"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12.35%</w:t>
            </w:r>
          </w:p>
        </w:tc>
      </w:tr>
      <w:tr>
        <w:trPr>
          <w:trHeight w:val="403"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gridSpan w:val="6"/>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c>
      </w:tr>
      <w:tr>
        <w:trPr>
          <w:trHeight w:val="403"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占年度采购总额比例</w:t>
            </w:r>
          </w:p>
        </w:tc>
      </w:tr>
      <w:tr>
        <w:trPr>
          <w:trHeight w:val="403"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16,726,977.87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w:t>
            </w:r>
          </w:p>
        </w:tc>
      </w:tr>
      <w:tr>
        <w:trPr>
          <w:trHeight w:val="403"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13,672,840.67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w:t>
            </w:r>
          </w:p>
        </w:tc>
      </w:tr>
      <w:tr>
        <w:trPr>
          <w:trHeight w:val="398"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11,323,092.49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w:t>
            </w:r>
          </w:p>
        </w:tc>
      </w:tr>
      <w:tr>
        <w:trPr>
          <w:trHeight w:val="403"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7,422,662.54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w:t>
            </w:r>
          </w:p>
        </w:tc>
      </w:tr>
      <w:tr>
        <w:trPr>
          <w:trHeight w:val="403"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5,984,516.70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w:t>
            </w:r>
          </w:p>
        </w:tc>
      </w:tr>
      <w:tr>
        <w:trPr>
          <w:trHeight w:val="403"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55,130,090.27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12.35%</w:t>
            </w:r>
          </w:p>
        </w:tc>
      </w:tr>
      <w:tr>
        <w:trPr>
          <w:trHeight w:val="667" w:hRule="exact"/>
        </w:trPr>
        <w:tc>
          <w:tcPr>
            <w:gridSpan w:val="6"/>
            <w:tcBorders>
              <w:top w:val="single" w:sz="4"/>
            </w:tcBorders>
            <w:shd w:val="clear" w:color="auto" w:fill="FFFFFF"/>
            <w:vAlign w:val="bottom"/>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主要供应商其他情况说明</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13" w:name="bookmark113"/>
      <w:bookmarkStart w:id="114" w:name="bookmark114"/>
      <w:bookmarkStart w:id="115" w:name="bookmark115"/>
      <w:bookmarkStart w:id="116" w:name="bookmark116"/>
      <w:r>
        <w:rPr>
          <w:rFonts w:ascii="Times New Roman" w:eastAsia="Times New Roman" w:hAnsi="Times New Roman" w:cs="Times New Roman"/>
          <w:color w:val="000000"/>
          <w:spacing w:val="0"/>
          <w:w w:val="100"/>
          <w:position w:val="0"/>
        </w:rPr>
        <w:t>3</w:t>
      </w:r>
      <w:bookmarkEnd w:id="115"/>
      <w:r>
        <w:rPr>
          <w:color w:val="000000"/>
          <w:spacing w:val="0"/>
          <w:w w:val="100"/>
          <w:position w:val="0"/>
        </w:rPr>
        <w:t>、费用</w:t>
      </w:r>
      <w:bookmarkEnd w:id="113"/>
      <w:bookmarkEnd w:id="114"/>
      <w:bookmarkEnd w:id="11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38"/>
        <w:gridCol w:w="1699"/>
        <w:gridCol w:w="1843"/>
        <w:gridCol w:w="1560"/>
        <w:gridCol w:w="334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45,178,198.42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45,796,399.22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60,619,776.84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52,317,467.02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主要为同比疫情减免政策减少、管理变革 和制度建设等增加费用投入所致</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2,719,032.43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240,991.02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1,028.27%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主要为新租赁准则实施租赁负债的利息支 出增加所致</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47,152,663.24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35,648,650.23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主要为公司加大研发自主立项所致</w:t>
            </w:r>
          </w:p>
        </w:tc>
      </w:tr>
    </w:tbl>
    <w:p>
      <w:pPr>
        <w:spacing w:lineRule="exact" w:line="1"/>
        <w:rPr>
          <w:sz w:val="2"/>
          <w:szCs w:val="2"/>
        </w:rPr>
      </w:pPr>
      <w:r>
        <w:br w:type="page"/>
      </w:r>
    </w:p>
    <w:p>
      <w:pPr>
        <w:pStyle w:val="Style31"/>
        <w:keepNext/>
        <w:keepLines/>
        <w:widowControl w:val="0"/>
        <w:shd w:val="clear" w:color="auto" w:fill="auto"/>
        <w:bidi w:val="0"/>
        <w:spacing w:before="0" w:line="240" w:lineRule="auto"/>
        <w:ind w:left="0" w:right="0" w:firstLine="0"/>
        <w:jc w:val="left"/>
      </w:pPr>
      <w:bookmarkStart w:id="117" w:name="bookmark117"/>
      <w:bookmarkStart w:id="118" w:name="bookmark118"/>
      <w:bookmarkStart w:id="119" w:name="bookmark119"/>
      <w:bookmarkStart w:id="120" w:name="bookmark120"/>
      <w:r>
        <w:rPr>
          <w:rFonts w:ascii="Times New Roman" w:eastAsia="Times New Roman" w:hAnsi="Times New Roman" w:cs="Times New Roman"/>
          <w:color w:val="000000"/>
          <w:spacing w:val="0"/>
          <w:w w:val="100"/>
          <w:position w:val="0"/>
        </w:rPr>
        <w:t>4</w:t>
      </w:r>
      <w:bookmarkEnd w:id="119"/>
      <w:r>
        <w:rPr>
          <w:color w:val="000000"/>
          <w:spacing w:val="0"/>
          <w:w w:val="100"/>
          <w:position w:val="0"/>
        </w:rPr>
        <w:t>、研发投入</w:t>
      </w:r>
      <w:bookmarkEnd w:id="117"/>
      <w:bookmarkEnd w:id="118"/>
      <w:bookmarkEnd w:id="120"/>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987"/>
        <w:gridCol w:w="2410"/>
        <w:gridCol w:w="1277"/>
        <w:gridCol w:w="1646"/>
        <w:gridCol w:w="2261"/>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预计对公司未来发展的影响</w:t>
            </w: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left"/>
            </w:pPr>
            <w:r>
              <w:rPr>
                <w:color w:val="000000"/>
                <w:spacing w:val="0"/>
                <w:w w:val="100"/>
                <w:position w:val="0"/>
              </w:rPr>
              <w:t>既有居住建筑室内外环 境宜居改善关键技术研 究</w:t>
            </w:r>
            <w:r>
              <w:rPr>
                <w:color w:val="000000"/>
                <w:spacing w:val="0"/>
                <w:w w:val="100"/>
                <w:position w:val="0"/>
              </w:rPr>
              <w:t>(</w:t>
            </w:r>
            <w:r>
              <w:rPr>
                <w:rFonts w:ascii="Times New Roman" w:eastAsia="Times New Roman" w:hAnsi="Times New Roman" w:cs="Times New Roman"/>
                <w:color w:val="000000"/>
                <w:spacing w:val="0"/>
                <w:w w:val="100"/>
                <w:position w:val="0"/>
              </w:rPr>
              <w:t>2017YFC0702903</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针对既有居住建筑的室内外环</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境综合改善技术与方法研究， 提升室内外环境品质。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形成一批适用于既 有居住建筑室内外 环境品质宜居改善 的技术、方法、工 具及产品，并开展 示范工程应用。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为公司今后开展老旧小区改 造提供技术支撑</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既有城市工业区环境安 全及低影响开发关键技 术研究</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2018YFC0704904</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研究构建既有城市工业区功能 提升与改造中的环境安全及低 影响开发关键技术体系，形成 生态修复、物理环境优化、低 影响开发关键技术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为既有城市工业区 功能提升与改造中 的环境质量提升提 供技术路径支撑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培育既有城市工业区绿色改 造技术服务能力</w:t>
            </w:r>
          </w:p>
        </w:tc>
      </w:tr>
      <w:tr>
        <w:trPr>
          <w:trHeight w:val="258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城市地面关键公共基础 设施的性能评估、性能 预测与安全预警</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2019YFB2102703</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以城市关键公共基础设施(包 括路桥隧、交通枢纽、公众活 动区域、社区与养老机构等) 为研究对象，对其结构性能进 行评估，构建多尺度性能退化 模型，实现基础设施的退化趋 势预测，建立基于状态模式的 关键基础设施安全预警方法。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按照研究计划 正常推进中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建立多指标多层次 的预警体系</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公司在城市安全管理领域具 备技术领先优势，实现从建 筑单体安全评估过度到城市 基础设施群的安全评估与管 控。</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低压直流建筑关键技术</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验证与产品研发</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2019YFE0100300-</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基于前期搭建的实验平台和示 范建筑，深入研究直流建筑系 统设计方法。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结合工程经验与实 验结果，研编低压 直流建筑工程技术 导则。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为公司未来直流建筑工程建 设项目提供理论与技术基 础，可带来更多技术咨询业 务</w:t>
            </w: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既有城市工业区生态价</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值诊断技术研究</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2018YFC0704902-</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研究既有工业区生态价值诊断 评估方法，主要包括环境诊 断、碳排放诊断等，其中环境 诊断包括物理环境(风光声 热)、土壤、空气、水体、有 害物质等要素。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形成城市既有工业 区生态价值诊断技 术体系</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为公司既有工业区更新改造 业务提供生态价值诊断技术 体系。</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既有工业区废弃物资源</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化利用技术研究</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2018YFC0704905-</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03</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针对既有城市工业区功能提升 过程中的废弃物资源化利用需 求，亟需开展废弃物资源化利 用配套设备研发，编制技术指 南等。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从废弃物资源化利 用方面，研发配套 设备，编制技术指 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为公司今后开展既有城市工 业区功能提升中的节材提供 技术支撑</w:t>
            </w:r>
          </w:p>
        </w:tc>
      </w:tr>
      <w:tr>
        <w:trPr>
          <w:trHeight w:val="130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既有工业区信息化升级</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2018YFC0704906-</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04</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研究建立城市工业区绿色改造 全生命周期的管控平台的方法 和技术，开发既有城市工业区 功能提升建设综合信息监管平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开发既有城市工业 区功能提升建设综 合信息监管平台</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本课题的开展使得公司在既 有工业区改造信息化提升领 域，获得了从软件设计到环 境感知等一系列的技术积</w:t>
            </w:r>
          </w:p>
        </w:tc>
      </w:tr>
    </w:tbl>
    <w:p>
      <w:pPr>
        <w:spacing w:lineRule="exact" w:line="1"/>
        <w:rPr>
          <w:sz w:val="2"/>
          <w:szCs w:val="2"/>
        </w:rPr>
      </w:pPr>
      <w:r>
        <w:br w:type="page"/>
      </w:r>
    </w:p>
    <w:tbl>
      <w:tblPr>
        <w:tblOverlap w:val="never"/>
        <w:jc w:val="center"/>
        <w:tblLayout w:type="fixed"/>
      </w:tblPr>
      <w:tblGrid>
        <w:gridCol w:w="2045"/>
        <w:gridCol w:w="2410"/>
        <w:gridCol w:w="1277"/>
        <w:gridCol w:w="1646"/>
        <w:gridCol w:w="2323"/>
      </w:tblGrid>
      <w:tr>
        <w:trPr>
          <w:trHeight w:val="75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台软件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累，为公司未来在该领域拓 展业务奠定了基础。</w:t>
            </w:r>
          </w:p>
        </w:tc>
      </w:tr>
    </w:tbl>
    <w:p>
      <w:pPr>
        <w:widowControl w:val="0"/>
        <w:spacing w:after="79"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2698"/>
        <w:gridCol w:w="2088"/>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0.61%</w:t>
            </w:r>
          </w:p>
        </w:tc>
      </w:tr>
      <w:tr>
        <w:trPr>
          <w:trHeight w:val="398" w:hRule="exact"/>
        </w:trPr>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3" w:hRule="exact"/>
        </w:trPr>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30 ~40 </w:t>
            </w:r>
            <w:r>
              <w:rPr>
                <w:color w:val="000000"/>
                <w:spacing w:val="0"/>
                <w:w w:val="100"/>
                <w:position w:val="0"/>
              </w:rPr>
              <w:t>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12.96%</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65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w:t>
            </w:r>
          </w:p>
        </w:tc>
      </w:tr>
    </w:tbl>
    <w:p>
      <w:pPr>
        <w:widowControl w:val="0"/>
        <w:spacing w:after="79"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3120"/>
        <w:gridCol w:w="2126"/>
        <w:gridCol w:w="1934"/>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49,736,844.15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44,468,216.24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43,128,912.23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9.89%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2,584,180.91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5,186,276.10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5,741,154.19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5.20%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5.43%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15.68%</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21" w:name="bookmark121"/>
      <w:bookmarkStart w:id="122" w:name="bookmark122"/>
      <w:bookmarkStart w:id="123" w:name="bookmark123"/>
      <w:bookmarkStart w:id="124" w:name="bookmark124"/>
      <w:r>
        <w:rPr>
          <w:rFonts w:ascii="Times New Roman" w:eastAsia="Times New Roman" w:hAnsi="Times New Roman" w:cs="Times New Roman"/>
          <w:color w:val="000000"/>
          <w:spacing w:val="0"/>
          <w:w w:val="100"/>
          <w:position w:val="0"/>
        </w:rPr>
        <w:t>5</w:t>
      </w:r>
      <w:bookmarkEnd w:id="123"/>
      <w:r>
        <w:rPr>
          <w:color w:val="000000"/>
          <w:spacing w:val="0"/>
          <w:w w:val="100"/>
          <w:position w:val="0"/>
        </w:rPr>
        <w:t>、现金流</w:t>
      </w:r>
      <w:bookmarkEnd w:id="121"/>
      <w:bookmarkEnd w:id="122"/>
      <w:bookmarkEnd w:id="12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64"/>
        <w:gridCol w:w="2126"/>
        <w:gridCol w:w="179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483,517,725.52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505,369,710.04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441,478,247.54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439,716,388.89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42,039,477.98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65,653,321.15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-35.97%</w:t>
            </w:r>
          </w:p>
        </w:tc>
      </w:tr>
    </w:tbl>
    <w:p>
      <w:pPr>
        <w:spacing w:lineRule="exact" w:line="1"/>
        <w:rPr>
          <w:sz w:val="2"/>
          <w:szCs w:val="2"/>
        </w:rPr>
      </w:pPr>
      <w:r>
        <w:br w:type="page"/>
      </w:r>
    </w:p>
    <w:tbl>
      <w:tblPr>
        <w:tblOverlap w:val="never"/>
        <w:jc w:val="center"/>
        <w:tblLayout w:type="fixed"/>
      </w:tblPr>
      <w:tblGrid>
        <w:gridCol w:w="3264"/>
        <w:gridCol w:w="2126"/>
        <w:gridCol w:w="1790"/>
        <w:gridCol w:w="2400"/>
      </w:tblGrid>
      <w:tr>
        <w:trPr>
          <w:trHeight w:val="4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4,035,132.27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44,276,316.53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62,173,952.45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135,385,118.89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-58,138,820.18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-91,108,802.36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371,383,570.16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387,830,048.00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123,969,333.15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212.84%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-16,446,477.84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66,030,666.85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-124.91%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-32,545,820.04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40,575,185.64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-180.21%</w:t>
            </w:r>
          </w:p>
        </w:tc>
      </w:tr>
    </w:tbl>
    <w:p>
      <w:pPr>
        <w:pStyle w:val="Style2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相关数据同比发生重大变动的主要影响因素说明</w:t>
      </w:r>
    </w:p>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numPr>
          <w:ilvl w:val="0"/>
          <w:numId w:val="15"/>
        </w:numPr>
        <w:shd w:val="clear" w:color="auto" w:fill="auto"/>
        <w:tabs>
          <w:tab w:pos="301" w:val="left"/>
        </w:tabs>
        <w:bidi w:val="0"/>
        <w:spacing w:before="0" w:after="0" w:line="317" w:lineRule="exact"/>
        <w:ind w:left="0" w:right="0" w:firstLine="0"/>
        <w:jc w:val="left"/>
      </w:pPr>
      <w:bookmarkStart w:id="125" w:name="bookmark125"/>
      <w:bookmarkEnd w:id="125"/>
      <w:r>
        <w:rPr>
          <w:color w:val="000000"/>
          <w:spacing w:val="0"/>
          <w:w w:val="100"/>
          <w:position w:val="0"/>
        </w:rPr>
        <w:t>经营活动产生的现金流量净额同比减少</w:t>
      </w:r>
      <w:r>
        <w:rPr>
          <w:rFonts w:ascii="Times New Roman" w:eastAsia="Times New Roman" w:hAnsi="Times New Roman" w:cs="Times New Roman"/>
          <w:color w:val="000000"/>
          <w:spacing w:val="0"/>
          <w:w w:val="100"/>
          <w:position w:val="0"/>
        </w:rPr>
        <w:t>2,361</w:t>
      </w:r>
      <w:r>
        <w:rPr>
          <w:color w:val="000000"/>
          <w:spacing w:val="0"/>
          <w:w w:val="100"/>
          <w:position w:val="0"/>
        </w:rPr>
        <w:t>万元，下降</w:t>
      </w:r>
      <w:r>
        <w:rPr>
          <w:rFonts w:ascii="Times New Roman" w:eastAsia="Times New Roman" w:hAnsi="Times New Roman" w:cs="Times New Roman"/>
          <w:color w:val="000000"/>
          <w:spacing w:val="0"/>
          <w:w w:val="100"/>
          <w:position w:val="0"/>
        </w:rPr>
        <w:t>35.96%</w:t>
      </w:r>
      <w:r>
        <w:rPr>
          <w:color w:val="000000"/>
          <w:spacing w:val="0"/>
          <w:w w:val="100"/>
          <w:position w:val="0"/>
        </w:rPr>
        <w:t>，本现金流量表不含代建户资金，</w:t>
      </w:r>
      <w:r>
        <w:rPr>
          <w:rFonts w:ascii="Times New Roman" w:eastAsia="Times New Roman" w:hAnsi="Times New Roman" w:cs="Times New Roman"/>
          <w:color w:val="000000"/>
          <w:spacing w:val="0"/>
          <w:w w:val="100"/>
          <w:position w:val="0"/>
        </w:rPr>
        <w:t>EPC</w:t>
      </w:r>
      <w:r>
        <w:rPr>
          <w:color w:val="000000"/>
          <w:spacing w:val="0"/>
          <w:w w:val="100"/>
          <w:position w:val="0"/>
        </w:rPr>
        <w:t>现金流量净流入额 同比减少</w:t>
      </w:r>
      <w:r>
        <w:rPr>
          <w:rFonts w:ascii="Times New Roman" w:eastAsia="Times New Roman" w:hAnsi="Times New Roman" w:cs="Times New Roman"/>
          <w:color w:val="000000"/>
          <w:spacing w:val="0"/>
          <w:w w:val="100"/>
          <w:position w:val="0"/>
        </w:rPr>
        <w:t>3,827</w:t>
      </w:r>
      <w:r>
        <w:rPr>
          <w:color w:val="000000"/>
          <w:spacing w:val="0"/>
          <w:w w:val="100"/>
          <w:position w:val="0"/>
        </w:rPr>
        <w:t>万元。剔除</w:t>
      </w:r>
      <w:r>
        <w:rPr>
          <w:rFonts w:ascii="Times New Roman" w:eastAsia="Times New Roman" w:hAnsi="Times New Roman" w:cs="Times New Roman"/>
          <w:color w:val="000000"/>
          <w:spacing w:val="0"/>
          <w:w w:val="100"/>
          <w:position w:val="0"/>
        </w:rPr>
        <w:t>EP C</w:t>
      </w:r>
      <w:r>
        <w:rPr>
          <w:color w:val="000000"/>
          <w:spacing w:val="0"/>
          <w:w w:val="100"/>
          <w:position w:val="0"/>
        </w:rPr>
        <w:t>影响，经营活动现金流量净增加</w:t>
      </w:r>
      <w:r>
        <w:rPr>
          <w:rFonts w:ascii="Times New Roman" w:eastAsia="Times New Roman" w:hAnsi="Times New Roman" w:cs="Times New Roman"/>
          <w:color w:val="000000"/>
          <w:spacing w:val="0"/>
          <w:w w:val="100"/>
          <w:position w:val="0"/>
        </w:rPr>
        <w:t>1,466</w:t>
      </w:r>
      <w:r>
        <w:rPr>
          <w:color w:val="000000"/>
          <w:spacing w:val="0"/>
          <w:w w:val="100"/>
          <w:position w:val="0"/>
        </w:rPr>
        <w:t>万元。</w:t>
      </w:r>
    </w:p>
    <w:p>
      <w:pPr>
        <w:pStyle w:val="Style20"/>
        <w:keepNext w:val="0"/>
        <w:keepLines w:val="0"/>
        <w:widowControl w:val="0"/>
        <w:numPr>
          <w:ilvl w:val="0"/>
          <w:numId w:val="15"/>
        </w:numPr>
        <w:shd w:val="clear" w:color="auto" w:fill="auto"/>
        <w:tabs>
          <w:tab w:pos="320" w:val="left"/>
        </w:tabs>
        <w:bidi w:val="0"/>
        <w:spacing w:before="0" w:after="0" w:line="317" w:lineRule="exact"/>
        <w:ind w:left="0" w:right="0" w:firstLine="0"/>
        <w:jc w:val="left"/>
      </w:pPr>
      <w:bookmarkStart w:id="126" w:name="bookmark126"/>
      <w:bookmarkEnd w:id="126"/>
      <w:r>
        <w:rPr>
          <w:color w:val="000000"/>
          <w:spacing w:val="0"/>
          <w:w w:val="100"/>
          <w:position w:val="0"/>
        </w:rPr>
        <w:t>投资活动产生的现金流量净额主要是未来大厦相关现金投资</w:t>
      </w:r>
      <w:r>
        <w:rPr>
          <w:rFonts w:ascii="Times New Roman" w:eastAsia="Times New Roman" w:hAnsi="Times New Roman" w:cs="Times New Roman"/>
          <w:color w:val="000000"/>
          <w:spacing w:val="0"/>
          <w:w w:val="100"/>
          <w:position w:val="0"/>
        </w:rPr>
        <w:t>4,024</w:t>
      </w:r>
      <w:r>
        <w:rPr>
          <w:color w:val="000000"/>
          <w:spacing w:val="0"/>
          <w:w w:val="100"/>
          <w:position w:val="0"/>
        </w:rPr>
        <w:t>万元，其他为固定资产及无形资产相关现金投资。</w:t>
      </w:r>
    </w:p>
    <w:p>
      <w:pPr>
        <w:pStyle w:val="Style20"/>
        <w:keepNext w:val="0"/>
        <w:keepLines w:val="0"/>
        <w:widowControl w:val="0"/>
        <w:numPr>
          <w:ilvl w:val="0"/>
          <w:numId w:val="15"/>
        </w:numPr>
        <w:shd w:val="clear" w:color="auto" w:fill="auto"/>
        <w:tabs>
          <w:tab w:pos="320" w:val="left"/>
        </w:tabs>
        <w:bidi w:val="0"/>
        <w:spacing w:before="0" w:after="340" w:line="317" w:lineRule="exact"/>
        <w:ind w:left="0" w:right="0" w:firstLine="0"/>
        <w:jc w:val="left"/>
      </w:pPr>
      <w:bookmarkStart w:id="127" w:name="bookmark127"/>
      <w:bookmarkEnd w:id="127"/>
      <w:r>
        <w:rPr>
          <w:color w:val="000000"/>
          <w:spacing w:val="0"/>
          <w:w w:val="100"/>
          <w:position w:val="0"/>
        </w:rPr>
        <w:t>筹资活动方面，取得借款和偿还借款同比变动较大原因是</w:t>
      </w:r>
      <w:r>
        <w:rPr>
          <w:rFonts w:ascii="Times New Roman" w:eastAsia="Times New Roman" w:hAnsi="Times New Roman" w:cs="Times New Roman"/>
          <w:color w:val="000000"/>
          <w:spacing w:val="0"/>
          <w:w w:val="100"/>
          <w:position w:val="0"/>
        </w:rPr>
        <w:t>2021</w:t>
      </w:r>
      <w:r>
        <w:rPr>
          <w:color w:val="000000"/>
          <w:spacing w:val="0"/>
          <w:w w:val="100"/>
          <w:position w:val="0"/>
        </w:rPr>
        <w:t>年将未来大厦建设配套贷款置换为期限更长、成本更低的 项目贷款，更有利于保障未来大厦建设投资和运营的资金需求，有利于公司财务结构的健康，置换金额共计</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.26</w:t>
      </w:r>
      <w:r>
        <w:rPr>
          <w:color w:val="000000"/>
          <w:spacing w:val="0"/>
          <w:w w:val="100"/>
          <w:position w:val="0"/>
        </w:rPr>
        <w:t>亿元。</w:t>
      </w:r>
    </w:p>
    <w:p>
      <w:pPr>
        <w:pStyle w:val="Style2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0"/>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40" w:line="240" w:lineRule="auto"/>
        <w:ind w:left="0" w:right="0" w:firstLine="0"/>
        <w:jc w:val="left"/>
      </w:pPr>
      <w:bookmarkStart w:id="128" w:name="bookmark128"/>
      <w:r>
        <w:rPr>
          <w:color w:val="000000"/>
          <w:spacing w:val="0"/>
          <w:w w:val="100"/>
          <w:position w:val="0"/>
          <w:sz w:val="24"/>
          <w:szCs w:val="24"/>
        </w:rPr>
        <w:t>五</w:t>
      </w:r>
      <w:bookmarkEnd w:id="128"/>
      <w:r>
        <w:rPr>
          <w:color w:val="000000"/>
          <w:spacing w:val="0"/>
          <w:w w:val="100"/>
          <w:position w:val="0"/>
          <w:sz w:val="24"/>
          <w:szCs w:val="24"/>
        </w:rPr>
        <w:t>、非主营业务情况</w:t>
      </w:r>
    </w:p>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875"/>
        <w:gridCol w:w="16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-1,024,046.89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合同资产预期信用损失计提形成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3,541,550.23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主要为本期收到政府补助形成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66,246.17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主要是资产处置损失及捐赠支出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-5,170,313.19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应收账款、其他应收款预期信用损 失计提形成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14,941,135.28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主要为确认递延收益</w:t>
            </w:r>
            <w:r>
              <w:rPr>
                <w:rFonts w:ascii="Times New Roman" w:eastAsia="Times New Roman" w:hAnsi="Times New Roman" w:cs="Times New Roman"/>
                <w:color w:val="000000"/>
                <w:spacing w:val="0"/>
                <w:w w:val="100"/>
                <w:position w:val="0"/>
              </w:rPr>
              <w:t>-</w:t>
            </w:r>
            <w:r>
              <w:rPr>
                <w:color w:val="000000"/>
                <w:spacing w:val="0"/>
                <w:w w:val="100"/>
                <w:position w:val="0"/>
              </w:rPr>
              <w:t>政府补助、个 税返还形成</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339" w:line="1" w:lineRule="exact"/>
      </w:pPr>
    </w:p>
    <w:p>
      <w:pPr>
        <w:pStyle w:val="Style26"/>
        <w:keepNext w:val="0"/>
        <w:keepLines w:val="0"/>
        <w:widowControl w:val="0"/>
        <w:shd w:val="clear" w:color="auto" w:fill="auto"/>
        <w:bidi w:val="0"/>
        <w:spacing w:before="0" w:after="340" w:line="240" w:lineRule="auto"/>
        <w:ind w:left="0" w:right="0" w:firstLine="0"/>
        <w:jc w:val="left"/>
      </w:pPr>
      <w:bookmarkStart w:id="129" w:name="bookmark129"/>
      <w:r>
        <w:rPr>
          <w:color w:val="000000"/>
          <w:spacing w:val="0"/>
          <w:w w:val="100"/>
          <w:position w:val="0"/>
          <w:sz w:val="24"/>
          <w:szCs w:val="24"/>
        </w:rPr>
        <w:t>六</w:t>
      </w:r>
      <w:bookmarkEnd w:id="129"/>
      <w:r>
        <w:rPr>
          <w:color w:val="000000"/>
          <w:spacing w:val="0"/>
          <w:w w:val="100"/>
          <w:position w:val="0"/>
          <w:sz w:val="24"/>
          <w:szCs w:val="24"/>
        </w:rPr>
        <w:t>、资产及负债状况分析</w:t>
      </w:r>
    </w:p>
    <w:p>
      <w:pPr>
        <w:pStyle w:val="Style31"/>
        <w:keepNext/>
        <w:keepLines/>
        <w:widowControl w:val="0"/>
        <w:shd w:val="clear" w:color="auto" w:fill="auto"/>
        <w:bidi w:val="0"/>
        <w:spacing w:before="0" w:after="340" w:line="240" w:lineRule="auto"/>
        <w:ind w:left="0" w:right="0" w:firstLine="0"/>
        <w:jc w:val="left"/>
      </w:pPr>
      <w:bookmarkStart w:id="130" w:name="bookmark130"/>
      <w:bookmarkStart w:id="131" w:name="bookmark131"/>
      <w:bookmarkStart w:id="132" w:name="bookmark132"/>
      <w:bookmarkStart w:id="133" w:name="bookmark133"/>
      <w:r>
        <w:rPr>
          <w:rFonts w:ascii="Times New Roman" w:eastAsia="Times New Roman" w:hAnsi="Times New Roman" w:cs="Times New Roman"/>
          <w:color w:val="000000"/>
          <w:spacing w:val="0"/>
          <w:w w:val="100"/>
          <w:position w:val="0"/>
        </w:rPr>
        <w:t>1</w:t>
      </w:r>
      <w:bookmarkEnd w:id="132"/>
      <w:r>
        <w:rPr>
          <w:color w:val="000000"/>
          <w:spacing w:val="0"/>
          <w:w w:val="100"/>
          <w:position w:val="0"/>
        </w:rPr>
        <w:t>、资产构成重大变动情况</w:t>
      </w:r>
      <w:bookmarkEnd w:id="130"/>
      <w:bookmarkEnd w:id="131"/>
      <w:bookmarkEnd w:id="13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04"/>
        <w:gridCol w:w="1277"/>
        <w:gridCol w:w="1277"/>
        <w:gridCol w:w="1555"/>
        <w:gridCol w:w="1171"/>
        <w:gridCol w:w="850"/>
        <w:gridCol w:w="2347"/>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占总资产比例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224,399,259.99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291,165,712.09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w:t>
            </w:r>
            <w:r>
              <w:rPr>
                <w:rFonts w:ascii="Times New Roman" w:eastAsia="Times New Roman" w:hAnsi="Times New Roman" w:cs="Times New Roman"/>
                <w:color w:val="000000"/>
                <w:spacing w:val="0"/>
                <w:w w:val="100"/>
                <w:position w:val="0"/>
              </w:rPr>
              <w:t>EPC</w:t>
            </w:r>
            <w:r>
              <w:rPr>
                <w:color w:val="000000"/>
                <w:spacing w:val="0"/>
                <w:w w:val="100"/>
                <w:position w:val="0"/>
              </w:rPr>
              <w:t>和代建业务代收</w:t>
            </w:r>
          </w:p>
        </w:tc>
      </w:tr>
    </w:tbl>
    <w:p>
      <w:pPr>
        <w:pStyle w:val="Style20"/>
        <w:keepNext w:val="0"/>
        <w:keepLines w:val="0"/>
        <w:widowControl w:val="0"/>
        <w:shd w:val="clear" w:color="auto" w:fill="auto"/>
        <w:tabs>
          <w:tab w:pos="2333" w:val="left"/>
        </w:tabs>
        <w:bidi w:val="0"/>
        <w:spacing w:before="0" w:after="120" w:line="180" w:lineRule="auto"/>
        <w:ind w:left="0" w:right="0" w:firstLine="0"/>
        <w:jc w:val="center"/>
      </w:pPr>
      <w:r>
        <w:rPr>
          <w:rFonts w:ascii="Arial" w:eastAsia="Arial" w:hAnsi="Arial" w:cs="Arial"/>
          <w:b/>
          <w:bCs/>
          <w:color w:val="000000"/>
          <w:spacing w:val="0"/>
          <w:w w:val="100"/>
          <w:position w:val="0"/>
          <w:sz w:val="44"/>
          <w:szCs w:val="44"/>
        </w:rPr>
        <w:t>~I</w:t>
        <w:tab/>
      </w:r>
      <w:r>
        <w:rPr>
          <w:color w:val="000000"/>
          <w:spacing w:val="0"/>
          <w:w w:val="100"/>
          <w:position w:val="0"/>
        </w:rPr>
        <w:t>|代付资金同比减少所致</w:t>
      </w:r>
    </w:p>
    <w:p>
      <w:pPr>
        <w:pStyle w:val="Style20"/>
        <w:keepNext w:val="0"/>
        <w:keepLines w:val="0"/>
        <w:widowControl w:val="0"/>
        <w:shd w:val="clear" w:color="auto" w:fill="auto"/>
        <w:bidi w:val="0"/>
        <w:spacing w:before="0" w:after="480" w:line="240" w:lineRule="auto"/>
        <w:ind w:left="0" w:right="0" w:firstLine="0"/>
        <w:jc w:val="left"/>
      </w:pPr>
      <w:r>
        <w:rPr>
          <w:color w:val="000000"/>
          <w:spacing w:val="0"/>
          <w:w w:val="100"/>
          <w:position w:val="0"/>
        </w:rPr>
        <w:t>注：此处披露为资产构成变动超过</w:t>
      </w:r>
      <w:r>
        <w:rPr>
          <w:rFonts w:ascii="Times New Roman" w:eastAsia="Times New Roman" w:hAnsi="Times New Roman" w:cs="Times New Roman"/>
          <w:color w:val="000000"/>
          <w:spacing w:val="0"/>
          <w:w w:val="100"/>
          <w:position w:val="0"/>
        </w:rPr>
        <w:t>5%</w:t>
      </w:r>
      <w:r>
        <w:rPr>
          <w:color w:val="000000"/>
          <w:spacing w:val="0"/>
          <w:w w:val="100"/>
          <w:position w:val="0"/>
        </w:rPr>
        <w:t>，其它资产变动情况详见决算报告。</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境外资产占比较高</w:t>
      </w:r>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34" w:name="bookmark134"/>
      <w:bookmarkStart w:id="135" w:name="bookmark135"/>
      <w:bookmarkStart w:id="136" w:name="bookmark136"/>
      <w:bookmarkStart w:id="137" w:name="bookmark137"/>
      <w:r>
        <w:rPr>
          <w:rFonts w:ascii="Times New Roman" w:eastAsia="Times New Roman" w:hAnsi="Times New Roman" w:cs="Times New Roman"/>
          <w:color w:val="000000"/>
          <w:spacing w:val="0"/>
          <w:w w:val="100"/>
          <w:position w:val="0"/>
        </w:rPr>
        <w:t>2</w:t>
      </w:r>
      <w:bookmarkEnd w:id="136"/>
      <w:r>
        <w:rPr>
          <w:color w:val="000000"/>
          <w:spacing w:val="0"/>
          <w:w w:val="100"/>
          <w:position w:val="0"/>
        </w:rPr>
        <w:t>、以公允价值计量的资产和负债</w:t>
      </w:r>
      <w:bookmarkEnd w:id="134"/>
      <w:bookmarkEnd w:id="135"/>
      <w:bookmarkEnd w:id="137"/>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994"/>
        <w:gridCol w:w="850"/>
        <w:gridCol w:w="994"/>
        <w:gridCol w:w="850"/>
        <w:gridCol w:w="710"/>
        <w:gridCol w:w="850"/>
        <w:gridCol w:w="1128"/>
        <w:gridCol w:w="1219"/>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价值变动</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计入权益的</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累计公允价</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本期购</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买金额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本期出售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交易性金融资产（不 含衍生金融资产）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4,640,936.86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4,640,936.86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4,640,936.86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4,640,936.86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59" w:line="1" w:lineRule="exact"/>
      </w:pPr>
    </w:p>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其他变动的内容</w:t>
      </w:r>
    </w:p>
    <w:p>
      <w:pPr>
        <w:pStyle w:val="Style26"/>
        <w:keepNext w:val="0"/>
        <w:keepLines w:val="0"/>
        <w:widowControl w:val="0"/>
        <w:shd w:val="clear" w:color="auto" w:fill="auto"/>
        <w:bidi w:val="0"/>
        <w:spacing w:before="0" w:after="120" w:line="307" w:lineRule="exact"/>
        <w:ind w:left="0" w:right="0" w:firstLine="0"/>
        <w:jc w:val="left"/>
        <w:rPr>
          <w:sz w:val="22"/>
          <w:szCs w:val="22"/>
        </w:rPr>
      </w:pPr>
      <w:r>
        <w:rPr>
          <w:b w:val="0"/>
          <w:bCs w:val="0"/>
          <w:color w:val="000000"/>
          <w:spacing w:val="0"/>
          <w:w w:val="100"/>
          <w:position w:val="0"/>
          <w:sz w:val="22"/>
          <w:szCs w:val="22"/>
        </w:rPr>
        <w:t>本集团根据近期公开信息披露的票据违约情况、《中国银保监会办公厅关于进一步加强企业集团财 务公司票据业务监管的通知》</w:t>
      </w:r>
      <w:r>
        <w:rPr>
          <w:b w:val="0"/>
          <w:bCs w:val="0"/>
          <w:color w:val="000000"/>
          <w:spacing w:val="0"/>
          <w:w w:val="100"/>
          <w:position w:val="0"/>
          <w:sz w:val="22"/>
          <w:szCs w:val="22"/>
        </w:rPr>
        <w:t>（</w:t>
      </w:r>
      <w:r>
        <w:rPr>
          <w:b w:val="0"/>
          <w:bCs w:val="0"/>
          <w:color w:val="000000"/>
          <w:spacing w:val="0"/>
          <w:w w:val="100"/>
          <w:position w:val="0"/>
          <w:sz w:val="22"/>
          <w:szCs w:val="22"/>
        </w:rPr>
        <w:t>银保监办发</w:t>
      </w:r>
      <w:r>
        <w:rPr>
          <w:rFonts w:ascii="Times New Roman" w:eastAsia="Times New Roman" w:hAnsi="Times New Roman" w:cs="Times New Roman"/>
          <w:b w:val="0"/>
          <w:bCs w:val="0"/>
          <w:color w:val="000000"/>
          <w:spacing w:val="0"/>
          <w:w w:val="100"/>
          <w:position w:val="0"/>
          <w:sz w:val="22"/>
          <w:szCs w:val="22"/>
        </w:rPr>
        <w:t>[2019]133</w:t>
      </w:r>
      <w:r>
        <w:rPr>
          <w:b w:val="0"/>
          <w:bCs w:val="0"/>
          <w:color w:val="000000"/>
          <w:spacing w:val="0"/>
          <w:w w:val="100"/>
          <w:position w:val="0"/>
          <w:sz w:val="22"/>
          <w:szCs w:val="22"/>
        </w:rPr>
        <w:t>号</w:t>
      </w:r>
      <w:r>
        <w:rPr>
          <w:rFonts w:ascii="Times New Roman" w:eastAsia="Times New Roman" w:hAnsi="Times New Roman" w:cs="Times New Roman"/>
          <w:b w:val="0"/>
          <w:bCs w:val="0"/>
          <w:color w:val="000000"/>
          <w:spacing w:val="0"/>
          <w:w w:val="100"/>
          <w:position w:val="0"/>
          <w:sz w:val="22"/>
          <w:szCs w:val="22"/>
        </w:rPr>
        <w:t>）</w:t>
      </w:r>
      <w:r>
        <w:rPr>
          <w:b w:val="0"/>
          <w:bCs w:val="0"/>
          <w:color w:val="000000"/>
          <w:spacing w:val="0"/>
          <w:w w:val="100"/>
          <w:position w:val="0"/>
          <w:sz w:val="22"/>
          <w:szCs w:val="22"/>
        </w:rPr>
        <w:t>并参考《上市公司执行企业会计准则案例解 析</w:t>
      </w:r>
      <w:r>
        <w:rPr>
          <w:rFonts w:ascii="Times New Roman" w:eastAsia="Times New Roman" w:hAnsi="Times New Roman" w:cs="Times New Roman"/>
          <w:b w:val="0"/>
          <w:bCs w:val="0"/>
          <w:color w:val="000000"/>
          <w:spacing w:val="0"/>
          <w:w w:val="100"/>
          <w:position w:val="0"/>
          <w:sz w:val="22"/>
          <w:szCs w:val="22"/>
        </w:rPr>
        <w:t>（2019）</w:t>
      </w:r>
      <w:r>
        <w:rPr>
          <w:b w:val="0"/>
          <w:bCs w:val="0"/>
          <w:color w:val="000000"/>
          <w:spacing w:val="0"/>
          <w:w w:val="100"/>
          <w:position w:val="0"/>
          <w:sz w:val="22"/>
          <w:szCs w:val="22"/>
        </w:rPr>
        <w:t>》等。将信用等级较高、拥有国资背景或为上市银行、资金实力雄厚、经营情况良好的由</w:t>
      </w:r>
      <w:r>
        <w:rPr>
          <w:rFonts w:ascii="Times New Roman" w:eastAsia="Times New Roman" w:hAnsi="Times New Roman" w:cs="Times New Roman"/>
          <w:b w:val="0"/>
          <w:bCs w:val="0"/>
          <w:color w:val="000000"/>
          <w:spacing w:val="0"/>
          <w:w w:val="100"/>
          <w:position w:val="0"/>
          <w:sz w:val="22"/>
          <w:szCs w:val="22"/>
        </w:rPr>
        <w:t xml:space="preserve">6 </w:t>
      </w:r>
      <w:r>
        <w:rPr>
          <w:b w:val="0"/>
          <w:bCs w:val="0"/>
          <w:color w:val="000000"/>
          <w:spacing w:val="0"/>
          <w:w w:val="100"/>
          <w:position w:val="0"/>
          <w:sz w:val="22"/>
          <w:szCs w:val="22"/>
        </w:rPr>
        <w:t>家大型商业银行和</w:t>
      </w:r>
      <w:r>
        <w:rPr>
          <w:rFonts w:ascii="Times New Roman" w:eastAsia="Times New Roman" w:hAnsi="Times New Roman" w:cs="Times New Roman"/>
          <w:b w:val="0"/>
          <w:bCs w:val="0"/>
          <w:color w:val="000000"/>
          <w:spacing w:val="0"/>
          <w:w w:val="100"/>
          <w:position w:val="0"/>
          <w:sz w:val="22"/>
          <w:szCs w:val="22"/>
        </w:rPr>
        <w:t>9</w:t>
      </w:r>
      <w:r>
        <w:rPr>
          <w:b w:val="0"/>
          <w:bCs w:val="0"/>
          <w:color w:val="000000"/>
          <w:spacing w:val="0"/>
          <w:w w:val="100"/>
          <w:position w:val="0"/>
          <w:sz w:val="22"/>
          <w:szCs w:val="22"/>
        </w:rPr>
        <w:t>家上市股份制商业银行承兑的汇票分类至应收款项融资科目。</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报告期内公司主要资产计量属性是否发生重大变化</w:t>
      </w:r>
    </w:p>
    <w:p>
      <w:pPr>
        <w:pStyle w:val="Style2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keepLines/>
        <w:widowControl w:val="0"/>
        <w:shd w:val="clear" w:color="auto" w:fill="auto"/>
        <w:bidi w:val="0"/>
        <w:spacing w:before="0" w:after="320" w:line="307" w:lineRule="exact"/>
        <w:ind w:left="0" w:right="0" w:firstLine="0"/>
        <w:jc w:val="left"/>
      </w:pPr>
      <w:bookmarkStart w:id="138" w:name="bookmark138"/>
      <w:bookmarkStart w:id="139" w:name="bookmark139"/>
      <w:bookmarkStart w:id="140" w:name="bookmark140"/>
      <w:bookmarkStart w:id="141" w:name="bookmark141"/>
      <w:r>
        <w:rPr>
          <w:rFonts w:ascii="Times New Roman" w:eastAsia="Times New Roman" w:hAnsi="Times New Roman" w:cs="Times New Roman"/>
          <w:color w:val="000000"/>
          <w:spacing w:val="0"/>
          <w:w w:val="100"/>
          <w:position w:val="0"/>
        </w:rPr>
        <w:t>3</w:t>
      </w:r>
      <w:bookmarkEnd w:id="140"/>
      <w:r>
        <w:rPr>
          <w:color w:val="000000"/>
          <w:spacing w:val="0"/>
          <w:w w:val="100"/>
          <w:position w:val="0"/>
        </w:rPr>
        <w:t>、截至报告期末的资产权利受限情况</w:t>
      </w:r>
      <w:bookmarkEnd w:id="138"/>
      <w:bookmarkEnd w:id="139"/>
      <w:bookmarkEnd w:id="141"/>
    </w:p>
    <w:tbl>
      <w:tblPr>
        <w:tblOverlap w:val="never"/>
        <w:jc w:val="center"/>
        <w:tblLayout w:type="fixed"/>
      </w:tblPr>
      <w:tblGrid>
        <w:gridCol w:w="974"/>
        <w:gridCol w:w="1714"/>
        <w:gridCol w:w="1709"/>
        <w:gridCol w:w="1714"/>
        <w:gridCol w:w="1714"/>
        <w:gridCol w:w="2050"/>
      </w:tblGrid>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本年增加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本年减少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受限原因</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49,805,499.26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106,679,916.17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140,900,548.23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15,584,867.20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保函保证金、代建户</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57,475,750.72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2,345,949.02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55,129,801.70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用于抵押借款</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331,186,836.96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63,464,412.77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394,651,249.73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用于抵押借款</w:t>
            </w:r>
          </w:p>
        </w:tc>
      </w:tr>
      <w:tr>
        <w:trPr>
          <w:trHeight w:val="4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114,793,044.64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170,144,328.94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143,246,497.25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465,365,918.63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pBdr>
          <w:top w:val="single" w:sz="4" w:space="0" w:color="auto"/>
        </w:pBdr>
        <w:shd w:val="clear" w:color="auto" w:fill="auto"/>
        <w:bidi w:val="0"/>
        <w:spacing w:before="0" w:after="360" w:line="240" w:lineRule="auto"/>
        <w:ind w:left="0" w:right="0" w:firstLine="0"/>
        <w:jc w:val="left"/>
      </w:pPr>
      <w:bookmarkStart w:id="142" w:name="bookmark142"/>
      <w:r>
        <w:rPr>
          <w:color w:val="000000"/>
          <w:spacing w:val="0"/>
          <w:w w:val="100"/>
          <w:position w:val="0"/>
          <w:sz w:val="24"/>
          <w:szCs w:val="24"/>
        </w:rPr>
        <w:t>七</w:t>
      </w:r>
      <w:bookmarkEnd w:id="142"/>
      <w:r>
        <w:rPr>
          <w:color w:val="000000"/>
          <w:spacing w:val="0"/>
          <w:w w:val="100"/>
          <w:position w:val="0"/>
          <w:sz w:val="24"/>
          <w:szCs w:val="24"/>
        </w:rPr>
        <w:t>、投资状况分析</w:t>
      </w:r>
    </w:p>
    <w:p>
      <w:pPr>
        <w:pStyle w:val="Style31"/>
        <w:keepNext/>
        <w:keepLines/>
        <w:widowControl w:val="0"/>
        <w:shd w:val="clear" w:color="auto" w:fill="auto"/>
        <w:bidi w:val="0"/>
        <w:spacing w:before="0" w:line="240" w:lineRule="auto"/>
        <w:ind w:left="0" w:right="0" w:firstLine="0"/>
        <w:jc w:val="left"/>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1</w:t>
      </w:r>
      <w:bookmarkEnd w:id="145"/>
      <w:r>
        <w:rPr>
          <w:color w:val="000000"/>
          <w:spacing w:val="0"/>
          <w:w w:val="100"/>
          <w:position w:val="0"/>
        </w:rPr>
        <w:t>、总体情况</w:t>
      </w:r>
      <w:bookmarkEnd w:id="143"/>
      <w:bookmarkEnd w:id="144"/>
      <w:bookmarkEnd w:id="146"/>
    </w:p>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86,392,130.08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160,756,769.86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-46.26%</w:t>
            </w:r>
          </w:p>
        </w:tc>
      </w:tr>
    </w:tbl>
    <w:p>
      <w:pPr>
        <w:widowControl w:val="0"/>
        <w:spacing w:after="359" w:line="1" w:lineRule="exact"/>
      </w:pPr>
    </w:p>
    <w:p>
      <w:pPr>
        <w:pStyle w:val="Style31"/>
        <w:keepNext/>
        <w:keepLines/>
        <w:widowControl w:val="0"/>
        <w:shd w:val="clear" w:color="auto" w:fill="auto"/>
        <w:tabs>
          <w:tab w:pos="378" w:val="left"/>
        </w:tabs>
        <w:bidi w:val="0"/>
        <w:spacing w:before="0" w:line="240" w:lineRule="auto"/>
        <w:ind w:left="0" w:right="0" w:firstLine="0"/>
        <w:jc w:val="left"/>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2</w:t>
      </w:r>
      <w:bookmarkEnd w:id="149"/>
      <w:r>
        <w:rPr>
          <w:color w:val="000000"/>
          <w:spacing w:val="0"/>
          <w:w w:val="100"/>
          <w:position w:val="0"/>
        </w:rPr>
        <w:t>、</w:t>
        <w:tab/>
        <w:t>报告期内获取的重大的股权投资情况</w:t>
      </w:r>
      <w:bookmarkEnd w:id="147"/>
      <w:bookmarkEnd w:id="148"/>
      <w:bookmarkEnd w:id="150"/>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3</w:t>
      </w:r>
      <w:bookmarkEnd w:id="153"/>
      <w:r>
        <w:rPr>
          <w:color w:val="000000"/>
          <w:spacing w:val="0"/>
          <w:w w:val="100"/>
          <w:position w:val="0"/>
        </w:rPr>
        <w:t>、</w:t>
        <w:tab/>
        <w:t>报告期内正在进行的重大的非股权投资情况</w:t>
      </w:r>
      <w:bookmarkEnd w:id="151"/>
      <w:bookmarkEnd w:id="152"/>
      <w:bookmarkEnd w:id="154"/>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54"/>
        <w:gridCol w:w="566"/>
        <w:gridCol w:w="710"/>
        <w:gridCol w:w="706"/>
        <w:gridCol w:w="994"/>
        <w:gridCol w:w="850"/>
        <w:gridCol w:w="979"/>
        <w:gridCol w:w="653"/>
        <w:gridCol w:w="653"/>
        <w:gridCol w:w="653"/>
        <w:gridCol w:w="653"/>
        <w:gridCol w:w="648"/>
        <w:gridCol w:w="662"/>
      </w:tblGrid>
      <w:tr>
        <w:trPr>
          <w:trHeight w:val="165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固定资</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投资项 目涉及 行业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本报告期投 入金额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截至报告 期末累计 实际投入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项目进 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3" w:lineRule="exact"/>
              <w:ind w:left="0" w:right="0" w:firstLine="0"/>
              <w:jc w:val="center"/>
            </w:pPr>
            <w:r>
              <w:rPr>
                <w:color w:val="000000"/>
                <w:spacing w:val="0"/>
                <w:w w:val="100"/>
                <w:position w:val="0"/>
              </w:rPr>
              <w:t>预计收 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截止报</w:t>
            </w:r>
          </w:p>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告期末</w:t>
            </w:r>
          </w:p>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累计实</w:t>
            </w:r>
          </w:p>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现的收 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 计划进 度和预 计收益 的原因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期（如</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披露索 引（如 有）</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建科院未</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来大厦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63,464,412.</w:t>
            </w:r>
          </w:p>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479,253,5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63,464,412.</w:t>
            </w:r>
          </w:p>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479,253,5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54.36</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2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20"/>
        <w:keepNext w:val="0"/>
        <w:keepLines w:val="0"/>
        <w:widowControl w:val="0"/>
        <w:shd w:val="clear" w:color="auto" w:fill="auto"/>
        <w:bidi w:val="0"/>
        <w:spacing w:before="0" w:after="60" w:line="317" w:lineRule="exact"/>
        <w:ind w:left="0" w:right="0" w:firstLine="0"/>
        <w:jc w:val="left"/>
      </w:pPr>
      <w:r>
        <w:rPr>
          <w:color w:val="000000"/>
          <w:spacing w:val="0"/>
          <w:w w:val="100"/>
          <w:position w:val="0"/>
        </w:rPr>
        <w:t>注：</w:t>
      </w:r>
    </w:p>
    <w:p>
      <w:pPr>
        <w:pStyle w:val="Style20"/>
        <w:keepNext w:val="0"/>
        <w:keepLines w:val="0"/>
        <w:widowControl w:val="0"/>
        <w:shd w:val="clear" w:color="auto" w:fill="auto"/>
        <w:tabs>
          <w:tab w:pos="349" w:val="left"/>
        </w:tabs>
        <w:bidi w:val="0"/>
        <w:spacing w:before="0" w:after="60" w:line="317" w:lineRule="exact"/>
        <w:ind w:left="0" w:right="0" w:firstLine="0"/>
        <w:jc w:val="left"/>
      </w:pPr>
      <w:bookmarkStart w:id="155" w:name="bookmark155"/>
      <w:r>
        <w:rPr>
          <w:rFonts w:ascii="Times New Roman" w:eastAsia="Times New Roman" w:hAnsi="Times New Roman" w:cs="Times New Roman"/>
          <w:color w:val="000000"/>
          <w:spacing w:val="0"/>
          <w:w w:val="100"/>
          <w:position w:val="0"/>
        </w:rPr>
        <w:t>1</w:t>
      </w:r>
      <w:bookmarkEnd w:id="155"/>
      <w:r>
        <w:rPr>
          <w:color w:val="000000"/>
          <w:spacing w:val="0"/>
          <w:w w:val="100"/>
          <w:position w:val="0"/>
        </w:rPr>
        <w:t>）</w:t>
        <w:tab/>
        <w:t>截至报告期末，未来大厦项目累计投入金额包含土地原值</w:t>
      </w:r>
      <w:r>
        <w:rPr>
          <w:rFonts w:ascii="Times New Roman" w:eastAsia="Times New Roman" w:hAnsi="Times New Roman" w:cs="Times New Roman"/>
          <w:color w:val="000000"/>
          <w:spacing w:val="0"/>
          <w:w w:val="100"/>
          <w:position w:val="0"/>
        </w:rPr>
        <w:t>6,901</w:t>
      </w:r>
      <w:r>
        <w:rPr>
          <w:color w:val="000000"/>
          <w:spacing w:val="0"/>
          <w:w w:val="100"/>
          <w:position w:val="0"/>
        </w:rPr>
        <w:t>万元。</w:t>
      </w:r>
    </w:p>
    <w:p>
      <w:pPr>
        <w:pStyle w:val="Style20"/>
        <w:keepNext w:val="0"/>
        <w:keepLines w:val="0"/>
        <w:widowControl w:val="0"/>
        <w:shd w:val="clear" w:color="auto" w:fill="auto"/>
        <w:tabs>
          <w:tab w:pos="368" w:val="left"/>
        </w:tabs>
        <w:bidi w:val="0"/>
        <w:spacing w:before="0" w:after="360" w:line="317" w:lineRule="exact"/>
        <w:ind w:left="0" w:right="0" w:firstLine="0"/>
        <w:jc w:val="left"/>
      </w:pPr>
      <w:bookmarkStart w:id="156" w:name="bookmark156"/>
      <w:r>
        <w:rPr>
          <w:rFonts w:ascii="Times New Roman" w:eastAsia="Times New Roman" w:hAnsi="Times New Roman" w:cs="Times New Roman"/>
          <w:color w:val="000000"/>
          <w:spacing w:val="0"/>
          <w:w w:val="100"/>
          <w:position w:val="0"/>
        </w:rPr>
        <w:t>2</w:t>
      </w:r>
      <w:bookmarkEnd w:id="156"/>
      <w:r>
        <w:rPr>
          <w:color w:val="000000"/>
          <w:spacing w:val="0"/>
          <w:w w:val="100"/>
          <w:position w:val="0"/>
        </w:rPr>
        <w:t>）</w:t>
        <w:tab/>
        <w:t>截至报告期末，未来大厦项目进度是基于公司</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年度股东大会批准项目估算总投资从</w:t>
      </w:r>
      <w:r>
        <w:rPr>
          <w:rFonts w:ascii="Times New Roman" w:eastAsia="Times New Roman" w:hAnsi="Times New Roman" w:cs="Times New Roman"/>
          <w:color w:val="000000"/>
          <w:spacing w:val="0"/>
          <w:w w:val="100"/>
          <w:position w:val="0"/>
        </w:rPr>
        <w:t>47,948</w:t>
      </w:r>
      <w:r>
        <w:rPr>
          <w:color w:val="000000"/>
          <w:spacing w:val="0"/>
          <w:w w:val="100"/>
          <w:position w:val="0"/>
        </w:rPr>
        <w:t>万元调至</w:t>
      </w:r>
      <w:r>
        <w:rPr>
          <w:rFonts w:ascii="Times New Roman" w:eastAsia="Times New Roman" w:hAnsi="Times New Roman" w:cs="Times New Roman"/>
          <w:color w:val="000000"/>
          <w:spacing w:val="0"/>
          <w:w w:val="100"/>
          <w:position w:val="0"/>
        </w:rPr>
        <w:t>57,515</w:t>
      </w:r>
      <w:r>
        <w:rPr>
          <w:color w:val="000000"/>
          <w:spacing w:val="0"/>
          <w:w w:val="100"/>
          <w:position w:val="0"/>
        </w:rPr>
        <w:t>万元计 算的进度，具体情况详见公司于巨潮资讯网披露的公告（公告编号：</w:t>
      </w:r>
      <w:r>
        <w:rPr>
          <w:rFonts w:ascii="Times New Roman" w:eastAsia="Times New Roman" w:hAnsi="Times New Roman" w:cs="Times New Roman"/>
          <w:color w:val="000000"/>
          <w:spacing w:val="0"/>
          <w:w w:val="100"/>
          <w:position w:val="0"/>
        </w:rPr>
        <w:t>2021-025</w:t>
      </w:r>
      <w:r>
        <w:rPr>
          <w:color w:val="000000"/>
          <w:spacing w:val="0"/>
          <w:w w:val="100"/>
          <w:position w:val="0"/>
        </w:rPr>
        <w:t>、</w:t>
      </w:r>
      <w:r>
        <w:rPr>
          <w:rFonts w:ascii="Times New Roman" w:eastAsia="Times New Roman" w:hAnsi="Times New Roman" w:cs="Times New Roman"/>
          <w:color w:val="000000"/>
          <w:spacing w:val="0"/>
          <w:w w:val="100"/>
          <w:position w:val="0"/>
        </w:rPr>
        <w:t>2021-030</w:t>
      </w:r>
      <w:r>
        <w:rPr>
          <w:color w:val="000000"/>
          <w:spacing w:val="0"/>
          <w:w w:val="100"/>
          <w:position w:val="0"/>
        </w:rPr>
        <w:t>）。</w:t>
      </w:r>
    </w:p>
    <w:p>
      <w:pPr>
        <w:pStyle w:val="Style31"/>
        <w:keepNext/>
        <w:keepLines/>
        <w:widowControl w:val="0"/>
        <w:shd w:val="clear" w:color="auto" w:fill="auto"/>
        <w:bidi w:val="0"/>
        <w:spacing w:before="0" w:after="260" w:line="240" w:lineRule="auto"/>
        <w:ind w:left="0" w:right="0" w:firstLine="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4</w:t>
      </w:r>
      <w:bookmarkEnd w:id="159"/>
      <w:r>
        <w:rPr>
          <w:color w:val="000000"/>
          <w:spacing w:val="0"/>
          <w:w w:val="100"/>
          <w:position w:val="0"/>
        </w:rPr>
        <w:t>、以公允价值计量的金融资产</w:t>
      </w:r>
      <w:bookmarkEnd w:id="157"/>
      <w:bookmarkEnd w:id="158"/>
      <w:bookmarkEnd w:id="160"/>
    </w:p>
    <w:p>
      <w:pPr>
        <w:pStyle w:val="Style20"/>
        <w:keepNext w:val="0"/>
        <w:keepLines w:val="0"/>
        <w:widowControl w:val="0"/>
        <w:shd w:val="clear" w:color="auto" w:fill="auto"/>
        <w:bidi w:val="0"/>
        <w:spacing w:before="0" w:after="120" w:line="317" w:lineRule="exact"/>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21"/>
        <w:gridCol w:w="850"/>
        <w:gridCol w:w="994"/>
        <w:gridCol w:w="1416"/>
        <w:gridCol w:w="1133"/>
        <w:gridCol w:w="1138"/>
        <w:gridCol w:w="706"/>
        <w:gridCol w:w="1277"/>
        <w:gridCol w:w="124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初始投资 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计入权益的累计 公允价值变动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报告期内购 入金额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报告期内售</w:t>
            </w:r>
          </w:p>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出金额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累计投</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资收益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4,640,936.86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4,640,936.86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应收款项融资</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4,640,936.86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4,640,936.86</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31"/>
        <w:keepNext/>
        <w:keepLines/>
        <w:widowControl w:val="0"/>
        <w:shd w:val="clear" w:color="auto" w:fill="auto"/>
        <w:bidi w:val="0"/>
        <w:spacing w:before="0" w:line="240" w:lineRule="auto"/>
        <w:ind w:left="0" w:right="0" w:firstLine="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5</w:t>
      </w:r>
      <w:bookmarkEnd w:id="163"/>
      <w:r>
        <w:rPr>
          <w:color w:val="000000"/>
          <w:spacing w:val="0"/>
          <w:w w:val="100"/>
          <w:position w:val="0"/>
        </w:rPr>
        <w:t>、募集资金使用情况</w:t>
      </w:r>
      <w:bookmarkEnd w:id="161"/>
      <w:bookmarkEnd w:id="162"/>
      <w:bookmarkEnd w:id="164"/>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keepLines/>
        <w:widowControl w:val="0"/>
        <w:numPr>
          <w:ilvl w:val="0"/>
          <w:numId w:val="17"/>
        </w:numPr>
        <w:shd w:val="clear" w:color="auto" w:fill="auto"/>
        <w:bidi w:val="0"/>
        <w:spacing w:before="0" w:line="240" w:lineRule="auto"/>
        <w:ind w:left="0" w:right="0" w:firstLine="0"/>
        <w:jc w:val="left"/>
      </w:pPr>
      <w:bookmarkStart w:id="165" w:name="bookmark165"/>
      <w:bookmarkStart w:id="166" w:name="bookmark166"/>
      <w:bookmarkStart w:id="167" w:name="bookmark167"/>
      <w:bookmarkStart w:id="168" w:name="bookmark168"/>
      <w:bookmarkEnd w:id="167"/>
      <w:r>
        <w:rPr>
          <w:color w:val="000000"/>
          <w:spacing w:val="0"/>
          <w:w w:val="100"/>
          <w:position w:val="0"/>
        </w:rPr>
        <w:t>募集资金总体使用情况</w:t>
      </w:r>
      <w:bookmarkEnd w:id="165"/>
      <w:bookmarkEnd w:id="166"/>
      <w:bookmarkEnd w:id="168"/>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9"/>
        <w:gridCol w:w="869"/>
        <w:gridCol w:w="874"/>
        <w:gridCol w:w="869"/>
        <w:gridCol w:w="869"/>
        <w:gridCol w:w="869"/>
        <w:gridCol w:w="869"/>
        <w:gridCol w:w="874"/>
        <w:gridCol w:w="869"/>
        <w:gridCol w:w="878"/>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本期已使</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用募集资</w:t>
            </w:r>
          </w:p>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23"/>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累计变更</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用途的募</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集资金总</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尚未使用</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募集资金</w:t>
            </w:r>
          </w:p>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 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10,739.76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769.6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9,411.58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1,328.18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10,739.76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769.6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9,411.58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1,328.18</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699" w:hRule="exact"/>
        </w:trPr>
        <w:tc>
          <w:tcPr>
            <w:gridSpan w:val="11"/>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日，公司对募集资金项目累计投入人民币</w:t>
            </w:r>
            <w:r>
              <w:rPr>
                <w:rFonts w:ascii="Times New Roman" w:eastAsia="Times New Roman" w:hAnsi="Times New Roman" w:cs="Times New Roman"/>
                <w:color w:val="000000"/>
                <w:spacing w:val="0"/>
                <w:w w:val="100"/>
                <w:position w:val="0"/>
              </w:rPr>
              <w:t>9,411.58</w:t>
            </w:r>
            <w:r>
              <w:rPr>
                <w:color w:val="000000"/>
                <w:spacing w:val="0"/>
                <w:w w:val="100"/>
                <w:position w:val="0"/>
              </w:rPr>
              <w:t>万元，其中：公司于募集资金到位之前利用自 有资金先期投入募集资金项目人民币</w:t>
            </w:r>
            <w:r>
              <w:rPr>
                <w:rFonts w:ascii="Times New Roman" w:eastAsia="Times New Roman" w:hAnsi="Times New Roman" w:cs="Times New Roman"/>
                <w:color w:val="000000"/>
                <w:spacing w:val="0"/>
                <w:w w:val="100"/>
                <w:position w:val="0"/>
              </w:rPr>
              <w:t>4,819.44</w:t>
            </w:r>
            <w:r>
              <w:rPr>
                <w:color w:val="000000"/>
                <w:spacing w:val="0"/>
                <w:w w:val="100"/>
                <w:position w:val="0"/>
              </w:rPr>
              <w:t>万元，该自筹投入资金经立信会计师事务所(特殊普通合伙)出具</w:t>
            </w:r>
            <w:r>
              <w:rPr>
                <w:rFonts w:ascii="Times New Roman" w:eastAsia="Times New Roman" w:hAnsi="Times New Roman" w:cs="Times New Roman"/>
                <w:color w:val="000000"/>
                <w:spacing w:val="0"/>
                <w:w w:val="100"/>
                <w:position w:val="0"/>
              </w:rPr>
              <w:t>“</w:t>
            </w:r>
            <w:r>
              <w:rPr>
                <w:color w:val="000000"/>
                <w:spacing w:val="0"/>
                <w:w w:val="100"/>
                <w:position w:val="0"/>
              </w:rPr>
              <w:t>信会师 字</w:t>
            </w:r>
            <w:r>
              <w:rPr>
                <w:rFonts w:ascii="Times New Roman" w:eastAsia="Times New Roman" w:hAnsi="Times New Roman" w:cs="Times New Roman"/>
                <w:color w:val="000000"/>
                <w:spacing w:val="0"/>
                <w:w w:val="100"/>
                <w:position w:val="0"/>
              </w:rPr>
              <w:t>[2017]10675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鉴证报告确认。募集资金专户收到利息收入(含现金管理收益)扣除手续费净额人民币</w:t>
            </w:r>
            <w:r>
              <w:rPr>
                <w:rFonts w:ascii="Times New Roman" w:eastAsia="Times New Roman" w:hAnsi="Times New Roman" w:cs="Times New Roman"/>
                <w:color w:val="000000"/>
                <w:spacing w:val="0"/>
                <w:w w:val="100"/>
                <w:position w:val="0"/>
              </w:rPr>
              <w:t>318.08</w:t>
            </w:r>
            <w:r>
              <w:rPr>
                <w:color w:val="000000"/>
                <w:spacing w:val="0"/>
                <w:w w:val="100"/>
                <w:position w:val="0"/>
              </w:rPr>
              <w:t>万元。 资金使用完毕的两个项目募集资金专户销户余额转出</w:t>
            </w:r>
            <w:r>
              <w:rPr>
                <w:rFonts w:ascii="Times New Roman" w:eastAsia="Times New Roman" w:hAnsi="Times New Roman" w:cs="Times New Roman"/>
                <w:color w:val="000000"/>
                <w:spacing w:val="0"/>
                <w:w w:val="100"/>
                <w:position w:val="0"/>
              </w:rPr>
              <w:t>0.56</w:t>
            </w:r>
            <w:r>
              <w:rPr>
                <w:color w:val="000000"/>
                <w:spacing w:val="0"/>
                <w:w w:val="100"/>
                <w:position w:val="0"/>
              </w:rPr>
              <w:t>万元。</w:t>
            </w:r>
          </w:p>
          <w:p>
            <w:pPr>
              <w:pStyle w:val="Style23"/>
              <w:keepNext w:val="0"/>
              <w:keepLines w:val="0"/>
              <w:widowControl w:val="0"/>
              <w:shd w:val="clear" w:color="auto" w:fill="auto"/>
              <w:bidi w:val="0"/>
              <w:spacing w:before="0" w:after="0" w:line="315"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日，募集资金账户余额为人民币</w:t>
            </w:r>
            <w:r>
              <w:rPr>
                <w:rFonts w:ascii="Times New Roman" w:eastAsia="Times New Roman" w:hAnsi="Times New Roman" w:cs="Times New Roman"/>
                <w:color w:val="000000"/>
                <w:spacing w:val="0"/>
                <w:w w:val="100"/>
                <w:position w:val="0"/>
              </w:rPr>
              <w:t>1,684.06</w:t>
            </w:r>
            <w:r>
              <w:rPr>
                <w:color w:val="000000"/>
                <w:spacing w:val="0"/>
                <w:w w:val="100"/>
                <w:position w:val="0"/>
              </w:rPr>
              <w:t>万，暂无用于现金管理的闲置募集资金。</w:t>
            </w:r>
          </w:p>
        </w:tc>
      </w:tr>
    </w:tbl>
    <w:p>
      <w:pPr>
        <w:widowControl w:val="0"/>
        <w:spacing w:after="359" w:line="1" w:lineRule="exact"/>
      </w:pPr>
    </w:p>
    <w:p>
      <w:pPr>
        <w:pStyle w:val="Style31"/>
        <w:keepNext/>
        <w:keepLines/>
        <w:widowControl w:val="0"/>
        <w:numPr>
          <w:ilvl w:val="0"/>
          <w:numId w:val="17"/>
        </w:numPr>
        <w:shd w:val="clear" w:color="auto" w:fill="auto"/>
        <w:bidi w:val="0"/>
        <w:spacing w:before="0" w:line="240" w:lineRule="auto"/>
        <w:ind w:left="0" w:right="0" w:firstLine="0"/>
        <w:jc w:val="left"/>
      </w:pPr>
      <w:bookmarkStart w:id="169" w:name="bookmark169"/>
      <w:bookmarkStart w:id="170" w:name="bookmark170"/>
      <w:bookmarkStart w:id="171" w:name="bookmark171"/>
      <w:bookmarkStart w:id="172" w:name="bookmark172"/>
      <w:bookmarkEnd w:id="171"/>
      <w:r>
        <w:rPr>
          <w:color w:val="000000"/>
          <w:spacing w:val="0"/>
          <w:w w:val="100"/>
          <w:position w:val="0"/>
        </w:rPr>
        <w:t>募集资金承诺项目情况</w:t>
      </w:r>
      <w:bookmarkEnd w:id="169"/>
      <w:bookmarkEnd w:id="170"/>
      <w:bookmarkEnd w:id="172"/>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098"/>
        <w:gridCol w:w="706"/>
        <w:gridCol w:w="854"/>
        <w:gridCol w:w="850"/>
        <w:gridCol w:w="566"/>
        <w:gridCol w:w="850"/>
        <w:gridCol w:w="850"/>
        <w:gridCol w:w="710"/>
        <w:gridCol w:w="566"/>
        <w:gridCol w:w="566"/>
        <w:gridCol w:w="427"/>
        <w:gridCol w:w="538"/>
      </w:tblGrid>
      <w:tr>
        <w:trPr>
          <w:trHeight w:val="228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承诺投资项目和超募资金 投向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是否已 变更项 目</w:t>
            </w:r>
            <w:r>
              <w:rPr>
                <w:rFonts w:ascii="Times New Roman" w:eastAsia="Times New Roman" w:hAnsi="Times New Roman" w:cs="Times New Roman"/>
                <w:color w:val="000000"/>
                <w:spacing w:val="0"/>
                <w:w w:val="100"/>
                <w:position w:val="0"/>
              </w:rPr>
              <w:t>(</w:t>
            </w:r>
            <w:r>
              <w:rPr>
                <w:color w:val="000000"/>
                <w:spacing w:val="0"/>
                <w:w w:val="100"/>
                <w:position w:val="0"/>
              </w:rPr>
              <w:t>含部 分变更</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承诺投资</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调整后投</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资总额</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 告期 投入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截至期末 投资进度</w:t>
            </w:r>
          </w:p>
          <w:p>
            <w:pPr>
              <w:pStyle w:val="Style23"/>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3"/>
              <w:keepNext w:val="0"/>
              <w:keepLines w:val="0"/>
              <w:widowControl w:val="0"/>
              <w:shd w:val="clear" w:color="auto" w:fill="auto"/>
              <w:bidi w:val="0"/>
              <w:spacing w:before="0" w:after="0"/>
              <w:ind w:left="0" w:right="0" w:firstLine="18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8" w:lineRule="exact"/>
              <w:ind w:left="0" w:right="0" w:firstLine="0"/>
              <w:jc w:val="center"/>
            </w:pPr>
            <w:r>
              <w:rPr>
                <w:color w:val="000000"/>
                <w:spacing w:val="0"/>
                <w:w w:val="100"/>
                <w:position w:val="0"/>
              </w:rPr>
              <w:t>本报 告期 实现 的效 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截止 报告 期末 累计 实现 的效 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是否 达到 预计 效益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项目 可行 性是 否发 生重 大变 化</w:t>
            </w: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上海钢琴厂低碳化升级改 造及运营</w:t>
            </w:r>
            <w:r>
              <w:rPr>
                <w:color w:val="000000"/>
                <w:spacing w:val="0"/>
                <w:w w:val="100"/>
                <w:position w:val="0"/>
              </w:rPr>
              <w:t>(</w:t>
            </w:r>
            <w:r>
              <w:rPr>
                <w:rFonts w:ascii="Times New Roman" w:eastAsia="Times New Roman" w:hAnsi="Times New Roman" w:cs="Times New Roman"/>
                <w:color w:val="000000"/>
                <w:spacing w:val="0"/>
                <w:w w:val="100"/>
                <w:position w:val="0"/>
              </w:rPr>
              <w:t>DOT</w:t>
            </w:r>
            <w:r>
              <w:rPr>
                <w:color w:val="000000"/>
                <w:spacing w:val="0"/>
                <w:w w:val="100"/>
                <w:position w:val="0"/>
              </w:rPr>
              <w:t>)</w:t>
            </w: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6,044.42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476.84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线上运营平台及乐活系统 建设项目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不适 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低碳建筑研究及社区级应</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否</w:t>
            </w:r>
          </w:p>
        </w:tc>
      </w:tr>
    </w:tbl>
    <w:p>
      <w:pPr>
        <w:sectPr>
          <w:footnotePr>
            <w:pos w:val="pageBottom"/>
            <w:numFmt w:val="decimal"/>
            <w:numRestart w:val="continuous"/>
          </w:footnotePr>
          <w:pgSz w:w="11900" w:h="16840"/>
          <w:pgMar w:top="1471" w:right="966" w:bottom="1305" w:left="1028" w:header="0" w:footer="3" w:gutter="0"/>
          <w:cols w:space="720"/>
          <w:noEndnote/>
          <w:rtlGutter w:val="0"/>
          <w:docGrid w:linePitch="360"/>
        </w:sectPr>
      </w:pPr>
    </w:p>
    <w:tbl>
      <w:tblPr>
        <w:tblOverlap w:val="never"/>
        <w:jc w:val="center"/>
        <w:tblLayout w:type="fixed"/>
      </w:tblPr>
      <w:tblGrid>
        <w:gridCol w:w="2155"/>
        <w:gridCol w:w="706"/>
        <w:gridCol w:w="854"/>
        <w:gridCol w:w="850"/>
        <w:gridCol w:w="566"/>
        <w:gridCol w:w="850"/>
        <w:gridCol w:w="850"/>
        <w:gridCol w:w="710"/>
        <w:gridCol w:w="566"/>
        <w:gridCol w:w="566"/>
        <w:gridCol w:w="427"/>
        <w:gridCol w:w="600"/>
      </w:tblGrid>
      <w:tr>
        <w:trPr>
          <w:trHeight w:val="629" w:hRule="exact"/>
        </w:trPr>
        <w:tc>
          <w:tcPr>
            <w:gridSpan w:val="6"/>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深圳市建筑科</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［学研究院月</w:t>
            </w:r>
          </w:p>
        </w:tc>
        <w:tc>
          <w:tcPr>
            <w:gridSpan w:val="5"/>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殳份有限公司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年年度报告全文</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用服务实验基地项目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10,739.76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10,739.76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9,411.58</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476.84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935.56</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w:t>
            </w: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归还银行贷款（如有）</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补充流动资金（如有）</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10,739.76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10,739.76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9,411.58</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476.84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935.56</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w:t>
            </w:r>
          </w:p>
        </w:tc>
      </w:tr>
      <w:tr>
        <w:trPr>
          <w:trHeight w:val="196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未达到计划进度或预计收 益的情况和原因（分具体 项目）</w:t>
            </w:r>
          </w:p>
        </w:tc>
        <w:tc>
          <w:tcPr>
            <w:gridSpan w:val="11"/>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募投项目</w:t>
            </w:r>
            <w:r>
              <w:rPr>
                <w:rFonts w:ascii="Times New Roman" w:eastAsia="Times New Roman" w:hAnsi="Times New Roman" w:cs="Times New Roman"/>
                <w:color w:val="000000"/>
                <w:spacing w:val="0"/>
                <w:w w:val="100"/>
                <w:position w:val="0"/>
              </w:rPr>
              <w:t>“</w:t>
            </w:r>
            <w:r>
              <w:rPr>
                <w:color w:val="000000"/>
                <w:spacing w:val="0"/>
                <w:w w:val="100"/>
                <w:position w:val="0"/>
              </w:rPr>
              <w:t>线上运营平台及乐活系统建设项目</w:t>
            </w:r>
            <w:r>
              <w:rPr>
                <w:rFonts w:ascii="Times New Roman" w:eastAsia="Times New Roman" w:hAnsi="Times New Roman" w:cs="Times New Roman"/>
                <w:color w:val="000000"/>
                <w:spacing w:val="0"/>
                <w:w w:val="100"/>
                <w:position w:val="0"/>
              </w:rPr>
              <w:t>”</w:t>
            </w:r>
            <w:r>
              <w:rPr>
                <w:color w:val="000000"/>
                <w:spacing w:val="0"/>
                <w:w w:val="100"/>
                <w:position w:val="0"/>
              </w:rPr>
              <w:t>受项目迭代先决条件及需求提升的影响，公司结 合目前募投项目的实际进展情况，在项目的实施主体、实施方式均未发生变更的情况下，调整 该项目预计投入完成时间至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日，以更好地推动项目的迭代升级。该募投项目延 期的议案经公司第三届董事会第八次临时会议和第三届监事会第七次临时会议通过，具体情况 详见公司在巨潮资讯网披露的《关于部分募投项目延期的公告》（公告编号：</w:t>
            </w:r>
            <w:r>
              <w:rPr>
                <w:rFonts w:ascii="Times New Roman" w:eastAsia="Times New Roman" w:hAnsi="Times New Roman" w:cs="Times New Roman"/>
                <w:color w:val="000000"/>
                <w:spacing w:val="0"/>
                <w:w w:val="100"/>
                <w:position w:val="0"/>
              </w:rPr>
              <w:t>2021-066</w:t>
            </w:r>
            <w:r>
              <w:rPr>
                <w:color w:val="000000"/>
                <w:spacing w:val="0"/>
                <w:w w:val="100"/>
                <w:position w:val="0"/>
              </w:rPr>
              <w:t>）。公司 将继续按建设计划实施该募投项目。</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项目可行性发生重大变化 的情况说明</w:t>
            </w:r>
          </w:p>
        </w:tc>
        <w:tc>
          <w:tcPr>
            <w:gridSpan w:val="11"/>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超募资金的金额、用途及 使用进展情况</w:t>
            </w:r>
          </w:p>
        </w:tc>
        <w:tc>
          <w:tcPr>
            <w:gridSpan w:val="11"/>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3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募集资金投资项目实施地 点变更情况</w:t>
            </w:r>
          </w:p>
        </w:tc>
        <w:tc>
          <w:tcPr>
            <w:gridSpan w:val="11"/>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募集资金投资项目实施方</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式调整情况</w:t>
            </w:r>
          </w:p>
        </w:tc>
        <w:tc>
          <w:tcPr>
            <w:gridSpan w:val="11"/>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募集资金投资项目先期投 入及置换情况</w:t>
            </w:r>
          </w:p>
        </w:tc>
        <w:tc>
          <w:tcPr>
            <w:gridSpan w:val="11"/>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651"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公司于募集资金到位之前利用自有资金先期投入募集资金项目人民币</w:t>
            </w:r>
            <w:r>
              <w:rPr>
                <w:rFonts w:ascii="Times New Roman" w:eastAsia="Times New Roman" w:hAnsi="Times New Roman" w:cs="Times New Roman"/>
                <w:color w:val="000000"/>
                <w:spacing w:val="0"/>
                <w:w w:val="100"/>
                <w:position w:val="0"/>
              </w:rPr>
              <w:t>48,194,430.82</w:t>
            </w:r>
            <w:r>
              <w:rPr>
                <w:color w:val="000000"/>
                <w:spacing w:val="0"/>
                <w:w w:val="100"/>
                <w:position w:val="0"/>
              </w:rPr>
              <w:t>元，经公 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 xml:space="preserve">日召开的第二届董事会第二次定期会议、第二届监事会第三次会议审议通 过，并经保荐人核查同意，公司以募集资金置换预先已投入募集资金投资项目的自筹资金 </w:t>
            </w:r>
            <w:r>
              <w:rPr>
                <w:rFonts w:ascii="Times New Roman" w:eastAsia="Times New Roman" w:hAnsi="Times New Roman" w:cs="Times New Roman"/>
                <w:color w:val="000000"/>
                <w:spacing w:val="0"/>
                <w:w w:val="100"/>
                <w:position w:val="0"/>
              </w:rPr>
              <w:t>48,194,430.82</w:t>
            </w:r>
            <w:r>
              <w:rPr>
                <w:color w:val="000000"/>
                <w:spacing w:val="0"/>
                <w:w w:val="100"/>
                <w:position w:val="0"/>
              </w:rPr>
              <w:t>元，上述置换事项及置换金额业经立信会计师事务所（特殊普通合伙）出具</w:t>
            </w:r>
            <w:r>
              <w:rPr>
                <w:rFonts w:ascii="Times New Roman" w:eastAsia="Times New Roman" w:hAnsi="Times New Roman" w:cs="Times New Roman"/>
                <w:color w:val="000000"/>
                <w:spacing w:val="0"/>
                <w:w w:val="100"/>
                <w:position w:val="0"/>
              </w:rPr>
              <w:t>“</w:t>
            </w:r>
            <w:r>
              <w:rPr>
                <w:color w:val="000000"/>
                <w:spacing w:val="0"/>
                <w:w w:val="100"/>
                <w:position w:val="0"/>
              </w:rPr>
              <w:t>信 会师报字</w:t>
            </w:r>
            <w:r>
              <w:rPr>
                <w:rFonts w:ascii="Times New Roman" w:eastAsia="Times New Roman" w:hAnsi="Times New Roman" w:cs="Times New Roman"/>
                <w:color w:val="000000"/>
                <w:spacing w:val="0"/>
                <w:w w:val="100"/>
                <w:position w:val="0"/>
              </w:rPr>
              <w:t>［2017］10675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鉴证报告确认。</w:t>
            </w:r>
          </w:p>
        </w:tc>
      </w:tr>
      <w:tr>
        <w:trPr>
          <w:trHeight w:val="80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用闲置募集资金暂时补充</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流动资金情况</w:t>
            </w:r>
          </w:p>
        </w:tc>
        <w:tc>
          <w:tcPr>
            <w:gridSpan w:val="11"/>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80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项目实施出现募集资金结 余的金额及原因</w:t>
            </w:r>
          </w:p>
        </w:tc>
        <w:tc>
          <w:tcPr>
            <w:gridSpan w:val="11"/>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尚未使用的募集资金用途 及去向</w:t>
            </w:r>
          </w:p>
        </w:tc>
        <w:tc>
          <w:tcPr>
            <w:gridSpan w:val="11"/>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未使用的募集资金存放于募集资金专户中，公司将根据项目进度妥善安排募集资金的使用。</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募集资金使用及披露中存 在的问题或其他情况</w:t>
            </w:r>
          </w:p>
        </w:tc>
        <w:tc>
          <w:tcPr>
            <w:gridSpan w:val="11"/>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sectPr>
          <w:footnotePr>
            <w:pos w:val="pageBottom"/>
            <w:numFmt w:val="decimal"/>
            <w:numRestart w:val="continuous"/>
          </w:footnotePr>
          <w:pgSz w:w="11900" w:h="16840"/>
          <w:pgMar w:top="822" w:right="1100" w:bottom="1153" w:left="1100" w:header="0" w:footer="3" w:gutter="0"/>
          <w:cols w:space="720"/>
          <w:noEndnote/>
          <w:rtlGutter w:val="0"/>
          <w:docGrid w:linePitch="360"/>
        </w:sectPr>
      </w:pPr>
    </w:p>
    <w:p>
      <w:pPr>
        <w:pStyle w:val="Style31"/>
        <w:keepNext/>
        <w:keepLines/>
        <w:widowControl w:val="0"/>
        <w:numPr>
          <w:ilvl w:val="0"/>
          <w:numId w:val="17"/>
        </w:numPr>
        <w:pBdr>
          <w:top w:val="single" w:sz="4" w:space="0" w:color="auto"/>
        </w:pBdr>
        <w:shd w:val="clear" w:color="auto" w:fill="auto"/>
        <w:bidi w:val="0"/>
        <w:spacing w:before="0" w:line="240" w:lineRule="auto"/>
        <w:ind w:left="0" w:right="0" w:firstLine="0"/>
        <w:jc w:val="left"/>
      </w:pPr>
      <w:bookmarkStart w:id="173" w:name="bookmark173"/>
      <w:bookmarkStart w:id="174" w:name="bookmark174"/>
      <w:bookmarkStart w:id="175" w:name="bookmark175"/>
      <w:bookmarkStart w:id="176" w:name="bookmark176"/>
      <w:bookmarkEnd w:id="175"/>
      <w:r>
        <w:rPr>
          <w:color w:val="000000"/>
          <w:spacing w:val="0"/>
          <w:w w:val="100"/>
          <w:position w:val="0"/>
        </w:rPr>
        <w:t>募集资金变更项目情况</w:t>
      </w:r>
      <w:bookmarkEnd w:id="173"/>
      <w:bookmarkEnd w:id="174"/>
      <w:bookmarkEnd w:id="176"/>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6"/>
        <w:keepNext w:val="0"/>
        <w:keepLines w:val="0"/>
        <w:widowControl w:val="0"/>
        <w:shd w:val="clear" w:color="auto" w:fill="auto"/>
        <w:tabs>
          <w:tab w:pos="517" w:val="left"/>
        </w:tabs>
        <w:bidi w:val="0"/>
        <w:spacing w:before="0" w:after="360" w:line="240" w:lineRule="auto"/>
        <w:ind w:left="0" w:right="0" w:firstLine="0"/>
        <w:jc w:val="left"/>
      </w:pPr>
      <w:bookmarkStart w:id="177" w:name="bookmark177"/>
      <w:r>
        <w:rPr>
          <w:color w:val="000000"/>
          <w:spacing w:val="0"/>
          <w:w w:val="100"/>
          <w:position w:val="0"/>
          <w:sz w:val="24"/>
          <w:szCs w:val="24"/>
        </w:rPr>
        <w:t>八</w:t>
      </w:r>
      <w:bookmarkEnd w:id="177"/>
      <w:r>
        <w:rPr>
          <w:color w:val="000000"/>
          <w:spacing w:val="0"/>
          <w:w w:val="100"/>
          <w:position w:val="0"/>
          <w:sz w:val="24"/>
          <w:szCs w:val="24"/>
        </w:rPr>
        <w:t>、</w:t>
        <w:tab/>
        <w:t>重大资产和股权出售</w:t>
      </w:r>
    </w:p>
    <w:p>
      <w:pPr>
        <w:pStyle w:val="Style31"/>
        <w:keepNext/>
        <w:keepLines/>
        <w:widowControl w:val="0"/>
        <w:shd w:val="clear" w:color="auto" w:fill="auto"/>
        <w:tabs>
          <w:tab w:pos="400" w:val="left"/>
        </w:tabs>
        <w:bidi w:val="0"/>
        <w:spacing w:before="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1</w:t>
      </w:r>
      <w:bookmarkEnd w:id="180"/>
      <w:r>
        <w:rPr>
          <w:color w:val="000000"/>
          <w:spacing w:val="0"/>
          <w:w w:val="100"/>
          <w:position w:val="0"/>
        </w:rPr>
        <w:t>、</w:t>
        <w:tab/>
        <w:t>出售重大资产情况</w:t>
      </w:r>
      <w:bookmarkEnd w:id="178"/>
      <w:bookmarkEnd w:id="179"/>
      <w:bookmarkEnd w:id="181"/>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1"/>
        <w:keepNext/>
        <w:keepLines/>
        <w:widowControl w:val="0"/>
        <w:shd w:val="clear" w:color="auto" w:fill="auto"/>
        <w:tabs>
          <w:tab w:pos="400" w:val="left"/>
        </w:tabs>
        <w:bidi w:val="0"/>
        <w:spacing w:before="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2</w:t>
      </w:r>
      <w:bookmarkEnd w:id="184"/>
      <w:r>
        <w:rPr>
          <w:color w:val="000000"/>
          <w:spacing w:val="0"/>
          <w:w w:val="100"/>
          <w:position w:val="0"/>
        </w:rPr>
        <w:t>、</w:t>
        <w:tab/>
        <w:t>出售重大股权情况</w:t>
      </w:r>
      <w:bookmarkEnd w:id="182"/>
      <w:bookmarkEnd w:id="183"/>
      <w:bookmarkEnd w:id="185"/>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tabs>
          <w:tab w:pos="517" w:val="left"/>
        </w:tabs>
        <w:bidi w:val="0"/>
        <w:spacing w:before="0" w:after="360" w:line="240" w:lineRule="auto"/>
        <w:ind w:left="0" w:right="0" w:firstLine="0"/>
        <w:jc w:val="left"/>
      </w:pPr>
      <w:bookmarkStart w:id="186" w:name="bookmark186"/>
      <w:r>
        <w:rPr>
          <w:color w:val="000000"/>
          <w:spacing w:val="0"/>
          <w:w w:val="100"/>
          <w:position w:val="0"/>
          <w:sz w:val="24"/>
          <w:szCs w:val="24"/>
        </w:rPr>
        <w:t>九</w:t>
      </w:r>
      <w:bookmarkEnd w:id="186"/>
      <w:r>
        <w:rPr>
          <w:color w:val="000000"/>
          <w:spacing w:val="0"/>
          <w:w w:val="100"/>
          <w:position w:val="0"/>
          <w:sz w:val="24"/>
          <w:szCs w:val="24"/>
        </w:rPr>
        <w:t>、</w:t>
        <w:tab/>
        <w:t>主要控股参股公司分析</w:t>
      </w:r>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21"/>
        <w:gridCol w:w="850"/>
        <w:gridCol w:w="994"/>
        <w:gridCol w:w="1133"/>
        <w:gridCol w:w="1277"/>
        <w:gridCol w:w="1133"/>
        <w:gridCol w:w="1272"/>
        <w:gridCol w:w="1046"/>
        <w:gridCol w:w="105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建研检测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建筑工程、 建筑材料及 部品检测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221,190,078.46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44,649,058.40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117,446,763.37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8,413,765.78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7,478,515.38</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市政中心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市政建设及 规划咨询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65,625,178.34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43,894,160.78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46,037,937.42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6,063,331.11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5,612,784.60</w:t>
            </w:r>
          </w:p>
        </w:tc>
      </w:tr>
    </w:tbl>
    <w:p>
      <w:pPr>
        <w:pStyle w:val="Style20"/>
        <w:keepNext w:val="0"/>
        <w:keepLines w:val="0"/>
        <w:widowControl w:val="0"/>
        <w:shd w:val="clear" w:color="auto" w:fill="auto"/>
        <w:bidi w:val="0"/>
        <w:spacing w:before="0" w:after="120" w:line="313" w:lineRule="exact"/>
        <w:ind w:left="0" w:right="0" w:firstLine="0"/>
        <w:jc w:val="left"/>
      </w:pPr>
      <w:r>
        <w:rPr>
          <w:color w:val="000000"/>
          <w:spacing w:val="0"/>
          <w:w w:val="100"/>
          <w:position w:val="0"/>
        </w:rPr>
        <w:t>报告期内取得和处置子公司的情况</w:t>
      </w:r>
    </w:p>
    <w:p>
      <w:pPr>
        <w:pStyle w:val="Style20"/>
        <w:keepNext w:val="0"/>
        <w:keepLines w:val="0"/>
        <w:widowControl w:val="0"/>
        <w:numPr>
          <w:ilvl w:val="0"/>
          <w:numId w:val="1"/>
        </w:numPr>
        <w:shd w:val="clear" w:color="auto" w:fill="auto"/>
        <w:tabs>
          <w:tab w:pos="282" w:val="left"/>
        </w:tabs>
        <w:bidi w:val="0"/>
        <w:spacing w:before="0" w:after="260"/>
        <w:ind w:left="0" w:right="0" w:firstLine="0"/>
        <w:jc w:val="left"/>
      </w:pPr>
      <w:bookmarkStart w:id="187" w:name="bookmark187"/>
      <w:bookmarkEnd w:id="187"/>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4"/>
          <w:szCs w:val="24"/>
        </w:rPr>
        <w:t>十、公司控制的结构化主体情况</w:t>
      </w:r>
    </w:p>
    <w:p>
      <w:pPr>
        <w:pStyle w:val="Style20"/>
        <w:keepNext w:val="0"/>
        <w:keepLines w:val="0"/>
        <w:widowControl w:val="0"/>
        <w:numPr>
          <w:ilvl w:val="0"/>
          <w:numId w:val="1"/>
        </w:numPr>
        <w:shd w:val="clear" w:color="auto" w:fill="auto"/>
        <w:tabs>
          <w:tab w:pos="282" w:val="left"/>
        </w:tabs>
        <w:bidi w:val="0"/>
        <w:spacing w:before="0" w:after="260"/>
        <w:ind w:left="0" w:right="0" w:firstLine="0"/>
        <w:jc w:val="left"/>
      </w:pPr>
      <w:bookmarkStart w:id="188" w:name="bookmark188"/>
      <w:bookmarkEnd w:id="188"/>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6"/>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rPr>
        <w:t>十一、公司未来发展的展望</w:t>
      </w:r>
    </w:p>
    <w:p>
      <w:pPr>
        <w:pStyle w:val="Style20"/>
        <w:keepNext w:val="0"/>
        <w:keepLines w:val="0"/>
        <w:widowControl w:val="0"/>
        <w:shd w:val="clear" w:color="auto" w:fill="auto"/>
        <w:bidi w:val="0"/>
        <w:spacing w:before="0" w:after="0" w:line="313" w:lineRule="exact"/>
        <w:ind w:left="0" w:right="0" w:firstLine="500"/>
        <w:jc w:val="both"/>
      </w:pPr>
      <w:r>
        <w:rPr>
          <w:b/>
          <w:bCs/>
          <w:color w:val="000000"/>
          <w:spacing w:val="0"/>
          <w:w w:val="100"/>
          <w:position w:val="0"/>
        </w:rPr>
        <w:t>(一)行业发展趋势</w:t>
      </w:r>
    </w:p>
    <w:p>
      <w:pPr>
        <w:pStyle w:val="Style20"/>
        <w:keepNext w:val="0"/>
        <w:keepLines w:val="0"/>
        <w:widowControl w:val="0"/>
        <w:numPr>
          <w:ilvl w:val="0"/>
          <w:numId w:val="19"/>
        </w:numPr>
        <w:shd w:val="clear" w:color="auto" w:fill="auto"/>
        <w:bidi w:val="0"/>
        <w:spacing w:before="0" w:after="0" w:line="313" w:lineRule="exact"/>
        <w:ind w:left="0" w:right="0" w:firstLine="500"/>
        <w:jc w:val="both"/>
      </w:pPr>
      <w:bookmarkStart w:id="189" w:name="bookmark189"/>
      <w:bookmarkEnd w:id="189"/>
      <w:r>
        <w:rPr>
          <w:b/>
          <w:bCs/>
          <w:color w:val="000000"/>
          <w:spacing w:val="0"/>
          <w:w w:val="100"/>
          <w:position w:val="0"/>
        </w:rPr>
        <w:t>国家政策引导城市发展转型，机遇与挑战并存</w:t>
      </w:r>
    </w:p>
    <w:p>
      <w:pPr>
        <w:pStyle w:val="Style20"/>
        <w:keepNext w:val="0"/>
        <w:keepLines w:val="0"/>
        <w:widowControl w:val="0"/>
        <w:shd w:val="clear" w:color="auto" w:fill="auto"/>
        <w:bidi w:val="0"/>
        <w:spacing w:before="0" w:after="300" w:line="313" w:lineRule="exact"/>
        <w:ind w:left="0" w:right="0" w:firstLine="500"/>
        <w:jc w:val="both"/>
      </w:pPr>
      <w:r>
        <w:rPr>
          <w:color w:val="000000"/>
          <w:spacing w:val="0"/>
          <w:w w:val="100"/>
          <w:position w:val="0"/>
        </w:rPr>
        <w:t>中共中央、国务院关于《粤港澳大湾区发展规划纲要》《关于支持深圳建设中国特色社会主义先行示范区的意见》《</w:t>
      </w:r>
      <w:r>
        <w:rPr>
          <w:rFonts w:ascii="Times New Roman" w:eastAsia="Times New Roman" w:hAnsi="Times New Roman" w:cs="Times New Roman"/>
          <w:color w:val="000000"/>
          <w:spacing w:val="0"/>
          <w:w w:val="100"/>
          <w:position w:val="0"/>
        </w:rPr>
        <w:t xml:space="preserve">2030 </w:t>
      </w:r>
      <w:r>
        <w:rPr>
          <w:color w:val="000000"/>
          <w:spacing w:val="0"/>
          <w:w w:val="100"/>
          <w:position w:val="0"/>
        </w:rPr>
        <w:t>年前碳达峰行动方案》、全国人大《中华人民共和国国民经济和社会发展第十四个五年规划和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年远景目标纲要》等重大 国家战略计划相继出台，为公司未来在粤港澳大湾区业务开展、科技创新平台建设、国际化合作和高端人才引进等各方面创 造良好环境；同时，国家的雄安新区战略实施进入了第</w:t>
      </w:r>
      <w:r>
        <w:rPr>
          <w:rFonts w:ascii="Times New Roman" w:eastAsia="Times New Roman" w:hAnsi="Times New Roman" w:cs="Times New Roman"/>
          <w:color w:val="000000"/>
          <w:spacing w:val="0"/>
          <w:w w:val="100"/>
          <w:position w:val="0"/>
        </w:rPr>
        <w:t>5</w:t>
      </w:r>
      <w:r>
        <w:rPr>
          <w:color w:val="000000"/>
          <w:spacing w:val="0"/>
          <w:w w:val="100"/>
          <w:position w:val="0"/>
        </w:rPr>
        <w:t>年，各项建设已进入关键阶段，为公司雄安区域总部的区域业务规 模化拓展条件更为有利的环境。此外，随着城市化进程的不断加速，城市群初见雏形，特别是位于头部的城市群的发展潜力</w:t>
      </w:r>
    </w:p>
    <w:p>
      <w:pPr>
        <w:pStyle w:val="Style20"/>
        <w:keepNext w:val="0"/>
        <w:keepLines w:val="0"/>
        <w:widowControl w:val="0"/>
        <w:shd w:val="clear" w:color="auto" w:fill="auto"/>
        <w:bidi w:val="0"/>
        <w:spacing w:before="0" w:after="0" w:line="312" w:lineRule="exact"/>
        <w:ind w:left="0" w:right="0" w:firstLine="4940"/>
        <w:jc w:val="left"/>
      </w:pPr>
      <w:r>
        <w:rPr>
          <w:color w:val="000000"/>
          <w:spacing w:val="0"/>
          <w:w w:val="100"/>
          <w:position w:val="0"/>
          <w:u w:val="single"/>
        </w:rPr>
        <w:t>深圳市建筑科学研究院股份有限公司</w:t>
      </w:r>
      <w:r>
        <w:rPr>
          <w:rFonts w:ascii="Times New Roman" w:eastAsia="Times New Roman" w:hAnsi="Times New Roman" w:cs="Times New Roman"/>
          <w:color w:val="000000"/>
          <w:spacing w:val="0"/>
          <w:w w:val="100"/>
          <w:position w:val="0"/>
          <w:u w:val="single"/>
        </w:rPr>
        <w:t>2021</w:t>
      </w:r>
      <w:r>
        <w:rPr>
          <w:color w:val="000000"/>
          <w:spacing w:val="0"/>
          <w:w w:val="100"/>
          <w:position w:val="0"/>
          <w:u w:val="single"/>
        </w:rPr>
        <w:t xml:space="preserve">年年度报告全文 </w:t>
      </w:r>
      <w:r>
        <w:rPr>
          <w:color w:val="000000"/>
          <w:spacing w:val="0"/>
          <w:w w:val="100"/>
          <w:position w:val="0"/>
        </w:rPr>
        <w:t>和人才吸引力不断增强，并也面临着城市建设和更新转型等发展问题，相应提供了大量的市场机遇。另一方面，近年来包括 以人为本的生态文明建设、科技创新驱动发展等一系列相关政策和指导意见的出台，也为公司创造绿色城市技术服务相关行 业的重大战略机遇。</w:t>
      </w:r>
    </w:p>
    <w:p>
      <w:pPr>
        <w:pStyle w:val="Style20"/>
        <w:keepNext w:val="0"/>
        <w:keepLines w:val="0"/>
        <w:widowControl w:val="0"/>
        <w:numPr>
          <w:ilvl w:val="0"/>
          <w:numId w:val="21"/>
        </w:numPr>
        <w:shd w:val="clear" w:color="auto" w:fill="auto"/>
        <w:tabs>
          <w:tab w:pos="760" w:val="left"/>
        </w:tabs>
        <w:bidi w:val="0"/>
        <w:spacing w:before="0" w:after="0" w:line="312" w:lineRule="exact"/>
        <w:ind w:left="0" w:right="0" w:firstLine="500"/>
        <w:jc w:val="both"/>
      </w:pPr>
      <w:bookmarkStart w:id="190" w:name="bookmark190"/>
      <w:bookmarkEnd w:id="190"/>
      <w:r>
        <w:rPr>
          <w:b/>
          <w:bCs/>
          <w:color w:val="000000"/>
          <w:spacing w:val="0"/>
          <w:w w:val="100"/>
          <w:position w:val="0"/>
        </w:rPr>
        <w:t>行业面临“双碳”目标约束下的转型阵痛，市场竞争加剧</w:t>
      </w:r>
    </w:p>
    <w:p>
      <w:pPr>
        <w:pStyle w:val="Style2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当前，行业发展面临市场化程度提升、门槛持续降低的现状，市场竞争特别是其他行业进入城市发展板块导致竞争加 剧，资源也不断向具备较强综合服务能力或核心竞争力的企业聚集。同时，业务模式创新、全过程咨询和工程总承办项目数 量和规模不断提升、产业整合不断推进、以可持续为导向的增长等发展趋势也逐步出现，这要求行业内企业进一步转变增长 方式，提升创新能力，实现资源配置的效益最大化和效率最优化。</w:t>
      </w:r>
    </w:p>
    <w:p>
      <w:pPr>
        <w:pStyle w:val="Style2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此外，国家加强地方政府性债务管理，地方政府举债能力减弱，平台融资能力受限，固定资产投资不足，增速持续减 缓，使得在公共服务、资源环境、生态建设、基础设施等领域进一步创新投融资机制、充分发挥社会资本的作用愈发重要， 这为公司切入相关市场提供了契机。</w:t>
      </w:r>
    </w:p>
    <w:p>
      <w:pPr>
        <w:pStyle w:val="Style20"/>
        <w:keepNext w:val="0"/>
        <w:keepLines w:val="0"/>
        <w:widowControl w:val="0"/>
        <w:numPr>
          <w:ilvl w:val="0"/>
          <w:numId w:val="21"/>
        </w:numPr>
        <w:shd w:val="clear" w:color="auto" w:fill="auto"/>
        <w:tabs>
          <w:tab w:pos="760" w:val="left"/>
        </w:tabs>
        <w:bidi w:val="0"/>
        <w:spacing w:before="0" w:after="0" w:line="312" w:lineRule="exact"/>
        <w:ind w:left="0" w:right="0" w:firstLine="500"/>
        <w:jc w:val="both"/>
      </w:pPr>
      <w:bookmarkStart w:id="191" w:name="bookmark191"/>
      <w:bookmarkEnd w:id="191"/>
      <w:r>
        <w:rPr>
          <w:b/>
          <w:bCs/>
          <w:color w:val="000000"/>
          <w:spacing w:val="0"/>
          <w:w w:val="100"/>
          <w:position w:val="0"/>
        </w:rPr>
        <w:t>国资国企改革推动科技性企业探索发展机遇，履行社会责任担当</w:t>
      </w:r>
    </w:p>
    <w:p>
      <w:pPr>
        <w:pStyle w:val="Style2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深圳是全国开展区域性国资国企综合改革试验的两个城市之一。目前，深圳国资国企综合改革试验进入全面实施阶段， 而公司入选国务院国改办</w:t>
      </w:r>
      <w:r>
        <w:rPr>
          <w:rFonts w:ascii="Times New Roman" w:eastAsia="Times New Roman" w:hAnsi="Times New Roman" w:cs="Times New Roman"/>
          <w:color w:val="000000"/>
          <w:spacing w:val="0"/>
          <w:w w:val="100"/>
          <w:position w:val="0"/>
        </w:rPr>
        <w:t>“</w:t>
      </w:r>
      <w:r>
        <w:rPr>
          <w:color w:val="000000"/>
          <w:spacing w:val="0"/>
          <w:w w:val="100"/>
          <w:position w:val="0"/>
        </w:rPr>
        <w:t>科改示范企业</w:t>
      </w:r>
      <w:r>
        <w:rPr>
          <w:rFonts w:ascii="Times New Roman" w:eastAsia="Times New Roman" w:hAnsi="Times New Roman" w:cs="Times New Roman"/>
          <w:color w:val="000000"/>
          <w:spacing w:val="0"/>
          <w:w w:val="100"/>
          <w:position w:val="0"/>
        </w:rPr>
        <w:t>”</w:t>
      </w:r>
      <w:r>
        <w:rPr>
          <w:color w:val="000000"/>
          <w:spacing w:val="0"/>
          <w:w w:val="100"/>
          <w:position w:val="0"/>
        </w:rPr>
        <w:t>，也将更有利于把握国资国企改革机遇，促进公司治理、人才激励、科研创新等的 机制不断完善提升，以内生外延方式驱动公司规模和服务能力更为高效的增长。公司强调的为使用者（公众）服务的绿色发 展理念，将继续为国家和行业探索城市发展绿色转型，为建设</w:t>
      </w:r>
      <w:r>
        <w:rPr>
          <w:rFonts w:ascii="Times New Roman" w:eastAsia="Times New Roman" w:hAnsi="Times New Roman" w:cs="Times New Roman"/>
          <w:color w:val="000000"/>
          <w:spacing w:val="0"/>
          <w:w w:val="100"/>
          <w:position w:val="0"/>
        </w:rPr>
        <w:t>“</w:t>
      </w:r>
      <w:r>
        <w:rPr>
          <w:color w:val="000000"/>
          <w:spacing w:val="0"/>
          <w:w w:val="100"/>
          <w:position w:val="0"/>
        </w:rPr>
        <w:t>人民的城市</w:t>
      </w:r>
      <w:r>
        <w:rPr>
          <w:rFonts w:ascii="Times New Roman" w:eastAsia="Times New Roman" w:hAnsi="Times New Roman" w:cs="Times New Roman"/>
          <w:color w:val="000000"/>
          <w:spacing w:val="0"/>
          <w:w w:val="100"/>
          <w:position w:val="0"/>
        </w:rPr>
        <w:t>”</w:t>
      </w:r>
      <w:r>
        <w:rPr>
          <w:color w:val="000000"/>
          <w:spacing w:val="0"/>
          <w:w w:val="100"/>
          <w:position w:val="0"/>
        </w:rPr>
        <w:t>的技术路径和政策落实继续探索，体现国企担当。</w:t>
      </w:r>
    </w:p>
    <w:p>
      <w:pPr>
        <w:pStyle w:val="Style20"/>
        <w:keepNext w:val="0"/>
        <w:keepLines w:val="0"/>
        <w:widowControl w:val="0"/>
        <w:numPr>
          <w:ilvl w:val="0"/>
          <w:numId w:val="21"/>
        </w:numPr>
        <w:shd w:val="clear" w:color="auto" w:fill="auto"/>
        <w:tabs>
          <w:tab w:pos="760" w:val="left"/>
        </w:tabs>
        <w:bidi w:val="0"/>
        <w:spacing w:before="0" w:after="0" w:line="312" w:lineRule="exact"/>
        <w:ind w:left="0" w:right="0" w:firstLine="500"/>
        <w:jc w:val="both"/>
      </w:pPr>
      <w:bookmarkStart w:id="192" w:name="bookmark192"/>
      <w:bookmarkEnd w:id="192"/>
      <w:r>
        <w:rPr>
          <w:b/>
          <w:bCs/>
          <w:color w:val="000000"/>
          <w:spacing w:val="0"/>
          <w:w w:val="100"/>
          <w:position w:val="0"/>
        </w:rPr>
        <w:t>技术层面创新驱动作用将逐步提升</w:t>
      </w:r>
    </w:p>
    <w:p>
      <w:pPr>
        <w:pStyle w:val="Style20"/>
        <w:keepNext w:val="0"/>
        <w:keepLines w:val="0"/>
        <w:widowControl w:val="0"/>
        <w:shd w:val="clear" w:color="auto" w:fill="auto"/>
        <w:bidi w:val="0"/>
        <w:spacing w:before="0" w:after="300" w:line="312" w:lineRule="exact"/>
        <w:ind w:left="0" w:right="0" w:firstLine="500"/>
        <w:jc w:val="both"/>
      </w:pPr>
      <w:r>
        <w:rPr>
          <w:color w:val="000000"/>
          <w:spacing w:val="0"/>
          <w:w w:val="100"/>
          <w:position w:val="0"/>
        </w:rPr>
        <w:t>国家宣布</w:t>
      </w:r>
      <w:r>
        <w:rPr>
          <w:rFonts w:ascii="Times New Roman" w:eastAsia="Times New Roman" w:hAnsi="Times New Roman" w:cs="Times New Roman"/>
          <w:color w:val="000000"/>
          <w:spacing w:val="0"/>
          <w:w w:val="100"/>
          <w:position w:val="0"/>
        </w:rPr>
        <w:t>“</w:t>
      </w:r>
      <w:r>
        <w:rPr>
          <w:color w:val="000000"/>
          <w:spacing w:val="0"/>
          <w:w w:val="100"/>
          <w:position w:val="0"/>
        </w:rPr>
        <w:t>碳达峰</w:t>
      </w:r>
      <w:r>
        <w:rPr>
          <w:rFonts w:ascii="Times New Roman" w:eastAsia="Times New Roman" w:hAnsi="Times New Roman" w:cs="Times New Roman"/>
          <w:color w:val="000000"/>
          <w:spacing w:val="0"/>
          <w:w w:val="100"/>
          <w:position w:val="0"/>
        </w:rPr>
        <w:t>”“</w:t>
      </w:r>
      <w:r>
        <w:rPr>
          <w:color w:val="000000"/>
          <w:spacing w:val="0"/>
          <w:w w:val="100"/>
          <w:position w:val="0"/>
        </w:rPr>
        <w:t>碳中和</w:t>
      </w:r>
      <w:r>
        <w:rPr>
          <w:rFonts w:ascii="Times New Roman" w:eastAsia="Times New Roman" w:hAnsi="Times New Roman" w:cs="Times New Roman"/>
          <w:color w:val="000000"/>
          <w:spacing w:val="0"/>
          <w:w w:val="100"/>
          <w:position w:val="0"/>
        </w:rPr>
        <w:t>”</w:t>
      </w:r>
      <w:r>
        <w:rPr>
          <w:color w:val="000000"/>
          <w:spacing w:val="0"/>
          <w:w w:val="100"/>
          <w:position w:val="0"/>
        </w:rPr>
        <w:t>目标，开启全面建设社会主义现代化国家新征程，宣示对我国应对气候变化、推进生态文 明建设提出了更高要求；对于建立以绿色发展为价值引领和增长动力的现代经济体系，实现经济社会发展与生态环境保护协 同具有重要意义。同时，工程建设领域全面深化改革，对工程建设行业提出了转型发展的新要求，住宅产业现代化、新型建 筑工业化和建筑产业化成为发展的趋势，信息化与建筑工业化的深度融合，基础性技术、标准的研究和制定，建筑工业化、 产业化标准体系与实施机制的研究正在不断深化；同时，随着云计算、大数据、区块链、人工智能等前沿技术在行业中的应 用越来越广泛，包括孪生城市、直流建筑等创新应用不断涌现，也要求公司紧跟行业技术前沿，不断提升技术创新能力。</w:t>
      </w:r>
    </w:p>
    <w:p>
      <w:pPr>
        <w:pStyle w:val="Style20"/>
        <w:keepNext w:val="0"/>
        <w:keepLines w:val="0"/>
        <w:widowControl w:val="0"/>
        <w:shd w:val="clear" w:color="auto" w:fill="auto"/>
        <w:bidi w:val="0"/>
        <w:spacing w:before="0" w:after="0" w:line="314" w:lineRule="exact"/>
        <w:ind w:left="0" w:right="0" w:firstLine="500"/>
        <w:jc w:val="both"/>
      </w:pPr>
      <w:r>
        <w:rPr>
          <w:b/>
          <w:bCs/>
          <w:color w:val="000000"/>
          <w:spacing w:val="0"/>
          <w:w w:val="100"/>
          <w:position w:val="0"/>
        </w:rPr>
        <w:t>（二）公司发展战略及经营计划</w:t>
      </w:r>
    </w:p>
    <w:p>
      <w:pPr>
        <w:pStyle w:val="Style20"/>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公司突出绿色城市生命价值观，坚定公司核心价值定位与内涵，从绿色建筑和绿色城市的技术层面转向生命价值观层 面，以</w:t>
      </w:r>
      <w:r>
        <w:rPr>
          <w:rFonts w:ascii="Times New Roman" w:eastAsia="Times New Roman" w:hAnsi="Times New Roman" w:cs="Times New Roman"/>
          <w:color w:val="000000"/>
          <w:spacing w:val="0"/>
          <w:w w:val="100"/>
          <w:position w:val="0"/>
        </w:rPr>
        <w:t>“</w:t>
      </w:r>
      <w:r>
        <w:rPr>
          <w:color w:val="000000"/>
          <w:spacing w:val="0"/>
          <w:w w:val="100"/>
          <w:position w:val="0"/>
        </w:rPr>
        <w:t>平视城市，共享生命精彩</w:t>
      </w:r>
      <w:r>
        <w:rPr>
          <w:rFonts w:ascii="Times New Roman" w:eastAsia="Times New Roman" w:hAnsi="Times New Roman" w:cs="Times New Roman"/>
          <w:color w:val="000000"/>
          <w:spacing w:val="0"/>
          <w:w w:val="100"/>
          <w:position w:val="0"/>
        </w:rPr>
        <w:t>”</w:t>
      </w:r>
      <w:r>
        <w:rPr>
          <w:color w:val="000000"/>
          <w:spacing w:val="0"/>
          <w:w w:val="100"/>
          <w:position w:val="0"/>
        </w:rPr>
        <w:t>为愿景，围绕</w:t>
      </w:r>
      <w:r>
        <w:rPr>
          <w:rFonts w:ascii="Times New Roman" w:eastAsia="Times New Roman" w:hAnsi="Times New Roman" w:cs="Times New Roman"/>
          <w:color w:val="000000"/>
          <w:spacing w:val="0"/>
          <w:w w:val="100"/>
          <w:position w:val="0"/>
        </w:rPr>
        <w:t>“</w:t>
      </w:r>
      <w:r>
        <w:rPr>
          <w:color w:val="000000"/>
          <w:spacing w:val="0"/>
          <w:w w:val="100"/>
          <w:position w:val="0"/>
        </w:rPr>
        <w:t>中国绿色城市价值创造者</w:t>
      </w:r>
      <w:r>
        <w:rPr>
          <w:rFonts w:ascii="Times New Roman" w:eastAsia="Times New Roman" w:hAnsi="Times New Roman" w:cs="Times New Roman"/>
          <w:color w:val="000000"/>
          <w:spacing w:val="0"/>
          <w:w w:val="100"/>
          <w:position w:val="0"/>
        </w:rPr>
        <w:t>”</w:t>
      </w:r>
      <w:r>
        <w:rPr>
          <w:color w:val="000000"/>
          <w:spacing w:val="0"/>
          <w:w w:val="100"/>
          <w:position w:val="0"/>
        </w:rPr>
        <w:t>的使命，持续推进城市绿色发展和绿色建筑领域 全过程技术服务能力的创新，在</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开局之年和</w:t>
      </w:r>
      <w:r>
        <w:rPr>
          <w:rFonts w:ascii="Times New Roman" w:eastAsia="Times New Roman" w:hAnsi="Times New Roman" w:cs="Times New Roman"/>
          <w:color w:val="000000"/>
          <w:spacing w:val="0"/>
          <w:w w:val="100"/>
          <w:position w:val="0"/>
        </w:rPr>
        <w:t>“</w:t>
      </w:r>
      <w:r>
        <w:rPr>
          <w:color w:val="000000"/>
          <w:spacing w:val="0"/>
          <w:w w:val="100"/>
          <w:position w:val="0"/>
        </w:rPr>
        <w:t>科改示范行动</w:t>
      </w:r>
      <w:r>
        <w:rPr>
          <w:rFonts w:ascii="Times New Roman" w:eastAsia="Times New Roman" w:hAnsi="Times New Roman" w:cs="Times New Roman"/>
          <w:color w:val="000000"/>
          <w:spacing w:val="0"/>
          <w:w w:val="100"/>
          <w:position w:val="0"/>
        </w:rPr>
        <w:t>”</w:t>
      </w:r>
      <w:r>
        <w:rPr>
          <w:color w:val="000000"/>
          <w:spacing w:val="0"/>
          <w:w w:val="100"/>
          <w:position w:val="0"/>
        </w:rPr>
        <w:t>目标收官之年奠定良好基础，为公司科技创新、市场服 务、人才激励、资源整合等方面的跨越式提升提供有力支撑。</w:t>
      </w:r>
    </w:p>
    <w:p>
      <w:pPr>
        <w:pStyle w:val="Style20"/>
        <w:keepNext w:val="0"/>
        <w:keepLines w:val="0"/>
        <w:widowControl w:val="0"/>
        <w:shd w:val="clear" w:color="auto" w:fill="auto"/>
        <w:bidi w:val="0"/>
        <w:spacing w:before="0" w:after="0" w:line="314" w:lineRule="exact"/>
        <w:ind w:left="0" w:right="0" w:firstLine="500"/>
        <w:jc w:val="both"/>
      </w:pPr>
      <w:r>
        <w:rPr>
          <w:b/>
          <w:bCs/>
          <w:color w:val="000000"/>
          <w:spacing w:val="0"/>
          <w:w w:val="100"/>
          <w:position w:val="0"/>
        </w:rPr>
        <w:t>“双碳”背景下公司已经启动“导向凝练、业务重构、价值再造”。</w:t>
      </w:r>
    </w:p>
    <w:p>
      <w:pPr>
        <w:pStyle w:val="Style20"/>
        <w:keepNext w:val="0"/>
        <w:keepLines w:val="0"/>
        <w:widowControl w:val="0"/>
        <w:shd w:val="clear" w:color="auto" w:fill="auto"/>
        <w:bidi w:val="0"/>
        <w:spacing w:before="0" w:after="0" w:line="314" w:lineRule="exact"/>
        <w:ind w:left="0" w:right="0" w:firstLine="500"/>
        <w:jc w:val="both"/>
      </w:pPr>
      <w:r>
        <w:rPr>
          <w:color w:val="000000"/>
          <w:spacing w:val="0"/>
          <w:w w:val="100"/>
          <w:position w:val="0"/>
        </w:rPr>
        <w:t>一是导向凝练。以</w:t>
      </w:r>
      <w:r>
        <w:rPr>
          <w:rFonts w:ascii="Times New Roman" w:eastAsia="Times New Roman" w:hAnsi="Times New Roman" w:cs="Times New Roman"/>
          <w:color w:val="000000"/>
          <w:spacing w:val="0"/>
          <w:w w:val="100"/>
          <w:position w:val="0"/>
        </w:rPr>
        <w:t>“3060</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目标为核心，全社会面临发展模式导向改变，强调经济社会生态和人的全面发展，董事 会反复研究公司战略与国家战略对接的实施路径及策略，由此推动组织机构调整、关键人才招聘及培养、未来大厦等重点最 新科技示范项目，并对科研课题选题和技术创新提出更高更新要求。</w:t>
      </w:r>
    </w:p>
    <w:p>
      <w:pPr>
        <w:pStyle w:val="Style20"/>
        <w:keepNext w:val="0"/>
        <w:keepLines w:val="0"/>
        <w:widowControl w:val="0"/>
        <w:shd w:val="clear" w:color="auto" w:fill="auto"/>
        <w:bidi w:val="0"/>
        <w:spacing w:before="0" w:after="0" w:line="314" w:lineRule="exact"/>
        <w:ind w:left="0" w:right="0" w:firstLine="500"/>
        <w:jc w:val="both"/>
      </w:pPr>
      <w:r>
        <w:rPr>
          <w:color w:val="000000"/>
          <w:spacing w:val="0"/>
          <w:w w:val="100"/>
          <w:position w:val="0"/>
        </w:rPr>
        <w:t>二是业务重构。</w:t>
      </w:r>
      <w:r>
        <w:rPr>
          <w:rFonts w:ascii="Times New Roman" w:eastAsia="Times New Roman" w:hAnsi="Times New Roman" w:cs="Times New Roman"/>
          <w:color w:val="000000"/>
          <w:spacing w:val="0"/>
          <w:w w:val="100"/>
          <w:position w:val="0"/>
        </w:rPr>
        <w:t>“</w:t>
      </w:r>
      <w:r>
        <w:rPr>
          <w:color w:val="000000"/>
          <w:spacing w:val="0"/>
          <w:w w:val="100"/>
          <w:position w:val="0"/>
        </w:rPr>
        <w:t>以人民为中心的城市</w:t>
      </w:r>
      <w:r>
        <w:rPr>
          <w:rFonts w:ascii="Times New Roman" w:eastAsia="Times New Roman" w:hAnsi="Times New Roman" w:cs="Times New Roman"/>
          <w:color w:val="000000"/>
          <w:spacing w:val="0"/>
          <w:w w:val="100"/>
          <w:position w:val="0"/>
        </w:rPr>
        <w:t>”</w:t>
      </w:r>
      <w:r>
        <w:rPr>
          <w:color w:val="000000"/>
          <w:spacing w:val="0"/>
          <w:w w:val="100"/>
          <w:position w:val="0"/>
        </w:rPr>
        <w:t>发展目标带来行业监管、利益导向、商业逻辑、技术要求的全面转型，董事会 重点要求经营班子推动公司经营管理转换新动能、加快为公众服务的业务模式创新布局、提升对聚焦城市客户的综合技术服 务能力等工作，打通关键堵点，解决客户痛点。</w:t>
      </w:r>
    </w:p>
    <w:p>
      <w:pPr>
        <w:pStyle w:val="Style20"/>
        <w:keepNext w:val="0"/>
        <w:keepLines w:val="0"/>
        <w:widowControl w:val="0"/>
        <w:shd w:val="clear" w:color="auto" w:fill="auto"/>
        <w:bidi w:val="0"/>
        <w:spacing w:before="0" w:after="0" w:line="314" w:lineRule="exact"/>
        <w:ind w:left="0" w:right="0" w:firstLine="500"/>
        <w:jc w:val="both"/>
      </w:pPr>
      <w:r>
        <w:rPr>
          <w:color w:val="000000"/>
          <w:spacing w:val="0"/>
          <w:w w:val="100"/>
          <w:position w:val="0"/>
        </w:rPr>
        <w:t>三是价值再造。</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目标带来对行业和企业估值标准的新维度，董事会关注和探索</w:t>
      </w:r>
      <w:r>
        <w:rPr>
          <w:rFonts w:ascii="Times New Roman" w:eastAsia="Times New Roman" w:hAnsi="Times New Roman" w:cs="Times New Roman"/>
          <w:color w:val="000000"/>
          <w:spacing w:val="0"/>
          <w:w w:val="100"/>
          <w:position w:val="0"/>
        </w:rPr>
        <w:t xml:space="preserve">GEP </w:t>
      </w:r>
      <w:r>
        <w:rPr>
          <w:color w:val="000000"/>
          <w:spacing w:val="0"/>
          <w:w w:val="100"/>
          <w:position w:val="0"/>
        </w:rPr>
        <w:t>（生态系统生产总值）和</w:t>
      </w:r>
      <w:r>
        <w:rPr>
          <w:rFonts w:ascii="Times New Roman" w:eastAsia="Times New Roman" w:hAnsi="Times New Roman" w:cs="Times New Roman"/>
          <w:color w:val="000000"/>
          <w:spacing w:val="0"/>
          <w:w w:val="100"/>
          <w:position w:val="0"/>
        </w:rPr>
        <w:t xml:space="preserve">ESG </w:t>
      </w:r>
      <w:r>
        <w:rPr>
          <w:color w:val="000000"/>
          <w:spacing w:val="0"/>
          <w:w w:val="100"/>
          <w:position w:val="0"/>
        </w:rPr>
        <w:t>（环境、社会、治理）的价值评估体系的实现方式及量化标准研究，并为下一步将公司业务绿色低碳对社会的贡献价值呈现 形式、重新审视公司品牌和价值内涵的显现化工作指明了方向，对下一步制订碳达峰行动方案、建立</w:t>
      </w:r>
      <w:r>
        <w:rPr>
          <w:rFonts w:ascii="Times New Roman" w:eastAsia="Times New Roman" w:hAnsi="Times New Roman" w:cs="Times New Roman"/>
          <w:color w:val="000000"/>
          <w:spacing w:val="0"/>
          <w:w w:val="100"/>
          <w:position w:val="0"/>
        </w:rPr>
        <w:t>IBR</w:t>
      </w:r>
      <w:r>
        <w:rPr>
          <w:color w:val="000000"/>
          <w:spacing w:val="0"/>
          <w:w w:val="100"/>
          <w:position w:val="0"/>
        </w:rPr>
        <w:t>的</w:t>
      </w:r>
      <w:r>
        <w:rPr>
          <w:rFonts w:ascii="Times New Roman" w:eastAsia="Times New Roman" w:hAnsi="Times New Roman" w:cs="Times New Roman"/>
          <w:color w:val="000000"/>
          <w:spacing w:val="0"/>
          <w:w w:val="100"/>
          <w:position w:val="0"/>
        </w:rPr>
        <w:t>ESG</w:t>
      </w:r>
      <w:r>
        <w:rPr>
          <w:color w:val="000000"/>
          <w:spacing w:val="0"/>
          <w:w w:val="100"/>
          <w:position w:val="0"/>
        </w:rPr>
        <w:t>评估模型以 及其他更好履行企业社会责任担当提出新要求。</w:t>
      </w:r>
    </w:p>
    <w:p>
      <w:pPr>
        <w:pStyle w:val="Style20"/>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具体举措如下：</w:t>
      </w:r>
    </w:p>
    <w:p>
      <w:pPr>
        <w:pStyle w:val="Style20"/>
        <w:keepNext w:val="0"/>
        <w:keepLines w:val="0"/>
        <w:widowControl w:val="0"/>
        <w:numPr>
          <w:ilvl w:val="0"/>
          <w:numId w:val="23"/>
        </w:numPr>
        <w:shd w:val="clear" w:color="auto" w:fill="auto"/>
        <w:tabs>
          <w:tab w:pos="746" w:val="left"/>
        </w:tabs>
        <w:bidi w:val="0"/>
        <w:spacing w:before="0" w:after="0" w:line="314" w:lineRule="exact"/>
        <w:ind w:left="0" w:right="0" w:firstLine="500"/>
        <w:jc w:val="both"/>
      </w:pPr>
      <w:bookmarkStart w:id="193" w:name="bookmark193"/>
      <w:bookmarkEnd w:id="193"/>
      <w:r>
        <w:rPr>
          <w:b/>
          <w:bCs/>
          <w:color w:val="000000"/>
          <w:spacing w:val="0"/>
          <w:w w:val="100"/>
          <w:position w:val="0"/>
        </w:rPr>
        <w:t>“科改”促进科技创新体系再设计，绿色品牌价值更显现</w:t>
      </w:r>
    </w:p>
    <w:p>
      <w:pPr>
        <w:pStyle w:val="Style20"/>
        <w:keepNext w:val="0"/>
        <w:keepLines w:val="0"/>
        <w:widowControl w:val="0"/>
        <w:shd w:val="clear" w:color="auto" w:fill="auto"/>
        <w:bidi w:val="0"/>
        <w:spacing w:before="0" w:after="0" w:line="314" w:lineRule="exact"/>
        <w:ind w:left="0" w:right="0" w:firstLine="500"/>
        <w:jc w:val="both"/>
      </w:pPr>
      <w:r>
        <w:rPr>
          <w:color w:val="000000"/>
          <w:spacing w:val="0"/>
          <w:w w:val="100"/>
          <w:position w:val="0"/>
        </w:rPr>
        <w:t>一是变革提升研发创新板块工作机制。在接下来的</w:t>
      </w:r>
      <w:r>
        <w:rPr>
          <w:rFonts w:ascii="Times New Roman" w:eastAsia="Times New Roman" w:hAnsi="Times New Roman" w:cs="Times New Roman"/>
          <w:color w:val="000000"/>
          <w:spacing w:val="0"/>
          <w:w w:val="100"/>
          <w:position w:val="0"/>
        </w:rPr>
        <w:t>“</w:t>
      </w:r>
      <w:r>
        <w:rPr>
          <w:color w:val="000000"/>
          <w:spacing w:val="0"/>
          <w:w w:val="100"/>
          <w:position w:val="0"/>
        </w:rPr>
        <w:t>科改</w:t>
      </w:r>
      <w:r>
        <w:rPr>
          <w:rFonts w:ascii="Times New Roman" w:eastAsia="Times New Roman" w:hAnsi="Times New Roman" w:cs="Times New Roman"/>
          <w:color w:val="000000"/>
          <w:spacing w:val="0"/>
          <w:w w:val="100"/>
          <w:position w:val="0"/>
        </w:rPr>
        <w:t>”</w:t>
      </w:r>
      <w:r>
        <w:rPr>
          <w:color w:val="000000"/>
          <w:spacing w:val="0"/>
          <w:w w:val="100"/>
          <w:position w:val="0"/>
        </w:rPr>
        <w:t xml:space="preserve">工作重点转向科技创新板块，多层次多维度全面提升创新能 力，积极抢占核心技术制高点。再造创新型组织，实现对研究、开发、转化、孵化、培育、示范及品牌市场推广的科技创新 </w:t>
      </w:r>
      <w:r>
        <w:rPr>
          <w:color w:val="000000"/>
          <w:spacing w:val="0"/>
          <w:w w:val="100"/>
          <w:position w:val="0"/>
        </w:rPr>
        <w:t>全链条立体化支撑。</w:t>
      </w:r>
    </w:p>
    <w:p>
      <w:pPr>
        <w:pStyle w:val="Style2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二是探索聚焦面向未来的科技创新领域路径。</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背景下城市发展所需颠覆性、根本性创新的可能性，探索新的科 技创新学科领域，另外开辟重点技术路线，培育一到两个对公司未来</w:t>
      </w:r>
      <w:r>
        <w:rPr>
          <w:rFonts w:ascii="Times New Roman" w:eastAsia="Times New Roman" w:hAnsi="Times New Roman" w:cs="Times New Roman"/>
          <w:color w:val="000000"/>
          <w:spacing w:val="0"/>
          <w:w w:val="100"/>
          <w:position w:val="0"/>
        </w:rPr>
        <w:t>5-10</w:t>
      </w:r>
      <w:r>
        <w:rPr>
          <w:color w:val="000000"/>
          <w:spacing w:val="0"/>
          <w:w w:val="100"/>
          <w:position w:val="0"/>
        </w:rPr>
        <w:t>年发展至关重要的核心技术。</w:t>
      </w:r>
    </w:p>
    <w:p>
      <w:pPr>
        <w:pStyle w:val="Style2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三是强化科技成果应用转化，提升业务服务科技水平迭代速度。抓住</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背景下行业转型为科技服务带来的市场机 遇，将公司既有科技成果加快转化应用，提升日常业务的科技含量，结合城市客户战略布局，拓展新业务类型，提升服务附 加值，加快科技成果变现。启动赋予科研人员职务科技成果所有权或长期使用权的应用试点工作。</w:t>
      </w:r>
    </w:p>
    <w:p>
      <w:pPr>
        <w:pStyle w:val="Style2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四是启动公司</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品牌价值研究与推广。将公司二十余年来在绿色建筑、低碳生态城市领域的科技成果及业务对社 会和行业的</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贡献进行系统分析，形成</w:t>
      </w:r>
      <w:r>
        <w:rPr>
          <w:rFonts w:ascii="Times New Roman" w:eastAsia="Times New Roman" w:hAnsi="Times New Roman" w:cs="Times New Roman"/>
          <w:color w:val="000000"/>
          <w:spacing w:val="0"/>
          <w:w w:val="100"/>
          <w:position w:val="0"/>
        </w:rPr>
        <w:t>IBR</w:t>
      </w:r>
      <w:r>
        <w:rPr>
          <w:color w:val="000000"/>
          <w:spacing w:val="0"/>
          <w:w w:val="100"/>
          <w:position w:val="0"/>
        </w:rPr>
        <w:t>的</w:t>
      </w:r>
      <w:r>
        <w:rPr>
          <w:rFonts w:ascii="Times New Roman" w:eastAsia="Times New Roman" w:hAnsi="Times New Roman" w:cs="Times New Roman"/>
          <w:color w:val="000000"/>
          <w:spacing w:val="0"/>
          <w:w w:val="100"/>
          <w:position w:val="0"/>
        </w:rPr>
        <w:t>ESG</w:t>
      </w:r>
      <w:r>
        <w:rPr>
          <w:color w:val="000000"/>
          <w:spacing w:val="0"/>
          <w:w w:val="100"/>
          <w:position w:val="0"/>
        </w:rPr>
        <w:t>评价模型，尝试将公司绿色品牌价值进行量化，并逐步推广传统财务 报表之外的绿色报表，推动</w:t>
      </w:r>
      <w:r>
        <w:rPr>
          <w:rFonts w:ascii="Times New Roman" w:eastAsia="Times New Roman" w:hAnsi="Times New Roman" w:cs="Times New Roman"/>
          <w:color w:val="000000"/>
          <w:spacing w:val="0"/>
          <w:w w:val="100"/>
          <w:position w:val="0"/>
        </w:rPr>
        <w:t>ESG</w:t>
      </w:r>
      <w:r>
        <w:rPr>
          <w:color w:val="000000"/>
          <w:spacing w:val="0"/>
          <w:w w:val="100"/>
          <w:position w:val="0"/>
        </w:rPr>
        <w:t>价值显现和可交易。</w:t>
      </w:r>
    </w:p>
    <w:p>
      <w:pPr>
        <w:pStyle w:val="Style20"/>
        <w:keepNext w:val="0"/>
        <w:keepLines w:val="0"/>
        <w:widowControl w:val="0"/>
        <w:numPr>
          <w:ilvl w:val="0"/>
          <w:numId w:val="23"/>
        </w:numPr>
        <w:shd w:val="clear" w:color="auto" w:fill="auto"/>
        <w:tabs>
          <w:tab w:pos="787" w:val="left"/>
        </w:tabs>
        <w:bidi w:val="0"/>
        <w:spacing w:before="0" w:after="0" w:line="312" w:lineRule="exact"/>
        <w:ind w:left="0" w:right="0" w:firstLine="500"/>
        <w:jc w:val="both"/>
      </w:pPr>
      <w:bookmarkStart w:id="194" w:name="bookmark194"/>
      <w:bookmarkEnd w:id="194"/>
      <w:r>
        <w:rPr>
          <w:b/>
          <w:bCs/>
          <w:color w:val="000000"/>
          <w:spacing w:val="0"/>
          <w:w w:val="100"/>
          <w:position w:val="0"/>
        </w:rPr>
        <w:t>深化自组织管理路径下的人才发展战略实践，构建活力生态系型组织</w:t>
      </w:r>
    </w:p>
    <w:p>
      <w:pPr>
        <w:pStyle w:val="Style20"/>
        <w:keepNext w:val="0"/>
        <w:keepLines w:val="0"/>
        <w:widowControl w:val="0"/>
        <w:shd w:val="clear" w:color="auto" w:fill="auto"/>
        <w:bidi w:val="0"/>
        <w:spacing w:before="0" w:after="0" w:line="312" w:lineRule="exact"/>
        <w:ind w:left="0" w:right="0" w:firstLine="500"/>
        <w:jc w:val="both"/>
      </w:pPr>
      <w:bookmarkStart w:id="195" w:name="bookmark195"/>
      <w:r>
        <w:rPr>
          <w:b/>
          <w:bCs/>
          <w:color w:val="000000"/>
          <w:spacing w:val="0"/>
          <w:w w:val="100"/>
          <w:position w:val="0"/>
        </w:rPr>
        <w:t>（</w:t>
      </w:r>
      <w:bookmarkEnd w:id="195"/>
      <w:r>
        <w:rPr>
          <w:b/>
          <w:bCs/>
          <w:color w:val="000000"/>
          <w:spacing w:val="0"/>
          <w:w w:val="100"/>
          <w:position w:val="0"/>
        </w:rPr>
        <w:t>1） 调整组织机构，强化“赛马”机制下的人岗匹配，引导经营工作聚焦城市客户服务提升效率</w:t>
      </w:r>
    </w:p>
    <w:p>
      <w:pPr>
        <w:pStyle w:val="Style2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一是推进适应</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背景下建设行业科技创新服务所需的组织机构变革。调整后的部门分为战略、城市业务、产品业 务、职能</w:t>
      </w:r>
      <w:r>
        <w:rPr>
          <w:rFonts w:ascii="Times New Roman" w:eastAsia="Times New Roman" w:hAnsi="Times New Roman" w:cs="Times New Roman"/>
          <w:color w:val="000000"/>
          <w:spacing w:val="0"/>
          <w:w w:val="100"/>
          <w:position w:val="0"/>
        </w:rPr>
        <w:t>4</w:t>
      </w:r>
      <w:r>
        <w:rPr>
          <w:color w:val="000000"/>
          <w:spacing w:val="0"/>
          <w:w w:val="100"/>
          <w:position w:val="0"/>
        </w:rPr>
        <w:t>个板块，重点是实施</w:t>
      </w:r>
      <w:r>
        <w:rPr>
          <w:rFonts w:ascii="Times New Roman" w:eastAsia="Times New Roman" w:hAnsi="Times New Roman" w:cs="Times New Roman"/>
          <w:color w:val="000000"/>
          <w:spacing w:val="0"/>
          <w:w w:val="100"/>
          <w:position w:val="0"/>
        </w:rPr>
        <w:t>“</w:t>
      </w:r>
      <w:r>
        <w:rPr>
          <w:color w:val="000000"/>
          <w:spacing w:val="0"/>
          <w:w w:val="100"/>
          <w:position w:val="0"/>
        </w:rPr>
        <w:t>陪伴式服务的城市客户事业部</w:t>
      </w:r>
      <w:r>
        <w:rPr>
          <w:rFonts w:ascii="Times New Roman" w:eastAsia="Times New Roman" w:hAnsi="Times New Roman" w:cs="Times New Roman"/>
          <w:color w:val="000000"/>
          <w:spacing w:val="0"/>
          <w:w w:val="100"/>
          <w:position w:val="0"/>
        </w:rPr>
        <w:t>+</w:t>
      </w:r>
      <w:r>
        <w:rPr>
          <w:color w:val="000000"/>
          <w:spacing w:val="0"/>
          <w:w w:val="100"/>
          <w:position w:val="0"/>
        </w:rPr>
        <w:t>专业化产品事业部</w:t>
      </w:r>
      <w:r>
        <w:rPr>
          <w:rFonts w:ascii="Times New Roman" w:eastAsia="Times New Roman" w:hAnsi="Times New Roman" w:cs="Times New Roman"/>
          <w:color w:val="000000"/>
          <w:spacing w:val="0"/>
          <w:w w:val="100"/>
          <w:position w:val="0"/>
        </w:rPr>
        <w:t>”</w:t>
      </w:r>
      <w:r>
        <w:rPr>
          <w:color w:val="000000"/>
          <w:spacing w:val="0"/>
          <w:w w:val="100"/>
          <w:position w:val="0"/>
        </w:rPr>
        <w:t>，形成创新的矩阵网络式协同服务能力为 核心的</w:t>
      </w:r>
      <w:r>
        <w:rPr>
          <w:rFonts w:ascii="Times New Roman" w:eastAsia="Times New Roman" w:hAnsi="Times New Roman" w:cs="Times New Roman"/>
          <w:color w:val="000000"/>
          <w:spacing w:val="0"/>
          <w:w w:val="100"/>
          <w:position w:val="0"/>
        </w:rPr>
        <w:t>“</w:t>
      </w:r>
      <w:r>
        <w:rPr>
          <w:color w:val="000000"/>
          <w:spacing w:val="0"/>
          <w:w w:val="100"/>
          <w:position w:val="0"/>
        </w:rPr>
        <w:t>自适应性</w:t>
      </w:r>
      <w:r>
        <w:rPr>
          <w:rFonts w:ascii="Times New Roman" w:eastAsia="Times New Roman" w:hAnsi="Times New Roman" w:cs="Times New Roman"/>
          <w:color w:val="000000"/>
          <w:spacing w:val="0"/>
          <w:w w:val="100"/>
          <w:position w:val="0"/>
        </w:rPr>
        <w:t>”</w:t>
      </w:r>
      <w:r>
        <w:rPr>
          <w:color w:val="000000"/>
          <w:spacing w:val="0"/>
          <w:w w:val="100"/>
          <w:position w:val="0"/>
        </w:rPr>
        <w:t>模式，深化</w:t>
      </w:r>
      <w:r>
        <w:rPr>
          <w:rFonts w:ascii="Times New Roman" w:eastAsia="Times New Roman" w:hAnsi="Times New Roman" w:cs="Times New Roman"/>
          <w:color w:val="000000"/>
          <w:spacing w:val="0"/>
          <w:w w:val="100"/>
          <w:position w:val="0"/>
        </w:rPr>
        <w:t>“</w:t>
      </w:r>
      <w:r>
        <w:rPr>
          <w:color w:val="000000"/>
          <w:spacing w:val="0"/>
          <w:w w:val="100"/>
          <w:position w:val="0"/>
        </w:rPr>
        <w:t>城市客户</w:t>
      </w:r>
      <w:r>
        <w:rPr>
          <w:rFonts w:ascii="Times New Roman" w:eastAsia="Times New Roman" w:hAnsi="Times New Roman" w:cs="Times New Roman"/>
          <w:color w:val="000000"/>
          <w:spacing w:val="0"/>
          <w:w w:val="100"/>
          <w:position w:val="0"/>
        </w:rPr>
        <w:t>”</w:t>
      </w:r>
      <w:r>
        <w:rPr>
          <w:color w:val="000000"/>
          <w:spacing w:val="0"/>
          <w:w w:val="100"/>
          <w:position w:val="0"/>
        </w:rPr>
        <w:t>市场战略和生态</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总师结合的业务模式创新，实现内生业务做强做优。</w:t>
      </w:r>
    </w:p>
    <w:p>
      <w:pPr>
        <w:pStyle w:val="Style2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二是机制创新充分体现自组织管理思想，充分激发积极性和创造性。根据最新组织机构设置，一级部门管理团队全部 竞聘及评估后重新任命，特别是针对城市业务板块，创新以市场、产品、交付</w:t>
      </w:r>
      <w:r>
        <w:rPr>
          <w:rFonts w:ascii="Times New Roman" w:eastAsia="Times New Roman" w:hAnsi="Times New Roman" w:cs="Times New Roman"/>
          <w:color w:val="000000"/>
          <w:spacing w:val="0"/>
          <w:w w:val="100"/>
          <w:position w:val="0"/>
        </w:rPr>
        <w:t>“</w:t>
      </w:r>
      <w:r>
        <w:rPr>
          <w:color w:val="000000"/>
          <w:spacing w:val="0"/>
          <w:w w:val="100"/>
          <w:position w:val="0"/>
        </w:rPr>
        <w:t>铁三角</w:t>
      </w:r>
      <w:r>
        <w:rPr>
          <w:rFonts w:ascii="Times New Roman" w:eastAsia="Times New Roman" w:hAnsi="Times New Roman" w:cs="Times New Roman"/>
          <w:color w:val="000000"/>
          <w:spacing w:val="0"/>
          <w:w w:val="100"/>
          <w:position w:val="0"/>
        </w:rPr>
        <w:t>”</w:t>
      </w:r>
      <w:r>
        <w:rPr>
          <w:color w:val="000000"/>
          <w:spacing w:val="0"/>
          <w:w w:val="100"/>
          <w:position w:val="0"/>
        </w:rPr>
        <w:t>管理团队方式竞聘；随后开展全员</w:t>
      </w:r>
      <w:r>
        <w:rPr>
          <w:rFonts w:ascii="Times New Roman" w:eastAsia="Times New Roman" w:hAnsi="Times New Roman" w:cs="Times New Roman"/>
          <w:color w:val="000000"/>
          <w:spacing w:val="0"/>
          <w:w w:val="100"/>
          <w:position w:val="0"/>
        </w:rPr>
        <w:t>“</w:t>
      </w:r>
      <w:r>
        <w:rPr>
          <w:color w:val="000000"/>
          <w:spacing w:val="0"/>
          <w:w w:val="100"/>
          <w:position w:val="0"/>
        </w:rPr>
        <w:t>双 选</w:t>
      </w:r>
      <w:r>
        <w:rPr>
          <w:rFonts w:ascii="Times New Roman" w:eastAsia="Times New Roman" w:hAnsi="Times New Roman" w:cs="Times New Roman"/>
          <w:color w:val="000000"/>
          <w:spacing w:val="0"/>
          <w:w w:val="100"/>
          <w:position w:val="0"/>
        </w:rPr>
        <w:t>”</w:t>
      </w:r>
      <w:r>
        <w:rPr>
          <w:color w:val="000000"/>
          <w:spacing w:val="0"/>
          <w:w w:val="100"/>
          <w:position w:val="0"/>
        </w:rPr>
        <w:t>，充分体现自组织管理。围绕共同目标、基于规则自主创造、平台化运作的生态系，各团队可用自己擅长的不同策略路 径，重点关注结果和可持续竞争力，共生共长。</w:t>
      </w:r>
    </w:p>
    <w:p>
      <w:pPr>
        <w:pStyle w:val="Style2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三是探索科技型企业的人、岗、职级动态匹配新机制。突出员工双向选择岗位、自主申报确定职级，签署双赢协议， 定岗定职定薪，实现不同时间段公司岗位需求与员工能力、意愿、阶段成长目标之间更好匹配的更多可能性，激发团队每个 人的内驱力、创造力，并聚焦创新价值收益分享。</w:t>
      </w:r>
    </w:p>
    <w:p>
      <w:pPr>
        <w:pStyle w:val="Style20"/>
        <w:keepNext w:val="0"/>
        <w:keepLines w:val="0"/>
        <w:widowControl w:val="0"/>
        <w:shd w:val="clear" w:color="auto" w:fill="auto"/>
        <w:bidi w:val="0"/>
        <w:spacing w:before="0" w:after="0" w:line="312" w:lineRule="exact"/>
        <w:ind w:left="0" w:right="0" w:firstLine="500"/>
        <w:jc w:val="both"/>
      </w:pPr>
      <w:bookmarkStart w:id="196" w:name="bookmark196"/>
      <w:r>
        <w:rPr>
          <w:b/>
          <w:bCs/>
          <w:color w:val="000000"/>
          <w:spacing w:val="0"/>
          <w:w w:val="100"/>
          <w:position w:val="0"/>
        </w:rPr>
        <w:t>（</w:t>
      </w:r>
      <w:bookmarkEnd w:id="196"/>
      <w:r>
        <w:rPr>
          <w:b/>
          <w:bCs/>
          <w:color w:val="000000"/>
          <w:spacing w:val="0"/>
          <w:w w:val="100"/>
          <w:position w:val="0"/>
        </w:rPr>
        <w:t>2） 继续加强团队赋能与培养，促进内生业务做优做强，传承公司企业文化和价值导向</w:t>
      </w:r>
    </w:p>
    <w:p>
      <w:pPr>
        <w:pStyle w:val="Style2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一是用</w:t>
      </w:r>
      <w:r>
        <w:rPr>
          <w:rFonts w:ascii="Times New Roman" w:eastAsia="Times New Roman" w:hAnsi="Times New Roman" w:cs="Times New Roman"/>
          <w:color w:val="000000"/>
          <w:spacing w:val="0"/>
          <w:w w:val="100"/>
          <w:position w:val="0"/>
        </w:rPr>
        <w:t>“</w:t>
      </w:r>
      <w:r>
        <w:rPr>
          <w:color w:val="000000"/>
          <w:spacing w:val="0"/>
          <w:w w:val="100"/>
          <w:position w:val="0"/>
        </w:rPr>
        <w:t>开诚共享，明德向善</w:t>
      </w:r>
      <w:r>
        <w:rPr>
          <w:rFonts w:ascii="Times New Roman" w:eastAsia="Times New Roman" w:hAnsi="Times New Roman" w:cs="Times New Roman"/>
          <w:color w:val="000000"/>
          <w:spacing w:val="0"/>
          <w:w w:val="100"/>
          <w:position w:val="0"/>
        </w:rPr>
        <w:t>”</w:t>
      </w:r>
      <w:r>
        <w:rPr>
          <w:color w:val="000000"/>
          <w:spacing w:val="0"/>
          <w:w w:val="100"/>
          <w:position w:val="0"/>
        </w:rPr>
        <w:t>理念进行思想赋能。推动员工自我认知、自我突破、自我设计、自我适应、自我实现、 自我负责、自我约束、自我发光。</w:t>
      </w:r>
    </w:p>
    <w:p>
      <w:pPr>
        <w:pStyle w:val="Style2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二是用好</w:t>
      </w:r>
      <w:r>
        <w:rPr>
          <w:rFonts w:ascii="Times New Roman" w:eastAsia="Times New Roman" w:hAnsi="Times New Roman" w:cs="Times New Roman"/>
          <w:color w:val="000000"/>
          <w:spacing w:val="0"/>
          <w:w w:val="100"/>
          <w:position w:val="0"/>
        </w:rPr>
        <w:t>“</w:t>
      </w:r>
      <w:r>
        <w:rPr>
          <w:color w:val="000000"/>
          <w:spacing w:val="0"/>
          <w:w w:val="100"/>
          <w:position w:val="0"/>
        </w:rPr>
        <w:t>科改</w:t>
      </w:r>
      <w:r>
        <w:rPr>
          <w:rFonts w:ascii="Times New Roman" w:eastAsia="Times New Roman" w:hAnsi="Times New Roman" w:cs="Times New Roman"/>
          <w:color w:val="000000"/>
          <w:spacing w:val="0"/>
          <w:w w:val="100"/>
          <w:position w:val="0"/>
        </w:rPr>
        <w:t>”</w:t>
      </w:r>
      <w:r>
        <w:rPr>
          <w:color w:val="000000"/>
          <w:spacing w:val="0"/>
          <w:w w:val="100"/>
          <w:position w:val="0"/>
        </w:rPr>
        <w:t>形成的管理工具箱进行机制赋能。包括实施</w:t>
      </w:r>
      <w:r>
        <w:rPr>
          <w:rFonts w:ascii="Times New Roman" w:eastAsia="Times New Roman" w:hAnsi="Times New Roman" w:cs="Times New Roman"/>
          <w:color w:val="000000"/>
          <w:spacing w:val="0"/>
          <w:w w:val="100"/>
          <w:position w:val="0"/>
        </w:rPr>
        <w:t>“IBR</w:t>
      </w:r>
      <w:r>
        <w:rPr>
          <w:color w:val="000000"/>
          <w:spacing w:val="0"/>
          <w:w w:val="100"/>
          <w:position w:val="0"/>
        </w:rPr>
        <w:t>蜜蜂激励模型</w:t>
      </w:r>
      <w:r>
        <w:rPr>
          <w:rFonts w:ascii="Times New Roman" w:eastAsia="Times New Roman" w:hAnsi="Times New Roman" w:cs="Times New Roman"/>
          <w:color w:val="000000"/>
          <w:spacing w:val="0"/>
          <w:w w:val="100"/>
          <w:position w:val="0"/>
        </w:rPr>
        <w:t>”</w:t>
      </w:r>
      <w:r>
        <w:rPr>
          <w:color w:val="000000"/>
          <w:spacing w:val="0"/>
          <w:w w:val="100"/>
          <w:position w:val="0"/>
        </w:rPr>
        <w:t>的各项中长期激励计划等。同时，用好 各种政策，吸引更多专业领域具备创新思维的优秀团队加入绿色城市和双碳事业。</w:t>
      </w:r>
    </w:p>
    <w:p>
      <w:pPr>
        <w:pStyle w:val="Style2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三是用好各领域顾问团队等行业资源进行专业赋能。包括市场、管理、技术等领域，通过评估、教练式辅导、培训、 调研、研讨等多种方式开展。</w:t>
      </w:r>
    </w:p>
    <w:p>
      <w:pPr>
        <w:pStyle w:val="Style20"/>
        <w:keepNext w:val="0"/>
        <w:keepLines w:val="0"/>
        <w:widowControl w:val="0"/>
        <w:shd w:val="clear" w:color="auto" w:fill="auto"/>
        <w:tabs>
          <w:tab w:pos="916" w:val="left"/>
        </w:tabs>
        <w:bidi w:val="0"/>
        <w:spacing w:before="0" w:after="0" w:line="312" w:lineRule="exact"/>
        <w:ind w:left="0" w:right="0" w:firstLine="500"/>
        <w:jc w:val="both"/>
      </w:pPr>
      <w:bookmarkStart w:id="197" w:name="bookmark197"/>
      <w:r>
        <w:rPr>
          <w:b/>
          <w:bCs/>
          <w:color w:val="000000"/>
          <w:spacing w:val="0"/>
          <w:w w:val="100"/>
          <w:position w:val="0"/>
        </w:rPr>
        <w:t>（</w:t>
      </w:r>
      <w:bookmarkEnd w:id="197"/>
      <w:r>
        <w:rPr>
          <w:b/>
          <w:bCs/>
          <w:color w:val="000000"/>
          <w:spacing w:val="0"/>
          <w:w w:val="100"/>
          <w:position w:val="0"/>
        </w:rPr>
        <w:t>3）</w:t>
        <w:tab/>
        <w:t>继续完善数字化的自组织平台“乐活工社”，客观量化评价人岗匹配度</w:t>
      </w:r>
    </w:p>
    <w:p>
      <w:pPr>
        <w:pStyle w:val="Style2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启动乐活平台二期建设，用大数据、人工智能、区块链等数字化技术来记录员工自组织管理，行为留痕，并探索</w:t>
      </w:r>
      <w:r>
        <w:rPr>
          <w:rFonts w:ascii="Times New Roman" w:eastAsia="Times New Roman" w:hAnsi="Times New Roman" w:cs="Times New Roman"/>
          <w:color w:val="000000"/>
          <w:spacing w:val="0"/>
          <w:w w:val="100"/>
          <w:position w:val="0"/>
        </w:rPr>
        <w:t>“</w:t>
      </w:r>
      <w:r>
        <w:rPr>
          <w:color w:val="000000"/>
          <w:spacing w:val="0"/>
          <w:w w:val="100"/>
          <w:position w:val="0"/>
        </w:rPr>
        <w:t>行为 画像</w:t>
      </w:r>
      <w:r>
        <w:rPr>
          <w:rFonts w:ascii="Times New Roman" w:eastAsia="Times New Roman" w:hAnsi="Times New Roman" w:cs="Times New Roman"/>
          <w:color w:val="000000"/>
          <w:spacing w:val="0"/>
          <w:w w:val="100"/>
          <w:position w:val="0"/>
        </w:rPr>
        <w:t>”</w:t>
      </w:r>
      <w:r>
        <w:rPr>
          <w:color w:val="000000"/>
          <w:spacing w:val="0"/>
          <w:w w:val="100"/>
          <w:position w:val="0"/>
        </w:rPr>
        <w:t>对管理、监督的价值和实现路径，推动员工评价机制的自主化、信用化、数据化。</w:t>
      </w:r>
    </w:p>
    <w:p>
      <w:pPr>
        <w:pStyle w:val="Style20"/>
        <w:keepNext w:val="0"/>
        <w:keepLines w:val="0"/>
        <w:widowControl w:val="0"/>
        <w:numPr>
          <w:ilvl w:val="0"/>
          <w:numId w:val="23"/>
        </w:numPr>
        <w:shd w:val="clear" w:color="auto" w:fill="auto"/>
        <w:tabs>
          <w:tab w:pos="787" w:val="left"/>
        </w:tabs>
        <w:bidi w:val="0"/>
        <w:spacing w:before="0" w:after="0" w:line="312" w:lineRule="exact"/>
        <w:ind w:left="0" w:right="0" w:firstLine="500"/>
        <w:jc w:val="both"/>
      </w:pPr>
      <w:bookmarkStart w:id="198" w:name="bookmark198"/>
      <w:bookmarkEnd w:id="198"/>
      <w:r>
        <w:rPr>
          <w:b/>
          <w:bCs/>
          <w:color w:val="000000"/>
          <w:spacing w:val="0"/>
          <w:w w:val="100"/>
          <w:position w:val="0"/>
        </w:rPr>
        <w:t>以全面预算管理和数字化为抓手，推动集团化需求下的内控风险管理提升</w:t>
      </w:r>
    </w:p>
    <w:p>
      <w:pPr>
        <w:pStyle w:val="Style2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一是用好全面预算管理。通过数字化、平台化的规则优化，在确保内控要求的前提下，充分授权，动态监控，做到效 率与责权一致，为推动集团化进行预演。</w:t>
      </w:r>
    </w:p>
    <w:p>
      <w:pPr>
        <w:pStyle w:val="Style2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二是继续探索</w:t>
      </w:r>
      <w:r>
        <w:rPr>
          <w:rFonts w:ascii="Times New Roman" w:eastAsia="Times New Roman" w:hAnsi="Times New Roman" w:cs="Times New Roman"/>
          <w:color w:val="000000"/>
          <w:spacing w:val="0"/>
          <w:w w:val="100"/>
          <w:position w:val="0"/>
        </w:rPr>
        <w:t>“</w:t>
      </w:r>
      <w:r>
        <w:rPr>
          <w:color w:val="000000"/>
          <w:spacing w:val="0"/>
          <w:w w:val="100"/>
          <w:position w:val="0"/>
        </w:rPr>
        <w:t>监督即服务</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w:t>
      </w:r>
      <w:r>
        <w:rPr>
          <w:color w:val="000000"/>
          <w:spacing w:val="0"/>
          <w:w w:val="100"/>
          <w:position w:val="0"/>
        </w:rPr>
        <w:t>六位一体</w:t>
      </w:r>
      <w:r>
        <w:rPr>
          <w:rFonts w:ascii="Times New Roman" w:eastAsia="Times New Roman" w:hAnsi="Times New Roman" w:cs="Times New Roman"/>
          <w:color w:val="000000"/>
          <w:spacing w:val="0"/>
          <w:w w:val="100"/>
          <w:position w:val="0"/>
        </w:rPr>
        <w:t>”</w:t>
      </w:r>
      <w:r>
        <w:rPr>
          <w:color w:val="000000"/>
          <w:spacing w:val="0"/>
          <w:w w:val="100"/>
          <w:position w:val="0"/>
        </w:rPr>
        <w:t>监督模式。将纪检监察、监事会、财务总监、内部审计、内控、风控等协同 联动，把准监督要点，紧盯关键岗位，强化执纪力度，下沉一线工作，形成监督合力，提高监督效率。同时，让监督更有温 度，让监督手段前移到基层、外地分支机构，更好地保护干部员工的同时，防微杜渐。</w:t>
      </w:r>
    </w:p>
    <w:p>
      <w:pPr>
        <w:pStyle w:val="Style20"/>
        <w:keepNext w:val="0"/>
        <w:keepLines w:val="0"/>
        <w:widowControl w:val="0"/>
        <w:shd w:val="clear" w:color="auto" w:fill="auto"/>
        <w:bidi w:val="0"/>
        <w:spacing w:before="0" w:after="0" w:line="312" w:lineRule="exact"/>
        <w:ind w:left="0" w:right="0" w:firstLine="500"/>
        <w:jc w:val="both"/>
      </w:pPr>
      <w:bookmarkStart w:id="199" w:name="bookmark199"/>
      <w:r>
        <w:rPr>
          <w:b/>
          <w:bCs/>
          <w:color w:val="000000"/>
          <w:spacing w:val="0"/>
          <w:w w:val="100"/>
          <w:position w:val="0"/>
        </w:rPr>
        <w:t>（</w:t>
      </w:r>
      <w:bookmarkEnd w:id="199"/>
      <w:r>
        <w:rPr>
          <w:b/>
          <w:bCs/>
          <w:color w:val="000000"/>
          <w:spacing w:val="0"/>
          <w:w w:val="100"/>
          <w:position w:val="0"/>
        </w:rPr>
        <w:t>三）面临的主要风险及对策</w:t>
      </w:r>
    </w:p>
    <w:p>
      <w:pPr>
        <w:pStyle w:val="Style20"/>
        <w:keepNext w:val="0"/>
        <w:keepLines w:val="0"/>
        <w:widowControl w:val="0"/>
        <w:numPr>
          <w:ilvl w:val="0"/>
          <w:numId w:val="25"/>
        </w:numPr>
        <w:shd w:val="clear" w:color="auto" w:fill="auto"/>
        <w:tabs>
          <w:tab w:pos="758" w:val="left"/>
        </w:tabs>
        <w:bidi w:val="0"/>
        <w:spacing w:before="0" w:after="0" w:line="312" w:lineRule="exact"/>
        <w:ind w:left="0" w:right="0" w:firstLine="500"/>
        <w:jc w:val="both"/>
      </w:pPr>
      <w:bookmarkStart w:id="200" w:name="bookmark200"/>
      <w:bookmarkEnd w:id="200"/>
      <w:r>
        <w:rPr>
          <w:color w:val="000000"/>
          <w:spacing w:val="0"/>
          <w:w w:val="100"/>
          <w:position w:val="0"/>
        </w:rPr>
        <w:t>政策风险：当前，中国经济正处于由高速增长阶段转向高质量发展阶段的时期，近年来经济转型、创新驱动、产业 结构优化、生态文明建设、区域改革试点等政策不断出台，深化供给侧结构性改革、深化要素市场化配置改革、完善国企国 资改革方案、实施区域协调发展战略等推动经济高质量发展的举措不断推进，行业市场竞争格局发生着深刻变化，新技术、 新业态、新模式、新经济都将对公司发展产生影响，要求公司不断提升环境适配能力。</w:t>
      </w:r>
    </w:p>
    <w:p>
      <w:pPr>
        <w:pStyle w:val="Style2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风险应对策略：及时深入分析政策变化、积极响应国家政策导向、抓住新的行业发展机遇。</w:t>
      </w:r>
    </w:p>
    <w:p>
      <w:pPr>
        <w:pStyle w:val="Style20"/>
        <w:keepNext w:val="0"/>
        <w:keepLines w:val="0"/>
        <w:widowControl w:val="0"/>
        <w:numPr>
          <w:ilvl w:val="0"/>
          <w:numId w:val="25"/>
        </w:numPr>
        <w:shd w:val="clear" w:color="auto" w:fill="auto"/>
        <w:tabs>
          <w:tab w:pos="787" w:val="left"/>
        </w:tabs>
        <w:bidi w:val="0"/>
        <w:spacing w:before="0" w:after="0" w:line="312" w:lineRule="exact"/>
        <w:ind w:left="0" w:right="0" w:firstLine="500"/>
        <w:jc w:val="both"/>
      </w:pPr>
      <w:bookmarkStart w:id="201" w:name="bookmark201"/>
      <w:bookmarkEnd w:id="201"/>
      <w:r>
        <w:rPr>
          <w:color w:val="000000"/>
          <w:spacing w:val="0"/>
          <w:w w:val="100"/>
          <w:position w:val="0"/>
        </w:rPr>
        <w:t>市场竞争风险：行业政策、业主需求变化等因素会对公司市场拓展产生直接影响。同时，随着行业资质管理改革的</w:t>
      </w:r>
    </w:p>
    <w:p>
      <w:pPr>
        <w:pStyle w:val="Style20"/>
        <w:keepNext w:val="0"/>
        <w:keepLines w:val="0"/>
        <w:widowControl w:val="0"/>
        <w:shd w:val="clear" w:color="auto" w:fill="auto"/>
        <w:bidi w:val="0"/>
        <w:spacing w:before="0" w:after="0" w:line="314" w:lineRule="exact"/>
        <w:ind w:left="0" w:right="0" w:firstLine="4940"/>
        <w:jc w:val="left"/>
      </w:pPr>
      <w:r>
        <w:rPr>
          <w:color w:val="000000"/>
          <w:spacing w:val="0"/>
          <w:w w:val="100"/>
          <w:position w:val="0"/>
          <w:u w:val="single"/>
        </w:rPr>
        <w:t>深圳市建筑科学研究院股份有限公司</w:t>
      </w:r>
      <w:r>
        <w:rPr>
          <w:rFonts w:ascii="Times New Roman" w:eastAsia="Times New Roman" w:hAnsi="Times New Roman" w:cs="Times New Roman"/>
          <w:color w:val="000000"/>
          <w:spacing w:val="0"/>
          <w:w w:val="100"/>
          <w:position w:val="0"/>
          <w:u w:val="single"/>
        </w:rPr>
        <w:t>2021</w:t>
      </w:r>
      <w:r>
        <w:rPr>
          <w:color w:val="000000"/>
          <w:spacing w:val="0"/>
          <w:w w:val="100"/>
          <w:position w:val="0"/>
          <w:u w:val="single"/>
        </w:rPr>
        <w:t xml:space="preserve">年年度报告全文 </w:t>
      </w:r>
      <w:r>
        <w:rPr>
          <w:color w:val="000000"/>
          <w:spacing w:val="0"/>
          <w:w w:val="100"/>
          <w:position w:val="0"/>
        </w:rPr>
        <w:t>深入，行业市场化进程将进一步推进，包括工程总承包企业、业内新企业和业外企业等不断进入，公司将面临更为激烈的市 场竞争环境，存在因市场竞争加剧导致盈利水平下降的风险。</w:t>
      </w:r>
    </w:p>
    <w:p>
      <w:pPr>
        <w:pStyle w:val="Style20"/>
        <w:keepNext w:val="0"/>
        <w:keepLines w:val="0"/>
        <w:widowControl w:val="0"/>
        <w:shd w:val="clear" w:color="auto" w:fill="auto"/>
        <w:bidi w:val="0"/>
        <w:spacing w:before="0" w:after="0" w:line="314" w:lineRule="exact"/>
        <w:ind w:left="0" w:right="0" w:firstLine="500"/>
        <w:jc w:val="left"/>
      </w:pPr>
      <w:r>
        <w:rPr>
          <w:color w:val="000000"/>
          <w:spacing w:val="0"/>
          <w:w w:val="100"/>
          <w:position w:val="0"/>
        </w:rPr>
        <w:t>风险应对策略：建立规范的市场战略管理机制。每年对公司战略和市场战略规划执行情况进行检查与评估，及时发现 总体规划实施过程中存在的问题，并提出改进建议；按照三年周期，对规划进行滚动调整，并在遇到外部环境（如宏观经济 形势和行业政策等）或内部条件发生重大变化的情形，适时对战略规划进行适当修订。</w:t>
      </w:r>
    </w:p>
    <w:p>
      <w:pPr>
        <w:pStyle w:val="Style20"/>
        <w:keepNext w:val="0"/>
        <w:keepLines w:val="0"/>
        <w:widowControl w:val="0"/>
        <w:numPr>
          <w:ilvl w:val="0"/>
          <w:numId w:val="25"/>
        </w:numPr>
        <w:shd w:val="clear" w:color="auto" w:fill="auto"/>
        <w:tabs>
          <w:tab w:pos="737" w:val="left"/>
        </w:tabs>
        <w:bidi w:val="0"/>
        <w:spacing w:before="0" w:after="0" w:line="314" w:lineRule="exact"/>
        <w:ind w:left="0" w:right="0" w:firstLine="500"/>
        <w:jc w:val="left"/>
      </w:pPr>
      <w:bookmarkStart w:id="202" w:name="bookmark202"/>
      <w:bookmarkEnd w:id="202"/>
      <w:r>
        <w:rPr>
          <w:color w:val="000000"/>
          <w:spacing w:val="0"/>
          <w:w w:val="100"/>
          <w:position w:val="0"/>
        </w:rPr>
        <w:t>技术风险：科研创新及成果转化是公司业务创新的重要支撑，这意味着公司需要持续保持一定的研发投入。但研发 投入客观上也存在无法转化为技术成果或科研产业化失败的风险。</w:t>
      </w:r>
    </w:p>
    <w:p>
      <w:pPr>
        <w:pStyle w:val="Style20"/>
        <w:keepNext w:val="0"/>
        <w:keepLines w:val="0"/>
        <w:widowControl w:val="0"/>
        <w:shd w:val="clear" w:color="auto" w:fill="auto"/>
        <w:bidi w:val="0"/>
        <w:spacing w:before="0" w:after="0" w:line="314" w:lineRule="exact"/>
        <w:ind w:left="0" w:right="0" w:firstLine="500"/>
        <w:jc w:val="left"/>
      </w:pPr>
      <w:r>
        <w:rPr>
          <w:color w:val="000000"/>
          <w:spacing w:val="0"/>
          <w:w w:val="100"/>
          <w:position w:val="0"/>
        </w:rPr>
        <w:t>风险应对策略：基于董事会市场与科技创新委员会建设，完善公司研发管理体系和技术成果转化的业务体系对接，规 范化决策程序、过程控制和成果评估。注重决策风险控制，强化过程监督的同时落实好科研容错管理。</w:t>
      </w:r>
    </w:p>
    <w:p>
      <w:pPr>
        <w:pStyle w:val="Style20"/>
        <w:keepNext w:val="0"/>
        <w:keepLines w:val="0"/>
        <w:widowControl w:val="0"/>
        <w:numPr>
          <w:ilvl w:val="0"/>
          <w:numId w:val="25"/>
        </w:numPr>
        <w:shd w:val="clear" w:color="auto" w:fill="auto"/>
        <w:tabs>
          <w:tab w:pos="732" w:val="left"/>
        </w:tabs>
        <w:bidi w:val="0"/>
        <w:spacing w:before="0" w:after="0" w:line="314" w:lineRule="exact"/>
        <w:ind w:left="0" w:right="0" w:firstLine="500"/>
        <w:jc w:val="left"/>
      </w:pPr>
      <w:bookmarkStart w:id="203" w:name="bookmark203"/>
      <w:bookmarkEnd w:id="203"/>
      <w:r>
        <w:rPr>
          <w:color w:val="000000"/>
          <w:spacing w:val="0"/>
          <w:w w:val="100"/>
          <w:position w:val="0"/>
        </w:rPr>
        <w:t>业务运作风险：相比传统的设计咨询项目，公司项目类型更为多元化，新的工程、运营、投资等项目受市场、政策、 管理等方面的因素影响，面临周期长、协调环节多、运作更为复杂等情况，客观存在项目运作风险。</w:t>
      </w:r>
    </w:p>
    <w:p>
      <w:pPr>
        <w:pStyle w:val="Style20"/>
        <w:keepNext w:val="0"/>
        <w:keepLines w:val="0"/>
        <w:widowControl w:val="0"/>
        <w:shd w:val="clear" w:color="auto" w:fill="auto"/>
        <w:bidi w:val="0"/>
        <w:spacing w:before="0" w:after="0" w:line="314" w:lineRule="exact"/>
        <w:ind w:left="0" w:right="0" w:firstLine="500"/>
        <w:jc w:val="left"/>
      </w:pPr>
      <w:r>
        <w:rPr>
          <w:color w:val="000000"/>
          <w:spacing w:val="0"/>
          <w:w w:val="100"/>
          <w:position w:val="0"/>
        </w:rPr>
        <w:t>风险应对策略：持续完善全面风险与内控管理制度体系，迭代公司风险管理手册，以有效指导日常工作；以风险信息 收集、风险辨识为着力点，全面促进各业务单元风险管控体系建设和风险评估工作开展，督促风险管理策略有效落实，确保 公司整体风险可控受控；加强合规与廉洁自律及监督体系投入，特别是对供应商、合作方严把合规廉洁关。</w:t>
      </w:r>
    </w:p>
    <w:p>
      <w:pPr>
        <w:pStyle w:val="Style20"/>
        <w:keepNext w:val="0"/>
        <w:keepLines w:val="0"/>
        <w:widowControl w:val="0"/>
        <w:numPr>
          <w:ilvl w:val="0"/>
          <w:numId w:val="25"/>
        </w:numPr>
        <w:shd w:val="clear" w:color="auto" w:fill="auto"/>
        <w:tabs>
          <w:tab w:pos="747" w:val="left"/>
        </w:tabs>
        <w:bidi w:val="0"/>
        <w:spacing w:before="0" w:after="0" w:line="314" w:lineRule="exact"/>
        <w:ind w:left="0" w:right="0" w:firstLine="500"/>
        <w:jc w:val="left"/>
      </w:pPr>
      <w:bookmarkStart w:id="204" w:name="bookmark204"/>
      <w:bookmarkEnd w:id="204"/>
      <w:r>
        <w:rPr>
          <w:color w:val="000000"/>
          <w:spacing w:val="0"/>
          <w:w w:val="100"/>
          <w:position w:val="0"/>
        </w:rPr>
        <w:t>项目管理风险：在国家推行</w:t>
      </w:r>
      <w:r>
        <w:rPr>
          <w:rFonts w:ascii="Times New Roman" w:eastAsia="Times New Roman" w:hAnsi="Times New Roman" w:cs="Times New Roman"/>
          <w:color w:val="000000"/>
          <w:spacing w:val="0"/>
          <w:w w:val="100"/>
          <w:position w:val="0"/>
        </w:rPr>
        <w:t>“</w:t>
      </w:r>
      <w:r>
        <w:rPr>
          <w:color w:val="000000"/>
          <w:spacing w:val="0"/>
          <w:w w:val="100"/>
          <w:position w:val="0"/>
        </w:rPr>
        <w:t>建筑师负责制</w:t>
      </w:r>
      <w:r>
        <w:rPr>
          <w:rFonts w:ascii="Times New Roman" w:eastAsia="Times New Roman" w:hAnsi="Times New Roman" w:cs="Times New Roman"/>
          <w:color w:val="000000"/>
          <w:spacing w:val="0"/>
          <w:w w:val="100"/>
          <w:position w:val="0"/>
        </w:rPr>
        <w:t>”</w:t>
      </w:r>
      <w:r>
        <w:rPr>
          <w:color w:val="000000"/>
          <w:spacing w:val="0"/>
          <w:w w:val="100"/>
          <w:position w:val="0"/>
        </w:rPr>
        <w:t>的背景下，建筑师在工程项目全过程中被赋予了更为关键的设计质量把 控和管理的职责，对建筑师在质量、成本、进度、跨专业协调、采购、施工等的项目管理能力提出了更高的要求。公司不断 加强全过程及协同服务能力，在行业领域的水平扩张和产业价值链的垂直整合、全国化拓展和跨区域经营对于资源整合、组 织及项目的有效管理和无缝对接的要求不断提升。同时，信息、项目、人力资源、资金等内部资源的调配和管理，与客户、 政府部门、施工单位、监理单位等外部合作单位之间的沟通和协调，都对公司的管理能力提出了更高要求。此外，随着</w:t>
      </w:r>
      <w:r>
        <w:rPr>
          <w:rFonts w:ascii="Times New Roman" w:eastAsia="Times New Roman" w:hAnsi="Times New Roman" w:cs="Times New Roman"/>
          <w:color w:val="000000"/>
          <w:spacing w:val="0"/>
          <w:w w:val="100"/>
          <w:position w:val="0"/>
        </w:rPr>
        <w:t xml:space="preserve">EPC </w:t>
      </w:r>
      <w:r>
        <w:rPr>
          <w:color w:val="000000"/>
          <w:spacing w:val="0"/>
          <w:w w:val="100"/>
          <w:position w:val="0"/>
        </w:rPr>
        <w:t>工程总承包业务的扩大，公司也面临项目管理、合同管理、进度管理、采购及施工分包等方面的风险因素。</w:t>
      </w:r>
    </w:p>
    <w:p>
      <w:pPr>
        <w:pStyle w:val="Style20"/>
        <w:keepNext w:val="0"/>
        <w:keepLines w:val="0"/>
        <w:widowControl w:val="0"/>
        <w:shd w:val="clear" w:color="auto" w:fill="auto"/>
        <w:bidi w:val="0"/>
        <w:spacing w:before="0" w:after="0" w:line="314" w:lineRule="exact"/>
        <w:ind w:left="0" w:right="0" w:firstLine="500"/>
        <w:jc w:val="both"/>
      </w:pPr>
      <w:r>
        <w:rPr>
          <w:color w:val="000000"/>
          <w:spacing w:val="0"/>
          <w:w w:val="100"/>
          <w:position w:val="0"/>
        </w:rPr>
        <w:t>风险应对策略：提升项目管理水平，严格把控项目进展，以优质的服务提升客户及市场的满意度。</w:t>
      </w:r>
    </w:p>
    <w:p>
      <w:pPr>
        <w:pStyle w:val="Style20"/>
        <w:keepNext w:val="0"/>
        <w:keepLines w:val="0"/>
        <w:widowControl w:val="0"/>
        <w:numPr>
          <w:ilvl w:val="0"/>
          <w:numId w:val="25"/>
        </w:numPr>
        <w:shd w:val="clear" w:color="auto" w:fill="auto"/>
        <w:tabs>
          <w:tab w:pos="737" w:val="left"/>
        </w:tabs>
        <w:bidi w:val="0"/>
        <w:spacing w:before="0" w:after="0" w:line="314" w:lineRule="exact"/>
        <w:ind w:left="0" w:right="0" w:firstLine="500"/>
        <w:jc w:val="both"/>
      </w:pPr>
      <w:bookmarkStart w:id="205" w:name="bookmark205"/>
      <w:bookmarkEnd w:id="205"/>
      <w:r>
        <w:rPr>
          <w:color w:val="000000"/>
          <w:spacing w:val="0"/>
          <w:w w:val="100"/>
          <w:position w:val="0"/>
        </w:rPr>
        <w:t>人才风险：公司作为科技型企业，在人才激励、职业发展体系建设、知识价值认定等方面仍存在较大可提升空间； 同时，在深化机制改革和业务模式转型过程中，对于新型人才仍存在大量需求，其中就包括投资管理人才、产业运营人才、 高级研发人才等，这类人才与技术类人才有较大的差异性，客观上存在人才的招募、激励、使用等方面的风险。</w:t>
      </w:r>
    </w:p>
    <w:p>
      <w:pPr>
        <w:pStyle w:val="Style20"/>
        <w:keepNext w:val="0"/>
        <w:keepLines w:val="0"/>
        <w:widowControl w:val="0"/>
        <w:shd w:val="clear" w:color="auto" w:fill="auto"/>
        <w:bidi w:val="0"/>
        <w:spacing w:before="0" w:after="0" w:line="314" w:lineRule="exact"/>
        <w:ind w:left="0" w:right="0" w:firstLine="500"/>
        <w:jc w:val="both"/>
      </w:pPr>
      <w:r>
        <w:rPr>
          <w:color w:val="000000"/>
          <w:spacing w:val="0"/>
          <w:w w:val="100"/>
          <w:position w:val="0"/>
        </w:rPr>
        <w:t>风险应对策略：加强人力资源管理，继续推动薪酬和激励机制改革，健全骨干人才培养体系，促进现有人员提升视野、 专业创新能力、职业化和效率的提升，加强技术专家返聘；建立科学的人才引进、选拔、适用的竞争机制，加大具有创业意 识和能力、国际视野和职业化水平的人员引入；继续推动管理者素质评估和战斗力。</w:t>
      </w:r>
    </w:p>
    <w:p>
      <w:pPr>
        <w:pStyle w:val="Style20"/>
        <w:keepNext w:val="0"/>
        <w:keepLines w:val="0"/>
        <w:widowControl w:val="0"/>
        <w:numPr>
          <w:ilvl w:val="0"/>
          <w:numId w:val="25"/>
        </w:numPr>
        <w:shd w:val="clear" w:color="auto" w:fill="auto"/>
        <w:tabs>
          <w:tab w:pos="742" w:val="left"/>
        </w:tabs>
        <w:bidi w:val="0"/>
        <w:spacing w:before="0" w:after="0" w:line="314" w:lineRule="exact"/>
        <w:ind w:left="0" w:right="0" w:firstLine="500"/>
        <w:jc w:val="both"/>
      </w:pPr>
      <w:bookmarkStart w:id="206" w:name="bookmark206"/>
      <w:bookmarkEnd w:id="206"/>
      <w:r>
        <w:rPr>
          <w:color w:val="000000"/>
          <w:spacing w:val="0"/>
          <w:w w:val="100"/>
          <w:position w:val="0"/>
        </w:rPr>
        <w:t>新冠疫情等重大不确定因素影响的风险。新冠疫情的反复和后续对社会、经济环境的影响，可能会对公司市场业务 开拓、经营生产组织产生干扰，存在影响公司未来业绩目标实现的风险。</w:t>
      </w:r>
    </w:p>
    <w:p>
      <w:pPr>
        <w:pStyle w:val="Style20"/>
        <w:keepNext w:val="0"/>
        <w:keepLines w:val="0"/>
        <w:widowControl w:val="0"/>
        <w:shd w:val="clear" w:color="auto" w:fill="auto"/>
        <w:bidi w:val="0"/>
        <w:spacing w:before="0" w:after="360" w:line="314" w:lineRule="exact"/>
        <w:ind w:left="0" w:right="0" w:firstLine="500"/>
        <w:jc w:val="both"/>
      </w:pPr>
      <w:r>
        <w:rPr>
          <w:color w:val="000000"/>
          <w:spacing w:val="0"/>
          <w:w w:val="100"/>
          <w:position w:val="0"/>
        </w:rPr>
        <w:t>风险应对策略：及时关注疫情发展，根据相关政策要求及时调整人员流动要求，做好防疫工作；同时利用好现有移动 办公、远程办公工具并不断完善升级，以此为契机推进</w:t>
      </w:r>
      <w:r>
        <w:rPr>
          <w:rFonts w:ascii="Times New Roman" w:eastAsia="Times New Roman" w:hAnsi="Times New Roman" w:cs="Times New Roman"/>
          <w:color w:val="000000"/>
          <w:spacing w:val="0"/>
          <w:w w:val="100"/>
          <w:position w:val="0"/>
        </w:rPr>
        <w:t>“</w:t>
      </w:r>
      <w:r>
        <w:rPr>
          <w:color w:val="000000"/>
          <w:spacing w:val="0"/>
          <w:w w:val="100"/>
          <w:position w:val="0"/>
        </w:rPr>
        <w:t>自组织</w:t>
      </w:r>
      <w:r>
        <w:rPr>
          <w:rFonts w:ascii="Times New Roman" w:eastAsia="Times New Roman" w:hAnsi="Times New Roman" w:cs="Times New Roman"/>
          <w:color w:val="000000"/>
          <w:spacing w:val="0"/>
          <w:w w:val="100"/>
          <w:position w:val="0"/>
        </w:rPr>
        <w:t>”</w:t>
      </w:r>
      <w:r>
        <w:rPr>
          <w:color w:val="000000"/>
          <w:spacing w:val="0"/>
          <w:w w:val="100"/>
          <w:position w:val="0"/>
        </w:rPr>
        <w:t>管理建设。</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4"/>
          <w:szCs w:val="24"/>
        </w:rPr>
        <w:t>十二、报告期内接待调研、沟通、采访等活动登记表</w:t>
      </w:r>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95" w:right="1034" w:bottom="1406" w:left="1094" w:header="0" w:footer="3" w:gutter="0"/>
          <w:cols w:space="720"/>
          <w:noEndnote/>
          <w:rtlGutter w:val="0"/>
          <w:docGrid w:linePitch="360"/>
        </w:sectPr>
      </w:pPr>
      <w:r>
        <w:rPr>
          <w:color w:val="000000"/>
          <w:spacing w:val="0"/>
          <w:w w:val="100"/>
          <w:position w:val="0"/>
        </w:rPr>
        <w:t>公司报告期内未发生接待调研、沟通、采访等活动。</w:t>
      </w:r>
    </w:p>
    <w:p>
      <w:pPr>
        <w:pStyle w:val="Style13"/>
        <w:keepNext/>
        <w:keepLines/>
        <w:widowControl w:val="0"/>
        <w:shd w:val="clear" w:color="auto" w:fill="auto"/>
        <w:bidi w:val="0"/>
        <w:spacing w:before="460" w:line="240" w:lineRule="auto"/>
        <w:ind w:left="0" w:right="0" w:firstLine="0"/>
        <w:jc w:val="center"/>
      </w:pPr>
      <w:bookmarkStart w:id="207" w:name="bookmark207"/>
      <w:bookmarkStart w:id="208" w:name="bookmark208"/>
      <w:bookmarkStart w:id="209" w:name="bookmark209"/>
      <w:r>
        <w:rPr>
          <w:color w:val="000000"/>
          <w:spacing w:val="0"/>
          <w:w w:val="100"/>
          <w:position w:val="0"/>
        </w:rPr>
        <w:t>第四节公司治理</w:t>
      </w:r>
      <w:bookmarkEnd w:id="207"/>
      <w:bookmarkEnd w:id="208"/>
      <w:bookmarkEnd w:id="209"/>
    </w:p>
    <w:p>
      <w:pPr>
        <w:pStyle w:val="Style26"/>
        <w:keepNext w:val="0"/>
        <w:keepLines w:val="0"/>
        <w:widowControl w:val="0"/>
        <w:shd w:val="clear" w:color="auto" w:fill="auto"/>
        <w:bidi w:val="0"/>
        <w:spacing w:before="0" w:after="240" w:line="240" w:lineRule="auto"/>
        <w:ind w:left="0" w:right="0" w:firstLine="0"/>
        <w:jc w:val="left"/>
      </w:pPr>
      <w:bookmarkStart w:id="210" w:name="bookmark210"/>
      <w:r>
        <w:rPr>
          <w:color w:val="000000"/>
          <w:spacing w:val="0"/>
          <w:w w:val="100"/>
          <w:position w:val="0"/>
          <w:sz w:val="24"/>
          <w:szCs w:val="24"/>
        </w:rPr>
        <w:t>一</w:t>
      </w:r>
      <w:bookmarkEnd w:id="210"/>
      <w:r>
        <w:rPr>
          <w:color w:val="000000"/>
          <w:spacing w:val="0"/>
          <w:w w:val="100"/>
          <w:position w:val="0"/>
          <w:sz w:val="24"/>
          <w:szCs w:val="24"/>
        </w:rPr>
        <w:t>、公司治理的基本状况</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报告期内，公司依照规范的公司治理结构运作，股东大会、董事会及其专门委员会、监事会、管理层均能严格按照《公司法》 《证券法》《上市公司治理准则》《深圳证券交易所创业板股票上市规则》《深圳证券交易所创业板上市公司规范运作指引》 和中国证监会有关法律法规等要求，履行各自的权利和义务。截至报告期末，上述机构和人员依法运作，未出现违法、违规 现象，能够切实履行应尽的职责和义务，公司治理的实际状况符合《上市公司治理准则》和《深圳证券交易所创业板上市公 司规范运作指引》的要求。</w:t>
      </w:r>
    </w:p>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公司依据有关法律法规、监管部门和公司实际情况，在治理方面制定了各项规章制度，主要有《公司章程》《公司股东大会 议事规则》《公司董事会议事规则》《公司监事会议事规则》《公司董事会战略委员会议事规则》《公司董事会提名委员会 议事规则》《公司董事会薪酬与考核委员会议事规则》《公司董事会审计委员会议事规则》《公司独立董事工作管理办法》 《公司董事会秘书工作制度》《公司总经理工作细则》《公司对外投资管理办法》《公司对外担保管理办法》《公司募集资 金使用管理办法》《公司内部审计制度》《内部控制制度》《公司信息披露管理办法》《公司投资者关系管理办法》《公司 内幕信息知情人登记管理办法》等规章制度。通过制度建设，搭建了较为完善的公司治理结构的制度平台，明确了股东大会、 董事会、监事会及管理层各自应履行的职责和议事规程，从而为公司的规范运作提供了制度保障。同时，为适应现行法律法 规的相关法律法规及公司治理实际，</w:t>
      </w:r>
      <w:r>
        <w:rPr>
          <w:rFonts w:ascii="Times New Roman" w:eastAsia="Times New Roman" w:hAnsi="Times New Roman" w:cs="Times New Roman"/>
          <w:color w:val="000000"/>
          <w:spacing w:val="0"/>
          <w:w w:val="100"/>
          <w:position w:val="0"/>
        </w:rPr>
        <w:t>2021</w:t>
      </w:r>
      <w:r>
        <w:rPr>
          <w:color w:val="000000"/>
          <w:spacing w:val="0"/>
          <w:w w:val="100"/>
          <w:position w:val="0"/>
        </w:rPr>
        <w:t>年公司修订完善了《公司章程》等</w:t>
      </w:r>
      <w:r>
        <w:rPr>
          <w:rFonts w:ascii="Times New Roman" w:eastAsia="Times New Roman" w:hAnsi="Times New Roman" w:cs="Times New Roman"/>
          <w:color w:val="000000"/>
          <w:spacing w:val="0"/>
          <w:w w:val="100"/>
          <w:position w:val="0"/>
        </w:rPr>
        <w:t>28</w:t>
      </w:r>
      <w:r>
        <w:rPr>
          <w:color w:val="000000"/>
          <w:spacing w:val="0"/>
          <w:w w:val="100"/>
          <w:position w:val="0"/>
        </w:rPr>
        <w:t>项基本制度的，为公司高效运行、科学决策奠 定制度基础。</w:t>
      </w:r>
    </w:p>
    <w:p>
      <w:pPr>
        <w:pStyle w:val="Style20"/>
        <w:keepNext w:val="0"/>
        <w:keepLines w:val="0"/>
        <w:widowControl w:val="0"/>
        <w:numPr>
          <w:ilvl w:val="0"/>
          <w:numId w:val="27"/>
        </w:numPr>
        <w:shd w:val="clear" w:color="auto" w:fill="auto"/>
        <w:tabs>
          <w:tab w:pos="241" w:val="left"/>
        </w:tabs>
        <w:bidi w:val="0"/>
        <w:spacing w:before="0" w:after="0" w:line="313" w:lineRule="exact"/>
        <w:ind w:left="0" w:right="0" w:firstLine="0"/>
        <w:jc w:val="both"/>
      </w:pPr>
      <w:bookmarkStart w:id="211" w:name="bookmark211"/>
      <w:bookmarkEnd w:id="211"/>
      <w:r>
        <w:rPr>
          <w:color w:val="000000"/>
          <w:spacing w:val="0"/>
          <w:w w:val="100"/>
          <w:position w:val="0"/>
        </w:rPr>
        <w:t>关于股东和股东大会</w:t>
      </w:r>
    </w:p>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公司严格按照《公司法》《证券法》等法律法规及《公司章程》和《公司股东大会议事规则》要求，规范股东大会召集、召 开、表决程序，同时公司聘请专业律师见证股东大会，确保所有股东享有平等地位、平等权利，充分行使自己的权利，并承 担相应的义务。报告期内，公司共召开了 </w:t>
      </w:r>
      <w:r>
        <w:rPr>
          <w:rFonts w:ascii="Times New Roman" w:eastAsia="Times New Roman" w:hAnsi="Times New Roman" w:cs="Times New Roman"/>
          <w:color w:val="000000"/>
          <w:spacing w:val="0"/>
          <w:w w:val="100"/>
          <w:position w:val="0"/>
        </w:rPr>
        <w:t>1</w:t>
      </w:r>
      <w:r>
        <w:rPr>
          <w:color w:val="000000"/>
          <w:spacing w:val="0"/>
          <w:w w:val="100"/>
          <w:position w:val="0"/>
        </w:rPr>
        <w:t>次年度股东大会和</w:t>
      </w:r>
      <w:r>
        <w:rPr>
          <w:rFonts w:ascii="Times New Roman" w:eastAsia="Times New Roman" w:hAnsi="Times New Roman" w:cs="Times New Roman"/>
          <w:color w:val="000000"/>
          <w:spacing w:val="0"/>
          <w:w w:val="100"/>
          <w:position w:val="0"/>
        </w:rPr>
        <w:t>1</w:t>
      </w:r>
      <w:r>
        <w:rPr>
          <w:color w:val="000000"/>
          <w:spacing w:val="0"/>
          <w:w w:val="100"/>
          <w:position w:val="0"/>
        </w:rPr>
        <w:t>次临时股东大会，均由董事会召集、召开，未发生由独立董事、 监事会或股东召集的情况。</w:t>
      </w:r>
    </w:p>
    <w:p>
      <w:pPr>
        <w:pStyle w:val="Style20"/>
        <w:keepNext w:val="0"/>
        <w:keepLines w:val="0"/>
        <w:widowControl w:val="0"/>
        <w:numPr>
          <w:ilvl w:val="0"/>
          <w:numId w:val="27"/>
        </w:numPr>
        <w:shd w:val="clear" w:color="auto" w:fill="auto"/>
        <w:tabs>
          <w:tab w:pos="260" w:val="left"/>
        </w:tabs>
        <w:bidi w:val="0"/>
        <w:spacing w:before="0" w:after="0" w:line="313" w:lineRule="exact"/>
        <w:ind w:left="0" w:right="0" w:firstLine="0"/>
        <w:jc w:val="both"/>
      </w:pPr>
      <w:bookmarkStart w:id="212" w:name="bookmark212"/>
      <w:bookmarkEnd w:id="212"/>
      <w:r>
        <w:rPr>
          <w:color w:val="000000"/>
          <w:spacing w:val="0"/>
          <w:w w:val="100"/>
          <w:position w:val="0"/>
        </w:rPr>
        <w:t>关于董事会运作</w:t>
      </w:r>
    </w:p>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报告期内，公司董事会设董事</w:t>
      </w:r>
      <w:r>
        <w:rPr>
          <w:rFonts w:ascii="Times New Roman" w:eastAsia="Times New Roman" w:hAnsi="Times New Roman" w:cs="Times New Roman"/>
          <w:color w:val="000000"/>
          <w:spacing w:val="0"/>
          <w:w w:val="100"/>
          <w:position w:val="0"/>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名，在公司任职的董事占比未超过</w:t>
      </w:r>
      <w:r>
        <w:rPr>
          <w:rFonts w:ascii="Times New Roman" w:eastAsia="Times New Roman" w:hAnsi="Times New Roman" w:cs="Times New Roman"/>
          <w:color w:val="000000"/>
          <w:spacing w:val="0"/>
          <w:w w:val="100"/>
          <w:position w:val="0"/>
        </w:rPr>
        <w:t>1/2</w:t>
      </w:r>
      <w:r>
        <w:rPr>
          <w:color w:val="000000"/>
          <w:spacing w:val="0"/>
          <w:w w:val="100"/>
          <w:position w:val="0"/>
        </w:rPr>
        <w:t>,董事会人数及人员构成符合有关 法律法规和《公司章程》的要求。各位董事能够依据《公司法》《证券法》《深圳证券交易所创业板股票上市规则》《深圳 证券交易所创业板上市公司规范运作指引》等规定及《公司章程》《公司董事会议事规则》和《公司独立董事工作管理办法》 等的要求开展工作，诚信、勤勉地履行职责和义务，同时积极参加有关培训，熟悉有关法律法规。</w:t>
      </w:r>
    </w:p>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报告期内董事会共召开了</w:t>
      </w:r>
      <w:r>
        <w:rPr>
          <w:rFonts w:ascii="Times New Roman" w:eastAsia="Times New Roman" w:hAnsi="Times New Roman" w:cs="Times New Roman"/>
          <w:color w:val="000000"/>
          <w:spacing w:val="0"/>
          <w:w w:val="100"/>
          <w:position w:val="0"/>
        </w:rPr>
        <w:t>7</w:t>
      </w:r>
      <w:r>
        <w:rPr>
          <w:color w:val="000000"/>
          <w:spacing w:val="0"/>
          <w:w w:val="100"/>
          <w:position w:val="0"/>
        </w:rPr>
        <w:t>次会议，均由董事长召集、主持，共审议涉及公司治理、定期报告、利润分配、内部控制、人事 管理、募集资金及财务管理、关联交易等事项共</w:t>
      </w:r>
      <w:r>
        <w:rPr>
          <w:rFonts w:ascii="Times New Roman" w:eastAsia="Times New Roman" w:hAnsi="Times New Roman" w:cs="Times New Roman"/>
          <w:color w:val="000000"/>
          <w:spacing w:val="0"/>
          <w:w w:val="100"/>
          <w:position w:val="0"/>
        </w:rPr>
        <w:t>57</w:t>
      </w:r>
      <w:r>
        <w:rPr>
          <w:color w:val="000000"/>
          <w:spacing w:val="0"/>
          <w:w w:val="100"/>
          <w:position w:val="0"/>
        </w:rPr>
        <w:t>项议案。</w:t>
      </w:r>
    </w:p>
    <w:p>
      <w:pPr>
        <w:pStyle w:val="Style20"/>
        <w:keepNext w:val="0"/>
        <w:keepLines w:val="0"/>
        <w:widowControl w:val="0"/>
        <w:numPr>
          <w:ilvl w:val="0"/>
          <w:numId w:val="27"/>
        </w:numPr>
        <w:shd w:val="clear" w:color="auto" w:fill="auto"/>
        <w:tabs>
          <w:tab w:pos="260" w:val="left"/>
        </w:tabs>
        <w:bidi w:val="0"/>
        <w:spacing w:before="0" w:after="0" w:line="313" w:lineRule="exact"/>
        <w:ind w:left="0" w:right="0" w:firstLine="0"/>
        <w:jc w:val="both"/>
      </w:pPr>
      <w:bookmarkStart w:id="213" w:name="bookmark213"/>
      <w:bookmarkEnd w:id="213"/>
      <w:r>
        <w:rPr>
          <w:color w:val="000000"/>
          <w:spacing w:val="0"/>
          <w:w w:val="100"/>
          <w:position w:val="0"/>
        </w:rPr>
        <w:t>关于监事会运作</w:t>
      </w:r>
    </w:p>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rPr>
        <w:t>5</w:t>
      </w:r>
      <w:r>
        <w:rPr>
          <w:color w:val="000000"/>
          <w:spacing w:val="0"/>
          <w:w w:val="100"/>
          <w:position w:val="0"/>
        </w:rPr>
        <w:t>名，其中职工代表监事</w:t>
      </w:r>
      <w:r>
        <w:rPr>
          <w:rFonts w:ascii="Times New Roman" w:eastAsia="Times New Roman" w:hAnsi="Times New Roman" w:cs="Times New Roman"/>
          <w:color w:val="000000"/>
          <w:spacing w:val="0"/>
          <w:w w:val="100"/>
          <w:position w:val="0"/>
        </w:rPr>
        <w:t>2</w:t>
      </w:r>
      <w:r>
        <w:rPr>
          <w:color w:val="000000"/>
          <w:spacing w:val="0"/>
          <w:w w:val="100"/>
          <w:position w:val="0"/>
        </w:rPr>
        <w:t>名，占比超过</w:t>
      </w:r>
      <w:r>
        <w:rPr>
          <w:rFonts w:ascii="Times New Roman" w:eastAsia="Times New Roman" w:hAnsi="Times New Roman" w:cs="Times New Roman"/>
          <w:color w:val="000000"/>
          <w:spacing w:val="0"/>
          <w:w w:val="100"/>
          <w:position w:val="0"/>
        </w:rPr>
        <w:t>1/3</w:t>
      </w:r>
      <w:r>
        <w:rPr>
          <w:color w:val="000000"/>
          <w:spacing w:val="0"/>
          <w:w w:val="100"/>
          <w:position w:val="0"/>
        </w:rPr>
        <w:t>,监事会的人数和构成符合法律、法规的要求。各位监事严格按 照《公司法》《证券法》《深圳证券交易所创业板股票上市规则》《深圳证券交易所创业板上市公司规范运作指引》等规定 及《公司章程》《公司监事会议事规则》等的有关规定认真履行职责，对公司财务状况、重大事项、关联交易以及公司董事 及高级管理人员履行职责的合法合规性进行监督，维护公司及股东的合法权益。</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报告期监事会内共召开了 </w:t>
      </w:r>
      <w:r>
        <w:rPr>
          <w:rFonts w:ascii="Times New Roman" w:eastAsia="Times New Roman" w:hAnsi="Times New Roman" w:cs="Times New Roman"/>
          <w:color w:val="000000"/>
          <w:spacing w:val="0"/>
          <w:w w:val="100"/>
          <w:position w:val="0"/>
        </w:rPr>
        <w:t>7</w:t>
      </w:r>
      <w:r>
        <w:rPr>
          <w:color w:val="000000"/>
          <w:spacing w:val="0"/>
          <w:w w:val="100"/>
          <w:position w:val="0"/>
        </w:rPr>
        <w:t>次会议，均由监事会主席召集、主持，共审议涉及定期报告、利润分配、内部控制、募集资金及 财务管理、关联交易等事项共</w:t>
      </w:r>
      <w:r>
        <w:rPr>
          <w:rFonts w:ascii="Times New Roman" w:eastAsia="Times New Roman" w:hAnsi="Times New Roman" w:cs="Times New Roman"/>
          <w:color w:val="000000"/>
          <w:spacing w:val="0"/>
          <w:w w:val="100"/>
          <w:position w:val="0"/>
        </w:rPr>
        <w:t>27</w:t>
      </w:r>
      <w:r>
        <w:rPr>
          <w:color w:val="000000"/>
          <w:spacing w:val="0"/>
          <w:w w:val="100"/>
          <w:position w:val="0"/>
        </w:rPr>
        <w:t>项议案。</w:t>
      </w:r>
    </w:p>
    <w:p>
      <w:pPr>
        <w:pStyle w:val="Style20"/>
        <w:keepNext w:val="0"/>
        <w:keepLines w:val="0"/>
        <w:widowControl w:val="0"/>
        <w:numPr>
          <w:ilvl w:val="0"/>
          <w:numId w:val="27"/>
        </w:numPr>
        <w:shd w:val="clear" w:color="auto" w:fill="auto"/>
        <w:tabs>
          <w:tab w:pos="260" w:val="left"/>
        </w:tabs>
        <w:bidi w:val="0"/>
        <w:spacing w:before="0" w:after="0" w:line="313" w:lineRule="exact"/>
        <w:ind w:left="0" w:right="0" w:firstLine="0"/>
        <w:jc w:val="both"/>
      </w:pPr>
      <w:bookmarkStart w:id="214" w:name="bookmark214"/>
      <w:bookmarkEnd w:id="214"/>
      <w:r>
        <w:rPr>
          <w:color w:val="000000"/>
          <w:spacing w:val="0"/>
          <w:w w:val="100"/>
          <w:position w:val="0"/>
        </w:rPr>
        <w:t>关于公司控股股东</w:t>
      </w:r>
    </w:p>
    <w:p>
      <w:pPr>
        <w:pStyle w:val="Style20"/>
        <w:keepNext w:val="0"/>
        <w:keepLines w:val="0"/>
        <w:widowControl w:val="0"/>
        <w:shd w:val="clear" w:color="auto" w:fill="auto"/>
        <w:bidi w:val="0"/>
        <w:spacing w:before="0" w:after="140" w:line="312" w:lineRule="exact"/>
        <w:ind w:left="0" w:right="0" w:firstLine="0"/>
        <w:jc w:val="both"/>
      </w:pPr>
      <w:r>
        <w:rPr>
          <w:color w:val="000000"/>
          <w:spacing w:val="0"/>
          <w:w w:val="100"/>
          <w:position w:val="0"/>
        </w:rPr>
        <w:t xml:space="preserve">公司具有独立的业务经营能力及完备的运营体系，在业务、人员、资产、财务上均独立于控股股东。公司董事会、监事会和 内部机构根据其议事规则或公司制度独立运作。公司控股股东能严格规范自己的行为，通过股东大会依法行使其权利并承担 义务，没有超越股东大会直接或间接干预公司经营活动。报告期内，公司没有为控股股东提供担保，亦不存在控股股东及其 </w:t>
      </w:r>
      <w:r>
        <w:rPr>
          <w:color w:val="000000"/>
          <w:spacing w:val="0"/>
          <w:w w:val="100"/>
          <w:position w:val="0"/>
        </w:rPr>
        <w:t>关联方非经营性占用公司资金的行为。</w:t>
      </w:r>
    </w:p>
    <w:p>
      <w:pPr>
        <w:pStyle w:val="Style20"/>
        <w:keepNext w:val="0"/>
        <w:keepLines w:val="0"/>
        <w:widowControl w:val="0"/>
        <w:numPr>
          <w:ilvl w:val="0"/>
          <w:numId w:val="27"/>
        </w:numPr>
        <w:shd w:val="clear" w:color="auto" w:fill="auto"/>
        <w:tabs>
          <w:tab w:pos="310" w:val="left"/>
        </w:tabs>
        <w:bidi w:val="0"/>
        <w:spacing w:before="0" w:after="0"/>
        <w:ind w:left="0" w:right="0" w:firstLine="0"/>
        <w:jc w:val="both"/>
      </w:pPr>
      <w:bookmarkStart w:id="215" w:name="bookmark215"/>
      <w:bookmarkEnd w:id="215"/>
      <w:r>
        <w:rPr>
          <w:color w:val="000000"/>
          <w:spacing w:val="0"/>
          <w:w w:val="100"/>
          <w:position w:val="0"/>
        </w:rPr>
        <w:t>关于独立董事制度运行情况</w:t>
      </w:r>
    </w:p>
    <w:p>
      <w:pPr>
        <w:pStyle w:val="Style20"/>
        <w:keepNext w:val="0"/>
        <w:keepLines w:val="0"/>
        <w:widowControl w:val="0"/>
        <w:shd w:val="clear" w:color="auto" w:fill="auto"/>
        <w:bidi w:val="0"/>
        <w:spacing w:before="0" w:after="140" w:line="317" w:lineRule="exact"/>
        <w:ind w:left="0" w:right="0" w:firstLine="0"/>
        <w:jc w:val="both"/>
      </w:pPr>
      <w:r>
        <w:rPr>
          <w:color w:val="000000"/>
          <w:spacing w:val="0"/>
          <w:w w:val="100"/>
          <w:position w:val="0"/>
        </w:rPr>
        <w:t>报告期内，公司独立董事严格按照有关法律法规、《公司章程》《公司独立董事工作管理办法》等制度履行职责，对独立董 事需发表意见的事项发布了独立意见，对公司内部控制制度及发展提出意见和建议，对公司完善治理结构和规范运作发挥积 极作用。</w:t>
      </w:r>
    </w:p>
    <w:p>
      <w:pPr>
        <w:pStyle w:val="Style20"/>
        <w:keepNext w:val="0"/>
        <w:keepLines w:val="0"/>
        <w:widowControl w:val="0"/>
        <w:numPr>
          <w:ilvl w:val="0"/>
          <w:numId w:val="27"/>
        </w:numPr>
        <w:shd w:val="clear" w:color="auto" w:fill="auto"/>
        <w:tabs>
          <w:tab w:pos="315" w:val="left"/>
        </w:tabs>
        <w:bidi w:val="0"/>
        <w:spacing w:before="0" w:after="0"/>
        <w:ind w:left="0" w:right="0" w:firstLine="0"/>
        <w:jc w:val="both"/>
      </w:pPr>
      <w:bookmarkStart w:id="216" w:name="bookmark216"/>
      <w:bookmarkEnd w:id="216"/>
      <w:r>
        <w:rPr>
          <w:color w:val="000000"/>
          <w:spacing w:val="0"/>
          <w:w w:val="100"/>
          <w:position w:val="0"/>
        </w:rPr>
        <w:t>关于信息披露与透明度</w:t>
      </w:r>
    </w:p>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公司严格按照《公司信息披露管理办法》《公司投资者关系管理办法》《公司内幕信息知情人登记管理办法》的有关规定， 及时、准确、完整地披露公司重要经营信息，确保公司全体股东和投资者能够公平获得信息，持续提高公司透明度。</w:t>
      </w:r>
      <w:r>
        <w:rPr>
          <w:rFonts w:ascii="Times New Roman" w:eastAsia="Times New Roman" w:hAnsi="Times New Roman" w:cs="Times New Roman"/>
          <w:color w:val="000000"/>
          <w:spacing w:val="0"/>
          <w:w w:val="100"/>
          <w:position w:val="0"/>
        </w:rPr>
        <w:t>2021</w:t>
      </w:r>
      <w:r>
        <w:rPr>
          <w:color w:val="000000"/>
          <w:spacing w:val="0"/>
          <w:w w:val="100"/>
          <w:position w:val="0"/>
        </w:rPr>
        <w:t>年 内公司共披露包括会议决议、定期报告、权益变动及其他重大事项等公告</w:t>
      </w:r>
      <w:r>
        <w:rPr>
          <w:rFonts w:ascii="Times New Roman" w:eastAsia="Times New Roman" w:hAnsi="Times New Roman" w:cs="Times New Roman"/>
          <w:color w:val="000000"/>
          <w:spacing w:val="0"/>
          <w:w w:val="100"/>
          <w:position w:val="0"/>
        </w:rPr>
        <w:t>66</w:t>
      </w:r>
      <w:r>
        <w:rPr>
          <w:color w:val="000000"/>
          <w:spacing w:val="0"/>
          <w:w w:val="100"/>
          <w:position w:val="0"/>
        </w:rPr>
        <w:t>份、文件</w:t>
      </w:r>
      <w:r>
        <w:rPr>
          <w:rFonts w:ascii="Times New Roman" w:eastAsia="Times New Roman" w:hAnsi="Times New Roman" w:cs="Times New Roman"/>
          <w:color w:val="000000"/>
          <w:spacing w:val="0"/>
          <w:w w:val="100"/>
          <w:position w:val="0"/>
        </w:rPr>
        <w:t>68</w:t>
      </w:r>
      <w:r>
        <w:rPr>
          <w:color w:val="000000"/>
          <w:spacing w:val="0"/>
          <w:w w:val="100"/>
          <w:position w:val="0"/>
        </w:rPr>
        <w:t>份，回答投资者问答</w:t>
      </w:r>
      <w:r>
        <w:rPr>
          <w:rFonts w:ascii="Times New Roman" w:eastAsia="Times New Roman" w:hAnsi="Times New Roman" w:cs="Times New Roman"/>
          <w:color w:val="000000"/>
          <w:spacing w:val="0"/>
          <w:w w:val="100"/>
          <w:position w:val="0"/>
        </w:rPr>
        <w:t>124</w:t>
      </w:r>
      <w:r>
        <w:rPr>
          <w:color w:val="000000"/>
          <w:spacing w:val="0"/>
          <w:w w:val="100"/>
          <w:position w:val="0"/>
        </w:rPr>
        <w:t>条。</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公司治理的实际状况与法律、行政法规和中国证监会发布的关于上市公司治理的规定是否存在重大差异</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0"/>
        <w:keepNext w:val="0"/>
        <w:keepLines w:val="0"/>
        <w:widowControl w:val="0"/>
        <w:shd w:val="clear" w:color="auto" w:fill="auto"/>
        <w:bidi w:val="0"/>
        <w:spacing w:before="0" w:after="320" w:line="312" w:lineRule="exact"/>
        <w:ind w:left="0" w:right="0" w:firstLine="0"/>
        <w:jc w:val="both"/>
      </w:pPr>
      <w:r>
        <w:rPr>
          <w:color w:val="000000"/>
          <w:spacing w:val="0"/>
          <w:w w:val="100"/>
          <w:position w:val="0"/>
        </w:rPr>
        <w:t>公司治理的实际状况与法律、行政法规和中国证监会发布的关于上市公司治理的规定不存在重大差异。</w:t>
      </w:r>
    </w:p>
    <w:p>
      <w:pPr>
        <w:pStyle w:val="Style26"/>
        <w:keepNext w:val="0"/>
        <w:keepLines w:val="0"/>
        <w:widowControl w:val="0"/>
        <w:shd w:val="clear" w:color="auto" w:fill="auto"/>
        <w:tabs>
          <w:tab w:pos="517" w:val="left"/>
        </w:tabs>
        <w:bidi w:val="0"/>
        <w:spacing w:before="0" w:after="260" w:line="326" w:lineRule="exact"/>
        <w:ind w:left="0" w:right="0" w:firstLine="0"/>
        <w:jc w:val="both"/>
      </w:pPr>
      <w:bookmarkStart w:id="217" w:name="bookmark217"/>
      <w:r>
        <w:rPr>
          <w:color w:val="000000"/>
          <w:spacing w:val="0"/>
          <w:w w:val="100"/>
          <w:position w:val="0"/>
          <w:sz w:val="24"/>
          <w:szCs w:val="24"/>
        </w:rPr>
        <w:t>二</w:t>
      </w:r>
      <w:bookmarkEnd w:id="217"/>
      <w:r>
        <w:rPr>
          <w:color w:val="000000"/>
          <w:spacing w:val="0"/>
          <w:w w:val="100"/>
          <w:position w:val="0"/>
          <w:sz w:val="24"/>
          <w:szCs w:val="24"/>
        </w:rPr>
        <w:t>、</w:t>
        <w:tab/>
        <w:t>公司相对于控股股东、实际控制人在保证公司资产、人员、财务、机构、业务等方面的 独立情况</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公司严格按照《公司法》《证券法》等有关法律法规和《公司章程》《公司防范控股股东及其他关联方资金占用管理办 法》的要求，与控股股东在业务、人员、资产、机构、财务等方面完全分开，具有独立完整的业务及自主经营能力：</w:t>
      </w:r>
    </w:p>
    <w:p>
      <w:pPr>
        <w:pStyle w:val="Style20"/>
        <w:keepNext w:val="0"/>
        <w:keepLines w:val="0"/>
        <w:widowControl w:val="0"/>
        <w:shd w:val="clear" w:color="auto" w:fill="auto"/>
        <w:tabs>
          <w:tab w:pos="339" w:val="left"/>
        </w:tabs>
        <w:bidi w:val="0"/>
        <w:spacing w:before="0" w:after="0" w:line="312" w:lineRule="exact"/>
        <w:ind w:left="0" w:right="0" w:firstLine="0"/>
        <w:jc w:val="both"/>
      </w:pPr>
      <w:bookmarkStart w:id="218" w:name="bookmark218"/>
      <w:r>
        <w:rPr>
          <w:rFonts w:ascii="Times New Roman" w:eastAsia="Times New Roman" w:hAnsi="Times New Roman" w:cs="Times New Roman"/>
          <w:color w:val="000000"/>
          <w:spacing w:val="0"/>
          <w:w w:val="100"/>
          <w:position w:val="0"/>
        </w:rPr>
        <w:t>1</w:t>
      </w:r>
      <w:bookmarkEnd w:id="218"/>
      <w:r>
        <w:rPr>
          <w:color w:val="000000"/>
          <w:spacing w:val="0"/>
          <w:w w:val="100"/>
          <w:position w:val="0"/>
        </w:rPr>
        <w:t>、</w:t>
        <w:tab/>
        <w:t>业务方面：公司业务结构完整，自主独立经营，与控股股东之间无同业竞争，控股股东未曾利用控股股东地位干涉公司 决策和生产经营活动。</w:t>
      </w:r>
    </w:p>
    <w:p>
      <w:pPr>
        <w:pStyle w:val="Style20"/>
        <w:keepNext w:val="0"/>
        <w:keepLines w:val="0"/>
        <w:widowControl w:val="0"/>
        <w:shd w:val="clear" w:color="auto" w:fill="auto"/>
        <w:tabs>
          <w:tab w:pos="354" w:val="left"/>
        </w:tabs>
        <w:bidi w:val="0"/>
        <w:spacing w:before="0" w:after="0" w:line="312" w:lineRule="exact"/>
        <w:ind w:left="0" w:right="0" w:firstLine="0"/>
        <w:jc w:val="both"/>
      </w:pPr>
      <w:bookmarkStart w:id="219" w:name="bookmark219"/>
      <w:r>
        <w:rPr>
          <w:rFonts w:ascii="Times New Roman" w:eastAsia="Times New Roman" w:hAnsi="Times New Roman" w:cs="Times New Roman"/>
          <w:color w:val="000000"/>
          <w:spacing w:val="0"/>
          <w:w w:val="100"/>
          <w:position w:val="0"/>
        </w:rPr>
        <w:t>2</w:t>
      </w:r>
      <w:bookmarkEnd w:id="219"/>
      <w:r>
        <w:rPr>
          <w:color w:val="000000"/>
          <w:spacing w:val="0"/>
          <w:w w:val="100"/>
          <w:position w:val="0"/>
        </w:rPr>
        <w:t>、</w:t>
        <w:tab/>
        <w:t>人员方面：公司在劳动、人事及工资管理等各方面均独立于控股股东，高级管理人员均在公司领取报酬。</w:t>
      </w:r>
    </w:p>
    <w:p>
      <w:pPr>
        <w:pStyle w:val="Style20"/>
        <w:keepNext w:val="0"/>
        <w:keepLines w:val="0"/>
        <w:widowControl w:val="0"/>
        <w:shd w:val="clear" w:color="auto" w:fill="auto"/>
        <w:tabs>
          <w:tab w:pos="344" w:val="left"/>
        </w:tabs>
        <w:bidi w:val="0"/>
        <w:spacing w:before="0" w:after="0" w:line="312" w:lineRule="exact"/>
        <w:ind w:left="0" w:right="0" w:firstLine="0"/>
        <w:jc w:val="both"/>
      </w:pPr>
      <w:bookmarkStart w:id="220" w:name="bookmark220"/>
      <w:r>
        <w:rPr>
          <w:rFonts w:ascii="Times New Roman" w:eastAsia="Times New Roman" w:hAnsi="Times New Roman" w:cs="Times New Roman"/>
          <w:color w:val="000000"/>
          <w:spacing w:val="0"/>
          <w:w w:val="100"/>
          <w:position w:val="0"/>
        </w:rPr>
        <w:t>3</w:t>
      </w:r>
      <w:bookmarkEnd w:id="220"/>
      <w:r>
        <w:rPr>
          <w:color w:val="000000"/>
          <w:spacing w:val="0"/>
          <w:w w:val="100"/>
          <w:position w:val="0"/>
        </w:rPr>
        <w:t>、</w:t>
        <w:tab/>
        <w:t>资产方面：公司生产经营场所及土地使用权情况、商标注册及使用情况独立，各发起人投入股份公司的资产权属明确。</w:t>
      </w:r>
    </w:p>
    <w:p>
      <w:pPr>
        <w:pStyle w:val="Style20"/>
        <w:keepNext w:val="0"/>
        <w:keepLines w:val="0"/>
        <w:widowControl w:val="0"/>
        <w:shd w:val="clear" w:color="auto" w:fill="auto"/>
        <w:tabs>
          <w:tab w:pos="354" w:val="left"/>
        </w:tabs>
        <w:bidi w:val="0"/>
        <w:spacing w:before="0" w:after="0" w:line="312" w:lineRule="exact"/>
        <w:ind w:left="0" w:right="0" w:firstLine="0"/>
        <w:jc w:val="both"/>
      </w:pPr>
      <w:bookmarkStart w:id="221" w:name="bookmark221"/>
      <w:r>
        <w:rPr>
          <w:rFonts w:ascii="Times New Roman" w:eastAsia="Times New Roman" w:hAnsi="Times New Roman" w:cs="Times New Roman"/>
          <w:color w:val="000000"/>
          <w:spacing w:val="0"/>
          <w:w w:val="100"/>
          <w:position w:val="0"/>
        </w:rPr>
        <w:t>4</w:t>
      </w:r>
      <w:bookmarkEnd w:id="221"/>
      <w:r>
        <w:rPr>
          <w:color w:val="000000"/>
          <w:spacing w:val="0"/>
          <w:w w:val="100"/>
          <w:position w:val="0"/>
        </w:rPr>
        <w:t>、</w:t>
        <w:tab/>
        <w:t>机构方面：公司组织体系健全，董事会、监事会、管理层及部门运作独立，不存在与控股股东之间的从属关系。</w:t>
      </w:r>
    </w:p>
    <w:p>
      <w:pPr>
        <w:pStyle w:val="Style20"/>
        <w:keepNext w:val="0"/>
        <w:keepLines w:val="0"/>
        <w:widowControl w:val="0"/>
        <w:shd w:val="clear" w:color="auto" w:fill="auto"/>
        <w:tabs>
          <w:tab w:pos="358" w:val="left"/>
        </w:tabs>
        <w:bidi w:val="0"/>
        <w:spacing w:before="0" w:after="320" w:line="312" w:lineRule="exact"/>
        <w:ind w:left="0" w:right="0" w:firstLine="0"/>
        <w:jc w:val="both"/>
      </w:pPr>
      <w:bookmarkStart w:id="222" w:name="bookmark222"/>
      <w:r>
        <w:rPr>
          <w:rFonts w:ascii="Times New Roman" w:eastAsia="Times New Roman" w:hAnsi="Times New Roman" w:cs="Times New Roman"/>
          <w:color w:val="000000"/>
          <w:spacing w:val="0"/>
          <w:w w:val="100"/>
          <w:position w:val="0"/>
        </w:rPr>
        <w:t>5</w:t>
      </w:r>
      <w:bookmarkEnd w:id="222"/>
      <w:r>
        <w:rPr>
          <w:color w:val="000000"/>
          <w:spacing w:val="0"/>
          <w:w w:val="100"/>
          <w:position w:val="0"/>
        </w:rPr>
        <w:t>、</w:t>
        <w:tab/>
        <w:t>财务方面：公司设有独立的财务部门，并已建立独立的会计核算体系和财务管理制度，独立在银行开户、并依法独立纳 税。</w:t>
      </w:r>
    </w:p>
    <w:p>
      <w:pPr>
        <w:pStyle w:val="Style26"/>
        <w:keepNext w:val="0"/>
        <w:keepLines w:val="0"/>
        <w:widowControl w:val="0"/>
        <w:shd w:val="clear" w:color="auto" w:fill="auto"/>
        <w:tabs>
          <w:tab w:pos="517" w:val="left"/>
        </w:tabs>
        <w:bidi w:val="0"/>
        <w:spacing w:before="0" w:after="360" w:line="326" w:lineRule="exact"/>
        <w:ind w:left="0" w:right="0" w:firstLine="0"/>
        <w:jc w:val="both"/>
      </w:pPr>
      <w:bookmarkStart w:id="223" w:name="bookmark223"/>
      <w:r>
        <w:rPr>
          <w:color w:val="000000"/>
          <w:spacing w:val="0"/>
          <w:w w:val="100"/>
          <w:position w:val="0"/>
          <w:sz w:val="24"/>
          <w:szCs w:val="24"/>
        </w:rPr>
        <w:t>三</w:t>
      </w:r>
      <w:bookmarkEnd w:id="223"/>
      <w:r>
        <w:rPr>
          <w:color w:val="000000"/>
          <w:spacing w:val="0"/>
          <w:w w:val="100"/>
          <w:position w:val="0"/>
          <w:sz w:val="24"/>
          <w:szCs w:val="24"/>
        </w:rPr>
        <w:t>、</w:t>
        <w:tab/>
        <w:t>同业竞争情况</w:t>
      </w:r>
    </w:p>
    <w:p>
      <w:pPr>
        <w:pStyle w:val="Style20"/>
        <w:keepNext w:val="0"/>
        <w:keepLines w:val="0"/>
        <w:widowControl w:val="0"/>
        <w:shd w:val="clear" w:color="auto" w:fill="auto"/>
        <w:bidi w:val="0"/>
        <w:spacing w:before="0" w:after="20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tabs>
          <w:tab w:pos="517" w:val="left"/>
        </w:tabs>
        <w:bidi w:val="0"/>
        <w:spacing w:before="0" w:after="360" w:line="326" w:lineRule="exact"/>
        <w:ind w:left="0" w:right="0" w:firstLine="0"/>
        <w:jc w:val="both"/>
      </w:pPr>
      <w:bookmarkStart w:id="224" w:name="bookmark224"/>
      <w:r>
        <w:rPr>
          <w:color w:val="000000"/>
          <w:spacing w:val="0"/>
          <w:w w:val="100"/>
          <w:position w:val="0"/>
          <w:sz w:val="24"/>
          <w:szCs w:val="24"/>
        </w:rPr>
        <w:t>四</w:t>
      </w:r>
      <w:bookmarkEnd w:id="224"/>
      <w:r>
        <w:rPr>
          <w:color w:val="000000"/>
          <w:spacing w:val="0"/>
          <w:w w:val="100"/>
          <w:position w:val="0"/>
          <w:sz w:val="24"/>
          <w:szCs w:val="24"/>
        </w:rPr>
        <w:t>、</w:t>
        <w:tab/>
        <w:t>报告期内召开的年度股东大会和临时股东大会的有关情况</w:t>
      </w:r>
    </w:p>
    <w:p>
      <w:pPr>
        <w:pStyle w:val="Style31"/>
        <w:keepNext/>
        <w:keepLines/>
        <w:widowControl w:val="0"/>
        <w:shd w:val="clear" w:color="auto" w:fill="auto"/>
        <w:bidi w:val="0"/>
        <w:spacing w:before="0" w:after="320" w:line="240" w:lineRule="auto"/>
        <w:ind w:left="0" w:right="0" w:firstLine="0"/>
        <w:jc w:val="both"/>
      </w:pPr>
      <w:bookmarkStart w:id="225" w:name="bookmark225"/>
      <w:bookmarkStart w:id="226" w:name="bookmark226"/>
      <w:bookmarkStart w:id="227" w:name="bookmark227"/>
      <w:bookmarkStart w:id="228" w:name="bookmark228"/>
      <w:r>
        <w:rPr>
          <w:rFonts w:ascii="Times New Roman" w:eastAsia="Times New Roman" w:hAnsi="Times New Roman" w:cs="Times New Roman"/>
          <w:color w:val="000000"/>
          <w:spacing w:val="0"/>
          <w:w w:val="100"/>
          <w:position w:val="0"/>
        </w:rPr>
        <w:t>1</w:t>
      </w:r>
      <w:bookmarkEnd w:id="227"/>
      <w:r>
        <w:rPr>
          <w:color w:val="000000"/>
          <w:spacing w:val="0"/>
          <w:w w:val="100"/>
          <w:position w:val="0"/>
        </w:rPr>
        <w:t>、本报告期股东大会情况</w:t>
      </w:r>
      <w:bookmarkEnd w:id="225"/>
      <w:bookmarkEnd w:id="226"/>
      <w:bookmarkEnd w:id="228"/>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会议决议</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巨潮资讯网，公告</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编号 </w:t>
            </w:r>
            <w:r>
              <w:rPr>
                <w:rFonts w:ascii="Times New Roman" w:eastAsia="Times New Roman" w:hAnsi="Times New Roman" w:cs="Times New Roman"/>
                <w:color w:val="000000"/>
                <w:spacing w:val="0"/>
                <w:w w:val="100"/>
                <w:position w:val="0"/>
              </w:rPr>
              <w:t>2021-029</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巨潮资讯网，公告</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编号 </w:t>
            </w:r>
            <w:r>
              <w:rPr>
                <w:rFonts w:ascii="Times New Roman" w:eastAsia="Times New Roman" w:hAnsi="Times New Roman" w:cs="Times New Roman"/>
                <w:color w:val="000000"/>
                <w:spacing w:val="0"/>
                <w:w w:val="100"/>
                <w:position w:val="0"/>
              </w:rPr>
              <w:t>2021-059</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both"/>
      </w:pPr>
      <w:bookmarkStart w:id="229" w:name="bookmark229"/>
      <w:bookmarkStart w:id="230" w:name="bookmark230"/>
      <w:bookmarkStart w:id="231" w:name="bookmark231"/>
      <w:bookmarkStart w:id="232" w:name="bookmark232"/>
      <w:r>
        <w:rPr>
          <w:rFonts w:ascii="Times New Roman" w:eastAsia="Times New Roman" w:hAnsi="Times New Roman" w:cs="Times New Roman"/>
          <w:color w:val="000000"/>
          <w:spacing w:val="0"/>
          <w:w w:val="100"/>
          <w:position w:val="0"/>
        </w:rPr>
        <w:t>2</w:t>
      </w:r>
      <w:bookmarkEnd w:id="231"/>
      <w:r>
        <w:rPr>
          <w:color w:val="000000"/>
          <w:spacing w:val="0"/>
          <w:w w:val="100"/>
          <w:position w:val="0"/>
        </w:rPr>
        <w:t>、表决权恢复的优先股股东请求召开临时股东大会</w:t>
      </w:r>
      <w:bookmarkEnd w:id="229"/>
      <w:bookmarkEnd w:id="230"/>
      <w:bookmarkEnd w:id="232"/>
    </w:p>
    <w:p>
      <w:pPr>
        <w:pStyle w:val="Style20"/>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pBdr>
          <w:top w:val="single" w:sz="4" w:space="0" w:color="auto"/>
        </w:pBdr>
        <w:shd w:val="clear" w:color="auto" w:fill="auto"/>
        <w:tabs>
          <w:tab w:pos="517" w:val="left"/>
        </w:tabs>
        <w:bidi w:val="0"/>
        <w:spacing w:before="0" w:after="360" w:line="240" w:lineRule="auto"/>
        <w:ind w:left="0" w:right="0" w:firstLine="0"/>
        <w:jc w:val="left"/>
      </w:pPr>
      <w:bookmarkStart w:id="233" w:name="bookmark233"/>
      <w:r>
        <w:rPr>
          <w:color w:val="000000"/>
          <w:spacing w:val="0"/>
          <w:w w:val="100"/>
          <w:position w:val="0"/>
          <w:sz w:val="24"/>
          <w:szCs w:val="24"/>
        </w:rPr>
        <w:t>五</w:t>
      </w:r>
      <w:bookmarkEnd w:id="233"/>
      <w:r>
        <w:rPr>
          <w:color w:val="000000"/>
          <w:spacing w:val="0"/>
          <w:w w:val="100"/>
          <w:position w:val="0"/>
          <w:sz w:val="24"/>
          <w:szCs w:val="24"/>
        </w:rPr>
        <w:t>、</w:t>
        <w:tab/>
        <w:t>公司具有表决权差异安排</w:t>
      </w:r>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tabs>
          <w:tab w:pos="517" w:val="left"/>
        </w:tabs>
        <w:bidi w:val="0"/>
        <w:spacing w:before="0" w:after="360" w:line="240" w:lineRule="auto"/>
        <w:ind w:left="0" w:right="0" w:firstLine="0"/>
        <w:jc w:val="left"/>
      </w:pPr>
      <w:bookmarkStart w:id="234" w:name="bookmark234"/>
      <w:r>
        <w:rPr>
          <w:color w:val="000000"/>
          <w:spacing w:val="0"/>
          <w:w w:val="100"/>
          <w:position w:val="0"/>
          <w:sz w:val="24"/>
          <w:szCs w:val="24"/>
        </w:rPr>
        <w:t>六</w:t>
      </w:r>
      <w:bookmarkEnd w:id="234"/>
      <w:r>
        <w:rPr>
          <w:color w:val="000000"/>
          <w:spacing w:val="0"/>
          <w:w w:val="100"/>
          <w:position w:val="0"/>
          <w:sz w:val="24"/>
          <w:szCs w:val="24"/>
        </w:rPr>
        <w:t>、</w:t>
        <w:tab/>
        <w:t>红筹架构公司治理情况</w:t>
      </w:r>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bookmarkStart w:id="235" w:name="bookmark235"/>
      <w:r>
        <w:rPr>
          <w:color w:val="000000"/>
          <w:spacing w:val="0"/>
          <w:w w:val="100"/>
          <w:position w:val="0"/>
          <w:sz w:val="24"/>
          <w:szCs w:val="24"/>
        </w:rPr>
        <w:t>七</w:t>
      </w:r>
      <w:bookmarkEnd w:id="235"/>
      <w:r>
        <w:rPr>
          <w:color w:val="000000"/>
          <w:spacing w:val="0"/>
          <w:w w:val="100"/>
          <w:position w:val="0"/>
          <w:sz w:val="24"/>
          <w:szCs w:val="24"/>
        </w:rPr>
        <w:t>、董事、监事和高级管理人员情况</w:t>
      </w:r>
    </w:p>
    <w:p>
      <w:pPr>
        <w:pStyle w:val="Style31"/>
        <w:keepNext/>
        <w:keepLines/>
        <w:widowControl w:val="0"/>
        <w:shd w:val="clear" w:color="auto" w:fill="auto"/>
        <w:bidi w:val="0"/>
        <w:spacing w:before="0" w:after="300" w:line="240" w:lineRule="auto"/>
        <w:ind w:left="0" w:right="0" w:firstLine="0"/>
        <w:jc w:val="left"/>
      </w:pPr>
      <w:bookmarkStart w:id="236" w:name="bookmark236"/>
      <w:bookmarkStart w:id="237" w:name="bookmark237"/>
      <w:bookmarkStart w:id="238" w:name="bookmark238"/>
      <w:bookmarkStart w:id="239" w:name="bookmark239"/>
      <w:r>
        <w:rPr>
          <w:rFonts w:ascii="Times New Roman" w:eastAsia="Times New Roman" w:hAnsi="Times New Roman" w:cs="Times New Roman"/>
          <w:color w:val="000000"/>
          <w:spacing w:val="0"/>
          <w:w w:val="100"/>
          <w:position w:val="0"/>
        </w:rPr>
        <w:t>1</w:t>
      </w:r>
      <w:bookmarkEnd w:id="238"/>
      <w:r>
        <w:rPr>
          <w:color w:val="000000"/>
          <w:spacing w:val="0"/>
          <w:w w:val="100"/>
          <w:position w:val="0"/>
        </w:rPr>
        <w:t>、基本情况</w:t>
      </w:r>
      <w:bookmarkEnd w:id="236"/>
      <w:bookmarkEnd w:id="237"/>
      <w:bookmarkEnd w:id="239"/>
    </w:p>
    <w:tbl>
      <w:tblPr>
        <w:tblOverlap w:val="never"/>
        <w:jc w:val="center"/>
        <w:tblLayout w:type="fixed"/>
      </w:tblPr>
      <w:tblGrid>
        <w:gridCol w:w="734"/>
        <w:gridCol w:w="734"/>
        <w:gridCol w:w="739"/>
        <w:gridCol w:w="734"/>
        <w:gridCol w:w="734"/>
        <w:gridCol w:w="739"/>
        <w:gridCol w:w="734"/>
        <w:gridCol w:w="734"/>
        <w:gridCol w:w="739"/>
        <w:gridCol w:w="734"/>
        <w:gridCol w:w="734"/>
        <w:gridCol w:w="739"/>
        <w:gridCol w:w="744"/>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任期起</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任期终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止日期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期初持</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股数</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数量</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其他增</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减变动</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股份增 减变动 的原因</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0"/>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报告期是否存在任期内董事、监事离任和高级管理人员解聘的情况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0"/>
        <w:keepNext w:val="0"/>
        <w:keepLines w:val="0"/>
        <w:widowControl w:val="0"/>
        <w:shd w:val="clear" w:color="auto" w:fill="auto"/>
        <w:bidi w:val="0"/>
        <w:spacing w:before="0" w:after="140" w:line="341" w:lineRule="exact"/>
        <w:ind w:left="0" w:right="0" w:firstLine="0"/>
        <w:jc w:val="left"/>
      </w:pPr>
      <w:r>
        <w:rPr>
          <w:color w:val="000000"/>
          <w:spacing w:val="0"/>
          <w:w w:val="100"/>
          <w:position w:val="0"/>
        </w:rPr>
        <w:t>公司董事、监事、高级管理人员变动情况</w:t>
      </w:r>
    </w:p>
    <w:p>
      <w:pPr>
        <w:pStyle w:val="Style20"/>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4"/>
        <w:gridCol w:w="1786"/>
        <w:gridCol w:w="1421"/>
        <w:gridCol w:w="2266"/>
        <w:gridCol w:w="277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陈晔东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工作调动</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孙慧荣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廖俊凯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非职工代表监事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工作调动</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王潇玮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非职工代表监事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1"/>
        <w:keepNext/>
        <w:keepLines/>
        <w:widowControl w:val="0"/>
        <w:shd w:val="clear" w:color="auto" w:fill="auto"/>
        <w:bidi w:val="0"/>
        <w:spacing w:before="0" w:after="300" w:line="240" w:lineRule="auto"/>
        <w:ind w:left="0" w:right="0" w:firstLine="0"/>
        <w:jc w:val="left"/>
      </w:pPr>
      <w:bookmarkStart w:id="240" w:name="bookmark240"/>
      <w:bookmarkStart w:id="241" w:name="bookmark241"/>
      <w:bookmarkStart w:id="242" w:name="bookmark242"/>
      <w:bookmarkStart w:id="243" w:name="bookmark243"/>
      <w:r>
        <w:rPr>
          <w:rFonts w:ascii="Times New Roman" w:eastAsia="Times New Roman" w:hAnsi="Times New Roman" w:cs="Times New Roman"/>
          <w:color w:val="000000"/>
          <w:spacing w:val="0"/>
          <w:w w:val="100"/>
          <w:position w:val="0"/>
        </w:rPr>
        <w:t>2</w:t>
      </w:r>
      <w:bookmarkEnd w:id="242"/>
      <w:r>
        <w:rPr>
          <w:color w:val="000000"/>
          <w:spacing w:val="0"/>
          <w:w w:val="100"/>
          <w:position w:val="0"/>
        </w:rPr>
        <w:t>、任职情况</w:t>
      </w:r>
      <w:bookmarkEnd w:id="240"/>
      <w:bookmarkEnd w:id="241"/>
      <w:bookmarkEnd w:id="243"/>
    </w:p>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0"/>
        <w:keepNext w:val="0"/>
        <w:keepLines w:val="0"/>
        <w:widowControl w:val="0"/>
        <w:shd w:val="clear" w:color="auto" w:fill="auto"/>
        <w:bidi w:val="0"/>
        <w:spacing w:before="0" w:after="0" w:line="311" w:lineRule="exact"/>
        <w:ind w:left="0" w:right="0" w:firstLine="0"/>
        <w:jc w:val="left"/>
      </w:pPr>
      <w:bookmarkStart w:id="244" w:name="bookmark244"/>
      <w:r>
        <w:rPr>
          <w:color w:val="000000"/>
          <w:spacing w:val="0"/>
          <w:w w:val="100"/>
          <w:position w:val="0"/>
        </w:rPr>
        <w:t>一</w:t>
      </w:r>
      <w:bookmarkEnd w:id="244"/>
      <w:r>
        <w:rPr>
          <w:color w:val="000000"/>
          <w:spacing w:val="0"/>
          <w:w w:val="100"/>
          <w:position w:val="0"/>
        </w:rPr>
        <w:t>、公司董事会董事</w:t>
      </w:r>
    </w:p>
    <w:p>
      <w:pPr>
        <w:pStyle w:val="Style20"/>
        <w:keepNext w:val="0"/>
        <w:keepLines w:val="0"/>
        <w:widowControl w:val="0"/>
        <w:shd w:val="clear" w:color="auto" w:fill="auto"/>
        <w:tabs>
          <w:tab w:pos="344" w:val="left"/>
        </w:tabs>
        <w:bidi w:val="0"/>
        <w:spacing w:before="0" w:after="0" w:line="311" w:lineRule="exact"/>
        <w:ind w:left="0" w:right="0" w:firstLine="0"/>
        <w:jc w:val="left"/>
      </w:pPr>
      <w:bookmarkStart w:id="245" w:name="bookmark245"/>
      <w:r>
        <w:rPr>
          <w:rFonts w:ascii="Times New Roman" w:eastAsia="Times New Roman" w:hAnsi="Times New Roman" w:cs="Times New Roman"/>
          <w:color w:val="000000"/>
          <w:spacing w:val="0"/>
          <w:w w:val="100"/>
          <w:position w:val="0"/>
        </w:rPr>
        <w:t>1</w:t>
      </w:r>
      <w:bookmarkEnd w:id="245"/>
      <w:r>
        <w:rPr>
          <w:color w:val="000000"/>
          <w:spacing w:val="0"/>
          <w:w w:val="100"/>
          <w:position w:val="0"/>
        </w:rPr>
        <w:t>、</w:t>
        <w:tab/>
        <w:t xml:space="preserve">叶青女士： </w:t>
      </w:r>
      <w:r>
        <w:rPr>
          <w:rFonts w:ascii="Times New Roman" w:eastAsia="Times New Roman" w:hAnsi="Times New Roman" w:cs="Times New Roman"/>
          <w:color w:val="000000"/>
          <w:spacing w:val="0"/>
          <w:w w:val="100"/>
          <w:position w:val="0"/>
        </w:rPr>
        <w:t>1967</w:t>
      </w:r>
      <w:r>
        <w:rPr>
          <w:color w:val="000000"/>
          <w:spacing w:val="0"/>
          <w:w w:val="100"/>
          <w:position w:val="0"/>
        </w:rPr>
        <w:t>年生，中共党员，研究生学历，浙江大学建筑技术科学专业工学硕士，教授级高级工程师，中国国籍， 无境外永久居留权。</w:t>
      </w:r>
      <w:r>
        <w:rPr>
          <w:rFonts w:ascii="Times New Roman" w:eastAsia="Times New Roman" w:hAnsi="Times New Roman" w:cs="Times New Roman"/>
          <w:color w:val="000000"/>
          <w:spacing w:val="0"/>
          <w:w w:val="100"/>
          <w:position w:val="0"/>
        </w:rPr>
        <w:t>1993</w:t>
      </w:r>
      <w:r>
        <w:rPr>
          <w:color w:val="000000"/>
          <w:spacing w:val="0"/>
          <w:w w:val="100"/>
          <w:position w:val="0"/>
        </w:rPr>
        <w:t>年毕业于浙江大学建筑系。</w:t>
      </w:r>
      <w:r>
        <w:rPr>
          <w:rFonts w:ascii="Times New Roman" w:eastAsia="Times New Roman" w:hAnsi="Times New Roman" w:cs="Times New Roman"/>
          <w:color w:val="000000"/>
          <w:spacing w:val="0"/>
          <w:w w:val="100"/>
          <w:position w:val="0"/>
        </w:rPr>
        <w:t>1993</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年历任深圳市建筑设计研究总院下属深圳市建筑科学研 究院（所）设计室副主任、主任，建科所所长助理、副所长、所长、院长；</w:t>
      </w:r>
      <w:r>
        <w:rPr>
          <w:rFonts w:ascii="Times New Roman" w:eastAsia="Times New Roman" w:hAnsi="Times New Roman" w:cs="Times New Roman"/>
          <w:color w:val="000000"/>
          <w:spacing w:val="0"/>
          <w:w w:val="100"/>
          <w:position w:val="0"/>
        </w:rPr>
        <w:t>2006</w:t>
      </w:r>
      <w:r>
        <w:rPr>
          <w:color w:val="000000"/>
          <w:spacing w:val="0"/>
          <w:w w:val="100"/>
          <w:position w:val="0"/>
        </w:rPr>
        <w:t>年至</w:t>
      </w:r>
      <w:r>
        <w:rPr>
          <w:rFonts w:ascii="Times New Roman" w:eastAsia="Times New Roman" w:hAnsi="Times New Roman" w:cs="Times New Roman"/>
          <w:color w:val="000000"/>
          <w:spacing w:val="0"/>
          <w:w w:val="100"/>
          <w:position w:val="0"/>
        </w:rPr>
        <w:t>2008</w:t>
      </w:r>
      <w:r>
        <w:rPr>
          <w:color w:val="000000"/>
          <w:spacing w:val="0"/>
          <w:w w:val="100"/>
          <w:position w:val="0"/>
        </w:rPr>
        <w:t>年历任深圳市建筑设计研究总院 有限公司执行总建筑师、副总经理，深圳市建筑科学研究院有限公司党委书记、董事长；</w:t>
      </w:r>
      <w:r>
        <w:rPr>
          <w:rFonts w:ascii="Times New Roman" w:eastAsia="Times New Roman" w:hAnsi="Times New Roman" w:cs="Times New Roman"/>
          <w:color w:val="000000"/>
          <w:spacing w:val="0"/>
          <w:w w:val="100"/>
          <w:position w:val="0"/>
        </w:rPr>
        <w:t>2008</w:t>
      </w:r>
      <w:r>
        <w:rPr>
          <w:color w:val="000000"/>
          <w:spacing w:val="0"/>
          <w:w w:val="100"/>
          <w:position w:val="0"/>
        </w:rPr>
        <w:t>年至</w:t>
      </w:r>
      <w:r>
        <w:rPr>
          <w:rFonts w:ascii="Times New Roman" w:eastAsia="Times New Roman" w:hAnsi="Times New Roman" w:cs="Times New Roman"/>
          <w:color w:val="000000"/>
          <w:spacing w:val="0"/>
          <w:w w:val="100"/>
          <w:position w:val="0"/>
        </w:rPr>
        <w:t>2013</w:t>
      </w:r>
      <w:r>
        <w:rPr>
          <w:color w:val="000000"/>
          <w:spacing w:val="0"/>
          <w:w w:val="100"/>
          <w:position w:val="0"/>
        </w:rPr>
        <w:t>年任深圳市建筑科 学研究院有限公司党委书记、董事长。</w:t>
      </w:r>
      <w:r>
        <w:rPr>
          <w:rFonts w:ascii="Times New Roman" w:eastAsia="Times New Roman" w:hAnsi="Times New Roman" w:cs="Times New Roman"/>
          <w:color w:val="000000"/>
          <w:spacing w:val="0"/>
          <w:w w:val="100"/>
          <w:position w:val="0"/>
        </w:rPr>
        <w:t>2013</w:t>
      </w:r>
      <w:r>
        <w:rPr>
          <w:color w:val="000000"/>
          <w:spacing w:val="0"/>
          <w:w w:val="100"/>
          <w:position w:val="0"/>
        </w:rPr>
        <w:t>年至今任深圳市建筑科学研究院股份有限公司党委书记、董事长。</w:t>
      </w:r>
    </w:p>
    <w:p>
      <w:pPr>
        <w:pStyle w:val="Style20"/>
        <w:keepNext w:val="0"/>
        <w:keepLines w:val="0"/>
        <w:widowControl w:val="0"/>
        <w:shd w:val="clear" w:color="auto" w:fill="auto"/>
        <w:tabs>
          <w:tab w:pos="354" w:val="left"/>
        </w:tabs>
        <w:bidi w:val="0"/>
        <w:spacing w:before="0" w:after="0" w:line="311" w:lineRule="exact"/>
        <w:ind w:left="0" w:right="0" w:firstLine="0"/>
        <w:jc w:val="left"/>
      </w:pPr>
      <w:bookmarkStart w:id="246" w:name="bookmark246"/>
      <w:r>
        <w:rPr>
          <w:rFonts w:ascii="Times New Roman" w:eastAsia="Times New Roman" w:hAnsi="Times New Roman" w:cs="Times New Roman"/>
          <w:color w:val="000000"/>
          <w:spacing w:val="0"/>
          <w:w w:val="100"/>
          <w:position w:val="0"/>
        </w:rPr>
        <w:t>2</w:t>
      </w:r>
      <w:bookmarkEnd w:id="246"/>
      <w:r>
        <w:rPr>
          <w:color w:val="000000"/>
          <w:spacing w:val="0"/>
          <w:w w:val="100"/>
          <w:position w:val="0"/>
        </w:rPr>
        <w:t>、</w:t>
        <w:tab/>
        <w:t>陈泽广先生：</w:t>
      </w:r>
      <w:r>
        <w:rPr>
          <w:rFonts w:ascii="Times New Roman" w:eastAsia="Times New Roman" w:hAnsi="Times New Roman" w:cs="Times New Roman"/>
          <w:color w:val="000000"/>
          <w:spacing w:val="0"/>
          <w:w w:val="100"/>
          <w:position w:val="0"/>
        </w:rPr>
        <w:t>1965</w:t>
      </w:r>
      <w:r>
        <w:rPr>
          <w:color w:val="000000"/>
          <w:spacing w:val="0"/>
          <w:w w:val="100"/>
          <w:position w:val="0"/>
        </w:rPr>
        <w:t>年生，中共党员，研究生学历，华南理工大学结构工程专业工学硕士，中欧国际工商学院高层管理人 员工商管理硕士</w:t>
      </w:r>
      <w:r>
        <w:rPr>
          <w:color w:val="000000"/>
          <w:spacing w:val="0"/>
          <w:w w:val="100"/>
          <w:position w:val="0"/>
        </w:rPr>
        <w:t>（</w:t>
      </w:r>
      <w:r>
        <w:rPr>
          <w:rFonts w:ascii="Times New Roman" w:eastAsia="Times New Roman" w:hAnsi="Times New Roman" w:cs="Times New Roman"/>
          <w:color w:val="000000"/>
          <w:spacing w:val="0"/>
          <w:w w:val="100"/>
          <w:position w:val="0"/>
        </w:rPr>
        <w:t>EMBA</w:t>
      </w:r>
      <w:r>
        <w:rPr>
          <w:color w:val="000000"/>
          <w:spacing w:val="0"/>
          <w:w w:val="100"/>
          <w:position w:val="0"/>
        </w:rPr>
        <w:t>），教授级高级工程师，中国国籍，无境外永久居留权。</w:t>
      </w:r>
      <w:r>
        <w:rPr>
          <w:rFonts w:ascii="Times New Roman" w:eastAsia="Times New Roman" w:hAnsi="Times New Roman" w:cs="Times New Roman"/>
          <w:color w:val="000000"/>
          <w:spacing w:val="0"/>
          <w:w w:val="100"/>
          <w:position w:val="0"/>
        </w:rPr>
        <w:t>1989</w:t>
      </w:r>
      <w:r>
        <w:rPr>
          <w:color w:val="000000"/>
          <w:spacing w:val="0"/>
          <w:w w:val="100"/>
          <w:position w:val="0"/>
        </w:rPr>
        <w:t>年参加工作，</w:t>
      </w:r>
      <w:r>
        <w:rPr>
          <w:rFonts w:ascii="Times New Roman" w:eastAsia="Times New Roman" w:hAnsi="Times New Roman" w:cs="Times New Roman"/>
          <w:color w:val="000000"/>
          <w:spacing w:val="0"/>
          <w:w w:val="100"/>
          <w:position w:val="0"/>
        </w:rPr>
        <w:t>2003</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年期</w:t>
      </w:r>
    </w:p>
    <w:p>
      <w:pPr>
        <w:pStyle w:val="Style20"/>
        <w:keepNext w:val="0"/>
        <w:keepLines w:val="0"/>
        <w:widowControl w:val="0"/>
        <w:shd w:val="clear" w:color="auto" w:fill="auto"/>
        <w:bidi w:val="0"/>
        <w:spacing w:before="0" w:after="300" w:line="311" w:lineRule="exact"/>
        <w:ind w:left="0" w:right="0" w:firstLine="0"/>
        <w:jc w:val="left"/>
      </w:pPr>
      <w:r>
        <w:rPr>
          <w:color w:val="000000"/>
          <w:spacing w:val="0"/>
          <w:w w:val="100"/>
          <w:position w:val="0"/>
        </w:rPr>
        <w:t>间，历任深圳市建筑科学研究院总工程师、副院长；</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2008</w:t>
      </w:r>
      <w:r>
        <w:rPr>
          <w:color w:val="000000"/>
          <w:spacing w:val="0"/>
          <w:w w:val="100"/>
          <w:position w:val="0"/>
        </w:rPr>
        <w:t xml:space="preserve">年期间，任深圳市建筑科学研究院有限公司副院长； </w:t>
      </w:r>
      <w:r>
        <w:rPr>
          <w:rFonts w:ascii="Times New Roman" w:eastAsia="Times New Roman" w:hAnsi="Times New Roman" w:cs="Times New Roman"/>
          <w:color w:val="000000"/>
          <w:spacing w:val="0"/>
          <w:w w:val="100"/>
          <w:position w:val="0"/>
        </w:rPr>
        <w:t>2008</w:t>
      </w:r>
      <w:r>
        <w:rPr>
          <w:color w:val="000000"/>
          <w:spacing w:val="0"/>
          <w:w w:val="100"/>
          <w:position w:val="0"/>
        </w:rPr>
        <w:t>年至</w:t>
      </w:r>
      <w:r>
        <w:rPr>
          <w:rFonts w:ascii="Times New Roman" w:eastAsia="Times New Roman" w:hAnsi="Times New Roman" w:cs="Times New Roman"/>
          <w:color w:val="000000"/>
          <w:spacing w:val="0"/>
          <w:w w:val="100"/>
          <w:position w:val="0"/>
        </w:rPr>
        <w:t>2013</w:t>
      </w:r>
      <w:r>
        <w:rPr>
          <w:color w:val="000000"/>
          <w:spacing w:val="0"/>
          <w:w w:val="100"/>
          <w:position w:val="0"/>
        </w:rPr>
        <w:t>年期间，任深圳市建筑科学研究院有限公司党委副书记、董事、总经理；</w:t>
      </w:r>
      <w:r>
        <w:rPr>
          <w:rFonts w:ascii="Times New Roman" w:eastAsia="Times New Roman" w:hAnsi="Times New Roman" w:cs="Times New Roman"/>
          <w:color w:val="000000"/>
          <w:spacing w:val="0"/>
          <w:w w:val="100"/>
          <w:position w:val="0"/>
        </w:rPr>
        <w:t>2013</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年期间，任深圳市建 筑科学研究院股份有限公司党委副书记、董事、总经理。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月起任深圳市建筑科学研究院股份有限公司党委副书 记、副董事长。</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月起任深圳市建筑科学研究院股份有限公司副董事长。</w:t>
      </w:r>
    </w:p>
    <w:p>
      <w:pPr>
        <w:pStyle w:val="Style20"/>
        <w:keepNext w:val="0"/>
        <w:keepLines w:val="0"/>
        <w:widowControl w:val="0"/>
        <w:pBdr>
          <w:top w:val="single" w:sz="4" w:space="0" w:color="auto"/>
        </w:pBdr>
        <w:shd w:val="clear" w:color="auto" w:fill="auto"/>
        <w:tabs>
          <w:tab w:pos="284" w:val="left"/>
        </w:tabs>
        <w:bidi w:val="0"/>
        <w:spacing w:before="0" w:after="0" w:line="314" w:lineRule="exact"/>
        <w:ind w:left="0" w:right="0" w:firstLine="0"/>
        <w:jc w:val="left"/>
      </w:pPr>
      <w:bookmarkStart w:id="247" w:name="bookmark247"/>
      <w:r>
        <w:rPr>
          <w:rFonts w:ascii="Times New Roman" w:eastAsia="Times New Roman" w:hAnsi="Times New Roman" w:cs="Times New Roman"/>
          <w:color w:val="000000"/>
          <w:spacing w:val="0"/>
          <w:w w:val="100"/>
          <w:position w:val="0"/>
        </w:rPr>
        <w:t>3</w:t>
      </w:r>
      <w:bookmarkEnd w:id="247"/>
      <w:r>
        <w:rPr>
          <w:color w:val="000000"/>
          <w:spacing w:val="0"/>
          <w:w w:val="100"/>
          <w:position w:val="0"/>
        </w:rPr>
        <w:t>、</w:t>
        <w:tab/>
        <w:t>黄庆先生：</w:t>
      </w:r>
      <w:r>
        <w:rPr>
          <w:rFonts w:ascii="Times New Roman" w:eastAsia="Times New Roman" w:hAnsi="Times New Roman" w:cs="Times New Roman"/>
          <w:color w:val="000000"/>
          <w:spacing w:val="0"/>
          <w:w w:val="100"/>
          <w:position w:val="0"/>
        </w:rPr>
        <w:t>1971</w:t>
      </w:r>
      <w:r>
        <w:rPr>
          <w:color w:val="000000"/>
          <w:spacing w:val="0"/>
          <w:w w:val="100"/>
          <w:position w:val="0"/>
        </w:rPr>
        <w:t>年生，中共党员，研究生学历，武汉大学投资经济专业毕业，管理学硕士，中国国籍，无境外永久居留 权。</w:t>
      </w:r>
      <w:r>
        <w:rPr>
          <w:rFonts w:ascii="Times New Roman" w:eastAsia="Times New Roman" w:hAnsi="Times New Roman" w:cs="Times New Roman"/>
          <w:color w:val="000000"/>
          <w:spacing w:val="0"/>
          <w:w w:val="100"/>
          <w:position w:val="0"/>
        </w:rPr>
        <w:t>1995</w:t>
      </w:r>
      <w:r>
        <w:rPr>
          <w:color w:val="000000"/>
          <w:spacing w:val="0"/>
          <w:w w:val="100"/>
          <w:position w:val="0"/>
        </w:rPr>
        <w:t>年参加工作，历任山西省人民政府驻广州办事处党组成员、副主任，山西省人民政府办公厅、国家文化部、湖南 省人民政府办公厅、深圳市人民政府办公厅处级干部等职。现任深圳市资本运营集团有限公司（曾用名：深圳市远致投资 有限公司，下同）副总经理、深圳市建筑科学研究院股份有限公司董事。</w:t>
      </w:r>
    </w:p>
    <w:p>
      <w:pPr>
        <w:pStyle w:val="Style20"/>
        <w:keepNext w:val="0"/>
        <w:keepLines w:val="0"/>
        <w:widowControl w:val="0"/>
        <w:shd w:val="clear" w:color="auto" w:fill="auto"/>
        <w:tabs>
          <w:tab w:pos="294" w:val="left"/>
        </w:tabs>
        <w:bidi w:val="0"/>
        <w:spacing w:before="0" w:after="0" w:line="314" w:lineRule="exact"/>
        <w:ind w:left="0" w:right="0" w:firstLine="0"/>
        <w:jc w:val="left"/>
      </w:pPr>
      <w:bookmarkStart w:id="248" w:name="bookmark248"/>
      <w:r>
        <w:rPr>
          <w:rFonts w:ascii="Times New Roman" w:eastAsia="Times New Roman" w:hAnsi="Times New Roman" w:cs="Times New Roman"/>
          <w:color w:val="000000"/>
          <w:spacing w:val="0"/>
          <w:w w:val="100"/>
          <w:position w:val="0"/>
        </w:rPr>
        <w:t>4</w:t>
      </w:r>
      <w:bookmarkEnd w:id="248"/>
      <w:r>
        <w:rPr>
          <w:color w:val="000000"/>
          <w:spacing w:val="0"/>
          <w:w w:val="100"/>
          <w:position w:val="0"/>
        </w:rPr>
        <w:t>、</w:t>
        <w:tab/>
        <w:t>张峰先生：</w:t>
      </w:r>
      <w:r>
        <w:rPr>
          <w:rFonts w:ascii="Times New Roman" w:eastAsia="Times New Roman" w:hAnsi="Times New Roman" w:cs="Times New Roman"/>
          <w:color w:val="000000"/>
          <w:spacing w:val="0"/>
          <w:w w:val="100"/>
          <w:position w:val="0"/>
        </w:rPr>
        <w:t>1977</w:t>
      </w:r>
      <w:r>
        <w:rPr>
          <w:color w:val="000000"/>
          <w:spacing w:val="0"/>
          <w:w w:val="100"/>
          <w:position w:val="0"/>
        </w:rPr>
        <w:t>年生，中共党员，研究生学历，中共中央党校经济学（经济管理）专业，中国国籍，无境外永久居留 权。</w:t>
      </w:r>
      <w:r>
        <w:rPr>
          <w:rFonts w:ascii="Times New Roman" w:eastAsia="Times New Roman" w:hAnsi="Times New Roman" w:cs="Times New Roman"/>
          <w:color w:val="000000"/>
          <w:spacing w:val="0"/>
          <w:w w:val="100"/>
          <w:position w:val="0"/>
        </w:rPr>
        <w:t>1999</w:t>
      </w:r>
      <w:r>
        <w:rPr>
          <w:color w:val="000000"/>
          <w:spacing w:val="0"/>
          <w:w w:val="100"/>
          <w:position w:val="0"/>
        </w:rPr>
        <w:t>年参加工作，历任深圳市大运中心运营管理有限公司办公室（党群工作部）主任，中国科技开发院有限公司总经 理秘书、园区发展部部长、党总支委员、办公室（党群工作部）主任、第一党支部书记，</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月起任深圳市建筑科学 研究院股份有限公司党委副书记。</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月起任深圳市建筑科学研究院股份有限公司党委副书记、董事。</w:t>
      </w:r>
    </w:p>
    <w:p>
      <w:pPr>
        <w:pStyle w:val="Style20"/>
        <w:keepNext w:val="0"/>
        <w:keepLines w:val="0"/>
        <w:widowControl w:val="0"/>
        <w:shd w:val="clear" w:color="auto" w:fill="auto"/>
        <w:tabs>
          <w:tab w:pos="303" w:val="left"/>
        </w:tabs>
        <w:bidi w:val="0"/>
        <w:spacing w:before="0" w:after="0" w:line="314" w:lineRule="exact"/>
        <w:ind w:left="0" w:right="0" w:firstLine="0"/>
        <w:jc w:val="left"/>
      </w:pPr>
      <w:bookmarkStart w:id="249" w:name="bookmark249"/>
      <w:r>
        <w:rPr>
          <w:rFonts w:ascii="Times New Roman" w:eastAsia="Times New Roman" w:hAnsi="Times New Roman" w:cs="Times New Roman"/>
          <w:color w:val="000000"/>
          <w:spacing w:val="0"/>
          <w:w w:val="100"/>
          <w:position w:val="0"/>
        </w:rPr>
        <w:t>5</w:t>
      </w:r>
      <w:bookmarkEnd w:id="249"/>
      <w:r>
        <w:rPr>
          <w:color w:val="000000"/>
          <w:spacing w:val="0"/>
          <w:w w:val="100"/>
          <w:position w:val="0"/>
        </w:rPr>
        <w:t>、</w:t>
        <w:tab/>
        <w:t>孙慧荣先生：</w:t>
      </w:r>
      <w:r>
        <w:rPr>
          <w:rFonts w:ascii="Times New Roman" w:eastAsia="Times New Roman" w:hAnsi="Times New Roman" w:cs="Times New Roman"/>
          <w:color w:val="000000"/>
          <w:spacing w:val="0"/>
          <w:w w:val="100"/>
          <w:position w:val="0"/>
        </w:rPr>
        <w:t>1983</w:t>
      </w:r>
      <w:r>
        <w:rPr>
          <w:color w:val="000000"/>
          <w:spacing w:val="0"/>
          <w:w w:val="100"/>
          <w:position w:val="0"/>
        </w:rPr>
        <w:t>年生，中共党员，研究生学历，复旦大学金融学硕士，中级工程师，中国国籍，无境外永久居留 权。</w:t>
      </w:r>
      <w:r>
        <w:rPr>
          <w:rFonts w:ascii="Times New Roman" w:eastAsia="Times New Roman" w:hAnsi="Times New Roman" w:cs="Times New Roman"/>
          <w:color w:val="000000"/>
          <w:spacing w:val="0"/>
          <w:w w:val="100"/>
          <w:position w:val="0"/>
        </w:rPr>
        <w:t>2005</w:t>
      </w:r>
      <w:r>
        <w:rPr>
          <w:color w:val="000000"/>
          <w:spacing w:val="0"/>
          <w:w w:val="100"/>
          <w:position w:val="0"/>
        </w:rPr>
        <w:t xml:space="preserve">年参加工作，历任深圳市勘察测绘院有限公司高级职员、项目负责人，深圳市地平线投资管理有限公司投资总 监，深圳市资本运营集团有限公司战略研究与并购重组部高级经理、副部长等职。现任资本运营集团资产管理部部长，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月起任深圳市建筑科学研究院股份有限公司董事。</w:t>
      </w:r>
    </w:p>
    <w:p>
      <w:pPr>
        <w:pStyle w:val="Style20"/>
        <w:keepNext w:val="0"/>
        <w:keepLines w:val="0"/>
        <w:widowControl w:val="0"/>
        <w:shd w:val="clear" w:color="auto" w:fill="auto"/>
        <w:tabs>
          <w:tab w:pos="294" w:val="left"/>
        </w:tabs>
        <w:bidi w:val="0"/>
        <w:spacing w:before="0" w:after="0" w:line="314" w:lineRule="exact"/>
        <w:ind w:left="0" w:right="0" w:firstLine="0"/>
        <w:jc w:val="left"/>
      </w:pPr>
      <w:bookmarkStart w:id="250" w:name="bookmark250"/>
      <w:r>
        <w:rPr>
          <w:rFonts w:ascii="Times New Roman" w:eastAsia="Times New Roman" w:hAnsi="Times New Roman" w:cs="Times New Roman"/>
          <w:color w:val="000000"/>
          <w:spacing w:val="0"/>
          <w:w w:val="100"/>
          <w:position w:val="0"/>
        </w:rPr>
        <w:t>6</w:t>
      </w:r>
      <w:bookmarkEnd w:id="250"/>
      <w:r>
        <w:rPr>
          <w:color w:val="000000"/>
          <w:spacing w:val="0"/>
          <w:w w:val="100"/>
          <w:position w:val="0"/>
        </w:rPr>
        <w:t>、</w:t>
        <w:tab/>
        <w:t>叶小平先生：</w:t>
      </w:r>
      <w:r>
        <w:rPr>
          <w:rFonts w:ascii="Times New Roman" w:eastAsia="Times New Roman" w:hAnsi="Times New Roman" w:cs="Times New Roman"/>
          <w:color w:val="000000"/>
          <w:spacing w:val="0"/>
          <w:w w:val="100"/>
          <w:position w:val="0"/>
        </w:rPr>
        <w:t>1981</w:t>
      </w:r>
      <w:r>
        <w:rPr>
          <w:color w:val="000000"/>
          <w:spacing w:val="0"/>
          <w:w w:val="100"/>
          <w:position w:val="0"/>
        </w:rPr>
        <w:t>年生，中共党员，研究生学历，厦门大学管理学硕士，英国特许公认会计师公会资深会员，持有深圳 证券交易所认可的董事会秘书资格证书，中国国籍，无境外永久居留权。</w:t>
      </w:r>
      <w:r>
        <w:rPr>
          <w:rFonts w:ascii="Times New Roman" w:eastAsia="Times New Roman" w:hAnsi="Times New Roman" w:cs="Times New Roman"/>
          <w:color w:val="000000"/>
          <w:spacing w:val="0"/>
          <w:w w:val="100"/>
          <w:position w:val="0"/>
        </w:rPr>
        <w:t>2006</w:t>
      </w:r>
      <w:r>
        <w:rPr>
          <w:color w:val="000000"/>
          <w:spacing w:val="0"/>
          <w:w w:val="100"/>
          <w:position w:val="0"/>
        </w:rPr>
        <w:t>年参加工作，历任深圳市燃气集团股份有限 公司赣州公司财务部部长、深圳市宝德投资控股有限公司财务总监、深圳市资本运营集团有限公司计划财务部副部长等</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职，</w:t>
      </w:r>
      <w:r>
        <w:rPr>
          <w:rFonts w:ascii="Times New Roman" w:eastAsia="Times New Roman" w:hAnsi="Times New Roman" w:cs="Times New Roman"/>
          <w:color w:val="000000"/>
          <w:spacing w:val="0"/>
          <w:w w:val="100"/>
          <w:position w:val="0"/>
        </w:rPr>
        <w:t>2019</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年期间，任公司董事、财务负责人、财务总监。</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月起任公司董事、财务负责人、财务总监、董 事会秘书。</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月起任公司党委委员、董事、财务负责人、财务总监、董事会秘书。</w:t>
      </w:r>
    </w:p>
    <w:p>
      <w:pPr>
        <w:pStyle w:val="Style20"/>
        <w:keepNext w:val="0"/>
        <w:keepLines w:val="0"/>
        <w:widowControl w:val="0"/>
        <w:shd w:val="clear" w:color="auto" w:fill="auto"/>
        <w:tabs>
          <w:tab w:pos="294" w:val="left"/>
        </w:tabs>
        <w:bidi w:val="0"/>
        <w:spacing w:before="0" w:after="0" w:line="314" w:lineRule="exact"/>
        <w:ind w:left="0" w:right="0" w:firstLine="0"/>
        <w:jc w:val="left"/>
      </w:pPr>
      <w:bookmarkStart w:id="251" w:name="bookmark251"/>
      <w:r>
        <w:rPr>
          <w:rFonts w:ascii="Times New Roman" w:eastAsia="Times New Roman" w:hAnsi="Times New Roman" w:cs="Times New Roman"/>
          <w:color w:val="000000"/>
          <w:spacing w:val="0"/>
          <w:w w:val="100"/>
          <w:position w:val="0"/>
        </w:rPr>
        <w:t>7</w:t>
      </w:r>
      <w:bookmarkEnd w:id="251"/>
      <w:r>
        <w:rPr>
          <w:color w:val="000000"/>
          <w:spacing w:val="0"/>
          <w:w w:val="100"/>
          <w:position w:val="0"/>
        </w:rPr>
        <w:t>、</w:t>
        <w:tab/>
        <w:t>张燕平先生：</w:t>
      </w:r>
      <w:r>
        <w:rPr>
          <w:rFonts w:ascii="Times New Roman" w:eastAsia="Times New Roman" w:hAnsi="Times New Roman" w:cs="Times New Roman"/>
          <w:color w:val="000000"/>
          <w:spacing w:val="0"/>
          <w:w w:val="100"/>
          <w:position w:val="0"/>
        </w:rPr>
        <w:t>1955</w:t>
      </w:r>
      <w:r>
        <w:rPr>
          <w:color w:val="000000"/>
          <w:spacing w:val="0"/>
          <w:w w:val="100"/>
          <w:position w:val="0"/>
        </w:rPr>
        <w:t>年生，中共党员，研究生学历，同济大学工业与民用建筑学士，美国俄亥俄莱特州立大学高级管理人 员工商管理硕士</w:t>
      </w:r>
      <w:r>
        <w:rPr>
          <w:color w:val="000000"/>
          <w:spacing w:val="0"/>
          <w:w w:val="100"/>
          <w:position w:val="0"/>
        </w:rPr>
        <w:t>（</w:t>
      </w:r>
      <w:r>
        <w:rPr>
          <w:rFonts w:ascii="Times New Roman" w:eastAsia="Times New Roman" w:hAnsi="Times New Roman" w:cs="Times New Roman"/>
          <w:color w:val="000000"/>
          <w:spacing w:val="0"/>
          <w:w w:val="100"/>
          <w:position w:val="0"/>
        </w:rPr>
        <w:t>EMBA</w:t>
      </w:r>
      <w:r>
        <w:rPr>
          <w:color w:val="000000"/>
          <w:spacing w:val="0"/>
          <w:w w:val="100"/>
          <w:position w:val="0"/>
        </w:rPr>
        <w:t>），持有深圳证券交易所认可的独立董事资格证书，中国国籍，无境外永久居留权。</w:t>
      </w:r>
      <w:r>
        <w:rPr>
          <w:rFonts w:ascii="Times New Roman" w:eastAsia="Times New Roman" w:hAnsi="Times New Roman" w:cs="Times New Roman"/>
          <w:color w:val="000000"/>
          <w:spacing w:val="0"/>
          <w:w w:val="100"/>
          <w:position w:val="0"/>
        </w:rPr>
        <w:t>1983</w:t>
      </w:r>
      <w:r>
        <w:rPr>
          <w:color w:val="000000"/>
          <w:spacing w:val="0"/>
          <w:w w:val="100"/>
          <w:position w:val="0"/>
        </w:rPr>
        <w:t>年参加 工作，</w:t>
      </w:r>
      <w:r>
        <w:rPr>
          <w:rFonts w:ascii="Times New Roman" w:eastAsia="Times New Roman" w:hAnsi="Times New Roman" w:cs="Times New Roman"/>
          <w:color w:val="000000"/>
          <w:spacing w:val="0"/>
          <w:w w:val="100"/>
          <w:position w:val="0"/>
        </w:rPr>
        <w:t>1983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color w:val="000000"/>
          <w:spacing w:val="0"/>
          <w:w w:val="100"/>
          <w:position w:val="0"/>
        </w:rPr>
        <w:t>一</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月期间，历任上海市建筑科学研究院技术员、结构技术研究所副总工程师、岩土工程技术研究 所所长等职；</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color w:val="000000"/>
          <w:spacing w:val="0"/>
          <w:w w:val="100"/>
          <w:position w:val="0"/>
        </w:rPr>
        <w:t>一</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月期间，任上海市建筑科学研究院副院长兼人事处处长；</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color w:val="000000"/>
          <w:spacing w:val="0"/>
          <w:w w:val="100"/>
          <w:position w:val="0"/>
        </w:rPr>
        <w:t>一</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月期间， 任上海市建筑科学研究院（集团）有限公司院长（</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color w:val="000000"/>
          <w:spacing w:val="0"/>
          <w:w w:val="100"/>
          <w:position w:val="0"/>
        </w:rPr>
        <w:t>一</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月期间参加国务院国资委委托美国俄亥俄莱特州立 大学</w:t>
      </w:r>
      <w:r>
        <w:rPr>
          <w:rFonts w:ascii="Times New Roman" w:eastAsia="Times New Roman" w:hAnsi="Times New Roman" w:cs="Times New Roman"/>
          <w:color w:val="000000"/>
          <w:spacing w:val="0"/>
          <w:w w:val="100"/>
          <w:position w:val="0"/>
        </w:rPr>
        <w:t>EMBA</w:t>
      </w:r>
      <w:r>
        <w:rPr>
          <w:color w:val="000000"/>
          <w:spacing w:val="0"/>
          <w:w w:val="100"/>
          <w:position w:val="0"/>
        </w:rPr>
        <w:t>班并结业）。同时历任上海市第八届党代会代表、上海市第十三届人大代表、上海市第十二届政协委员、同济 大学城市风险管理研究院专家委员会副主任等社会职务。现任上海市建筑学会副理事长，</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月起任深圳市建筑科学 研究院股份有限公司独立董事。</w:t>
      </w:r>
    </w:p>
    <w:p>
      <w:pPr>
        <w:pStyle w:val="Style20"/>
        <w:keepNext w:val="0"/>
        <w:keepLines w:val="0"/>
        <w:widowControl w:val="0"/>
        <w:shd w:val="clear" w:color="auto" w:fill="auto"/>
        <w:tabs>
          <w:tab w:pos="303" w:val="left"/>
        </w:tabs>
        <w:bidi w:val="0"/>
        <w:spacing w:before="0" w:after="0" w:line="314" w:lineRule="exact"/>
        <w:ind w:left="0" w:right="0" w:firstLine="0"/>
        <w:jc w:val="left"/>
      </w:pPr>
      <w:bookmarkStart w:id="252" w:name="bookmark252"/>
      <w:r>
        <w:rPr>
          <w:rFonts w:ascii="Times New Roman" w:eastAsia="Times New Roman" w:hAnsi="Times New Roman" w:cs="Times New Roman"/>
          <w:color w:val="000000"/>
          <w:spacing w:val="0"/>
          <w:w w:val="100"/>
          <w:position w:val="0"/>
        </w:rPr>
        <w:t>8</w:t>
      </w:r>
      <w:bookmarkEnd w:id="252"/>
      <w:r>
        <w:rPr>
          <w:color w:val="000000"/>
          <w:spacing w:val="0"/>
          <w:w w:val="100"/>
          <w:position w:val="0"/>
        </w:rPr>
        <w:t>、</w:t>
        <w:tab/>
        <w:t>谢兰军先生：</w:t>
      </w:r>
      <w:r>
        <w:rPr>
          <w:rFonts w:ascii="Times New Roman" w:eastAsia="Times New Roman" w:hAnsi="Times New Roman" w:cs="Times New Roman"/>
          <w:color w:val="000000"/>
          <w:spacing w:val="0"/>
          <w:w w:val="100"/>
          <w:position w:val="0"/>
        </w:rPr>
        <w:t>1966</w:t>
      </w:r>
      <w:r>
        <w:rPr>
          <w:color w:val="000000"/>
          <w:spacing w:val="0"/>
          <w:w w:val="100"/>
          <w:position w:val="0"/>
        </w:rPr>
        <w:t>年生，中共党员，本科学历，兰州大学法学学士，持有深圳证券交易所认可的独立董事资格证书，中 国国籍，无境外永久居留权。</w:t>
      </w:r>
      <w:r>
        <w:rPr>
          <w:rFonts w:ascii="Times New Roman" w:eastAsia="Times New Roman" w:hAnsi="Times New Roman" w:cs="Times New Roman"/>
          <w:color w:val="000000"/>
          <w:spacing w:val="0"/>
          <w:w w:val="100"/>
          <w:position w:val="0"/>
        </w:rPr>
        <w:t>1989</w:t>
      </w:r>
      <w:r>
        <w:rPr>
          <w:color w:val="000000"/>
          <w:spacing w:val="0"/>
          <w:w w:val="100"/>
          <w:position w:val="0"/>
        </w:rPr>
        <w:t>年参加工作，</w:t>
      </w: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color w:val="000000"/>
          <w:spacing w:val="0"/>
          <w:w w:val="100"/>
          <w:position w:val="0"/>
        </w:rPr>
        <w:t>一</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月期间，任河源市司法局对外经济律师事务所副主任 律师；</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月期间，任广东万商律师事务所律师；</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—200</w:t>
      </w:r>
      <w:r>
        <w:rPr>
          <w:rFonts w:ascii="Times New Roman" w:eastAsia="Times New Roman" w:hAnsi="Times New Roman" w:cs="Times New Roman"/>
          <w:color w:val="000000"/>
          <w:spacing w:val="0"/>
          <w:w w:val="100"/>
          <w:position w:val="0"/>
        </w:rPr>
        <w:t>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月期间，任广东新东方律师事务所 律师（</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月期间参加清华大学工程项目管理学院资本运营班并结业）；</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color w:val="000000"/>
          <w:spacing w:val="0"/>
          <w:w w:val="100"/>
          <w:position w:val="0"/>
        </w:rPr>
        <w:t>一</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月期间，任 广东雅尔德律师事务所执业律师（</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月期间在国家信息产业部</w:t>
      </w:r>
      <w:r>
        <w:rPr>
          <w:rFonts w:ascii="Times New Roman" w:eastAsia="Times New Roman" w:hAnsi="Times New Roman" w:cs="Times New Roman"/>
          <w:color w:val="000000"/>
          <w:spacing w:val="0"/>
          <w:w w:val="100"/>
          <w:position w:val="0"/>
        </w:rPr>
        <w:t>“</w:t>
      </w:r>
      <w:r>
        <w:rPr>
          <w:color w:val="000000"/>
          <w:spacing w:val="0"/>
          <w:w w:val="100"/>
          <w:position w:val="0"/>
        </w:rPr>
        <w:t>通信技术知识产权保护实务研讨班</w:t>
      </w:r>
      <w:r>
        <w:rPr>
          <w:rFonts w:ascii="Times New Roman" w:eastAsia="Times New Roman" w:hAnsi="Times New Roman" w:cs="Times New Roman"/>
          <w:color w:val="000000"/>
          <w:spacing w:val="0"/>
          <w:w w:val="100"/>
          <w:position w:val="0"/>
        </w:rPr>
        <w:t>”</w:t>
      </w:r>
      <w:r>
        <w:rPr>
          <w:color w:val="000000"/>
          <w:spacing w:val="0"/>
          <w:w w:val="100"/>
          <w:position w:val="0"/>
        </w:rPr>
        <w:t xml:space="preserve">学习并结业）； </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月至今任北京市中银（深圳）律师事务所高级合伙人、律师、党支部书记，</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月起任深圳市建筑科学研究院 股份有限公司独立董事。</w:t>
      </w:r>
    </w:p>
    <w:p>
      <w:pPr>
        <w:pStyle w:val="Style20"/>
        <w:keepNext w:val="0"/>
        <w:keepLines w:val="0"/>
        <w:widowControl w:val="0"/>
        <w:shd w:val="clear" w:color="auto" w:fill="auto"/>
        <w:tabs>
          <w:tab w:pos="298" w:val="left"/>
        </w:tabs>
        <w:bidi w:val="0"/>
        <w:spacing w:before="0" w:after="0" w:line="314" w:lineRule="exact"/>
        <w:ind w:left="0" w:right="0" w:firstLine="0"/>
        <w:jc w:val="left"/>
      </w:pPr>
      <w:bookmarkStart w:id="253" w:name="bookmark253"/>
      <w:r>
        <w:rPr>
          <w:rFonts w:ascii="Times New Roman" w:eastAsia="Times New Roman" w:hAnsi="Times New Roman" w:cs="Times New Roman"/>
          <w:color w:val="000000"/>
          <w:spacing w:val="0"/>
          <w:w w:val="100"/>
          <w:position w:val="0"/>
        </w:rPr>
        <w:t>9</w:t>
      </w:r>
      <w:bookmarkEnd w:id="253"/>
      <w:r>
        <w:rPr>
          <w:color w:val="000000"/>
          <w:spacing w:val="0"/>
          <w:w w:val="100"/>
          <w:position w:val="0"/>
        </w:rPr>
        <w:t>、</w:t>
        <w:tab/>
        <w:t>周俊祥先生：</w:t>
      </w:r>
      <w:r>
        <w:rPr>
          <w:rFonts w:ascii="Times New Roman" w:eastAsia="Times New Roman" w:hAnsi="Times New Roman" w:cs="Times New Roman"/>
          <w:color w:val="000000"/>
          <w:spacing w:val="0"/>
          <w:w w:val="100"/>
          <w:position w:val="0"/>
        </w:rPr>
        <w:t>1965</w:t>
      </w:r>
      <w:r>
        <w:rPr>
          <w:color w:val="000000"/>
          <w:spacing w:val="0"/>
          <w:w w:val="100"/>
          <w:position w:val="0"/>
        </w:rPr>
        <w:t>年生，研究生学历，武汉大学计算机科学系理学学士（计算机）、财政部中国财政科学研究院经济学 硕士（会计），中国注册会计师</w:t>
      </w:r>
      <w:r>
        <w:rPr>
          <w:color w:val="000000"/>
          <w:spacing w:val="0"/>
          <w:w w:val="100"/>
          <w:position w:val="0"/>
        </w:rPr>
        <w:t>（</w:t>
      </w:r>
      <w:r>
        <w:rPr>
          <w:rFonts w:ascii="Times New Roman" w:eastAsia="Times New Roman" w:hAnsi="Times New Roman" w:cs="Times New Roman"/>
          <w:color w:val="000000"/>
          <w:spacing w:val="0"/>
          <w:w w:val="100"/>
          <w:position w:val="0"/>
        </w:rPr>
        <w:t>CPA</w:t>
      </w:r>
      <w:r>
        <w:rPr>
          <w:color w:val="000000"/>
          <w:spacing w:val="0"/>
          <w:w w:val="100"/>
          <w:position w:val="0"/>
        </w:rPr>
        <w:t>）、</w:t>
      </w:r>
      <w:r>
        <w:rPr>
          <w:color w:val="000000"/>
          <w:spacing w:val="0"/>
          <w:w w:val="100"/>
          <w:position w:val="0"/>
        </w:rPr>
        <w:t>注册资产评估师</w:t>
      </w:r>
      <w:r>
        <w:rPr>
          <w:color w:val="000000"/>
          <w:spacing w:val="0"/>
          <w:w w:val="100"/>
          <w:position w:val="0"/>
        </w:rPr>
        <w:t>（</w:t>
      </w:r>
      <w:r>
        <w:rPr>
          <w:rFonts w:ascii="Times New Roman" w:eastAsia="Times New Roman" w:hAnsi="Times New Roman" w:cs="Times New Roman"/>
          <w:color w:val="000000"/>
          <w:spacing w:val="0"/>
          <w:w w:val="100"/>
          <w:position w:val="0"/>
        </w:rPr>
        <w:t>CPV</w:t>
      </w:r>
      <w:r>
        <w:rPr>
          <w:color w:val="000000"/>
          <w:spacing w:val="0"/>
          <w:w w:val="100"/>
          <w:position w:val="0"/>
        </w:rPr>
        <w:t>），持有深圳证券交易所认可的独立董事资格证书，中 国国籍，无境外永久居留权。</w:t>
      </w:r>
      <w:r>
        <w:rPr>
          <w:rFonts w:ascii="Times New Roman" w:eastAsia="Times New Roman" w:hAnsi="Times New Roman" w:cs="Times New Roman"/>
          <w:color w:val="000000"/>
          <w:spacing w:val="0"/>
          <w:w w:val="100"/>
          <w:position w:val="0"/>
        </w:rPr>
        <w:t>1989</w:t>
      </w:r>
      <w:r>
        <w:rPr>
          <w:color w:val="000000"/>
          <w:spacing w:val="0"/>
          <w:w w:val="100"/>
          <w:position w:val="0"/>
        </w:rPr>
        <w:t>年参加工作并从事独立审计和评估工作，历任证券从业资格会计师事务所审计经理、评 估公司总经理、会计师事务所所长（合伙人）等职。现任大华会计师事务所（特殊普通合伙）高级合伙人，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 任深圳市建筑科学研究院股份有限公司独立董事。</w:t>
      </w:r>
    </w:p>
    <w:p>
      <w:pPr>
        <w:pStyle w:val="Style20"/>
        <w:keepNext w:val="0"/>
        <w:keepLines w:val="0"/>
        <w:widowControl w:val="0"/>
        <w:shd w:val="clear" w:color="auto" w:fill="auto"/>
        <w:bidi w:val="0"/>
        <w:spacing w:before="0" w:after="0" w:line="314" w:lineRule="exact"/>
        <w:ind w:left="0" w:right="0" w:firstLine="0"/>
        <w:jc w:val="left"/>
      </w:pPr>
      <w:bookmarkStart w:id="254" w:name="bookmark254"/>
      <w:r>
        <w:rPr>
          <w:color w:val="000000"/>
          <w:spacing w:val="0"/>
          <w:w w:val="100"/>
          <w:position w:val="0"/>
        </w:rPr>
        <w:t>二</w:t>
      </w:r>
      <w:bookmarkEnd w:id="254"/>
      <w:r>
        <w:rPr>
          <w:color w:val="000000"/>
          <w:spacing w:val="0"/>
          <w:w w:val="100"/>
          <w:position w:val="0"/>
        </w:rPr>
        <w:t>、公司监事会监事</w:t>
      </w:r>
    </w:p>
    <w:p>
      <w:pPr>
        <w:pStyle w:val="Style20"/>
        <w:keepNext w:val="0"/>
        <w:keepLines w:val="0"/>
        <w:widowControl w:val="0"/>
        <w:shd w:val="clear" w:color="auto" w:fill="auto"/>
        <w:bidi w:val="0"/>
        <w:spacing w:before="0" w:after="0" w:line="314" w:lineRule="exact"/>
        <w:ind w:left="0" w:right="0" w:firstLine="0"/>
        <w:jc w:val="left"/>
      </w:pPr>
      <w:bookmarkStart w:id="255" w:name="bookmark255"/>
      <w:r>
        <w:rPr>
          <w:rFonts w:ascii="Times New Roman" w:eastAsia="Times New Roman" w:hAnsi="Times New Roman" w:cs="Times New Roman"/>
          <w:color w:val="000000"/>
          <w:spacing w:val="0"/>
          <w:w w:val="100"/>
          <w:position w:val="0"/>
        </w:rPr>
        <w:t>1</w:t>
      </w:r>
      <w:bookmarkEnd w:id="255"/>
      <w:r>
        <w:rPr>
          <w:color w:val="000000"/>
          <w:spacing w:val="0"/>
          <w:w w:val="100"/>
          <w:position w:val="0"/>
        </w:rPr>
        <w:t>、肖显锋先生：</w:t>
      </w:r>
      <w:r>
        <w:rPr>
          <w:rFonts w:ascii="Times New Roman" w:eastAsia="Times New Roman" w:hAnsi="Times New Roman" w:cs="Times New Roman"/>
          <w:color w:val="000000"/>
          <w:spacing w:val="0"/>
          <w:w w:val="100"/>
          <w:position w:val="0"/>
        </w:rPr>
        <w:t>1978</w:t>
      </w:r>
      <w:r>
        <w:rPr>
          <w:color w:val="000000"/>
          <w:spacing w:val="0"/>
          <w:w w:val="100"/>
          <w:position w:val="0"/>
        </w:rPr>
        <w:t>年生，中共党员，研究生学历，江西财经大学经济学学士，厦门大学法律硕士，中国国籍，无境外永 久居留权。</w:t>
      </w:r>
      <w:r>
        <w:rPr>
          <w:rFonts w:ascii="Times New Roman" w:eastAsia="Times New Roman" w:hAnsi="Times New Roman" w:cs="Times New Roman"/>
          <w:color w:val="000000"/>
          <w:spacing w:val="0"/>
          <w:w w:val="100"/>
          <w:position w:val="0"/>
        </w:rPr>
        <w:t>1999</w:t>
      </w:r>
      <w:r>
        <w:rPr>
          <w:color w:val="000000"/>
          <w:spacing w:val="0"/>
          <w:w w:val="100"/>
          <w:position w:val="0"/>
        </w:rPr>
        <w:t>年参加工作，历任中国建设银行股份有限公司三明分行梅列支行会计科科员、信贷科客户经理，美国强生 （中国）有限公司大客户营销经理，深圳市人民代表大会法制委员会副主任科员、主任科员，深圳市人民政府国有资产监 督管理委员会产权管理与法律事务处主任科员，深圳市资本运营集团有限公司风险控制部副部长、投资发展部副部长、投 资发展部资深经理（正部长级）、投资发展一部资深经理（正部长级）（</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月期间挂任河源市国有资产 经营有限公司党委副书记、副董事长、副总经理）等职，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月起任深圳市建筑科学研究院股份有限公司党委委员、</w:t>
      </w:r>
    </w:p>
    <w:p>
      <w:pPr>
        <w:pStyle w:val="Style20"/>
        <w:keepNext w:val="0"/>
        <w:keepLines w:val="0"/>
        <w:widowControl w:val="0"/>
        <w:shd w:val="clear" w:color="auto" w:fill="auto"/>
        <w:bidi w:val="0"/>
        <w:spacing w:before="0" w:after="0" w:line="312" w:lineRule="exact"/>
        <w:ind w:left="0" w:right="0" w:firstLine="4940"/>
        <w:jc w:val="left"/>
      </w:pPr>
      <w:r>
        <w:rPr>
          <w:color w:val="000000"/>
          <w:spacing w:val="0"/>
          <w:w w:val="100"/>
          <w:position w:val="0"/>
          <w:u w:val="single"/>
        </w:rPr>
        <w:t>深圳市建筑科学研究院股份有限公司</w:t>
      </w:r>
      <w:r>
        <w:rPr>
          <w:rFonts w:ascii="Times New Roman" w:eastAsia="Times New Roman" w:hAnsi="Times New Roman" w:cs="Times New Roman"/>
          <w:color w:val="000000"/>
          <w:spacing w:val="0"/>
          <w:w w:val="100"/>
          <w:position w:val="0"/>
          <w:u w:val="single"/>
        </w:rPr>
        <w:t>2021</w:t>
      </w:r>
      <w:r>
        <w:rPr>
          <w:color w:val="000000"/>
          <w:spacing w:val="0"/>
          <w:w w:val="100"/>
          <w:position w:val="0"/>
          <w:u w:val="single"/>
        </w:rPr>
        <w:t xml:space="preserve">年年度报告全文 </w:t>
      </w:r>
      <w:r>
        <w:rPr>
          <w:color w:val="000000"/>
          <w:spacing w:val="0"/>
          <w:w w:val="100"/>
          <w:position w:val="0"/>
        </w:rPr>
        <w:t>纪委书记。</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月起任深圳市建筑科学研究院股份有限公</w:t>
      </w:r>
    </w:p>
    <w:p>
      <w:pPr>
        <w:pStyle w:val="Style20"/>
        <w:keepNext w:val="0"/>
        <w:keepLines w:val="0"/>
        <w:widowControl w:val="0"/>
        <w:shd w:val="clear" w:color="auto" w:fill="auto"/>
        <w:tabs>
          <w:tab w:pos="294" w:val="left"/>
        </w:tabs>
        <w:bidi w:val="0"/>
        <w:spacing w:before="0" w:after="0" w:line="312" w:lineRule="exact"/>
        <w:ind w:left="0" w:right="0" w:firstLine="0"/>
        <w:jc w:val="left"/>
      </w:pPr>
      <w:bookmarkStart w:id="256" w:name="bookmark256"/>
      <w:r>
        <w:rPr>
          <w:rFonts w:ascii="Times New Roman" w:eastAsia="Times New Roman" w:hAnsi="Times New Roman" w:cs="Times New Roman"/>
          <w:color w:val="000000"/>
          <w:spacing w:val="0"/>
          <w:w w:val="100"/>
          <w:position w:val="0"/>
        </w:rPr>
        <w:t>2</w:t>
      </w:r>
      <w:bookmarkEnd w:id="256"/>
      <w:r>
        <w:rPr>
          <w:color w:val="000000"/>
          <w:spacing w:val="0"/>
          <w:w w:val="100"/>
          <w:position w:val="0"/>
        </w:rPr>
        <w:t>、</w:t>
        <w:tab/>
        <w:t xml:space="preserve">李萱女士： </w:t>
      </w:r>
      <w:r>
        <w:rPr>
          <w:rFonts w:ascii="Times New Roman" w:eastAsia="Times New Roman" w:hAnsi="Times New Roman" w:cs="Times New Roman"/>
          <w:color w:val="000000"/>
          <w:spacing w:val="0"/>
          <w:w w:val="100"/>
          <w:position w:val="0"/>
        </w:rPr>
        <w:t>1984</w:t>
      </w:r>
      <w:r>
        <w:rPr>
          <w:color w:val="000000"/>
          <w:spacing w:val="0"/>
          <w:w w:val="100"/>
          <w:position w:val="0"/>
        </w:rPr>
        <w:t>年生，研究生学历，中国人民大学商学院会计专业管理学硕士，注册会计师，中国国籍，无境外永久居 留权。</w:t>
      </w:r>
      <w:r>
        <w:rPr>
          <w:rFonts w:ascii="Times New Roman" w:eastAsia="Times New Roman" w:hAnsi="Times New Roman" w:cs="Times New Roman"/>
          <w:color w:val="000000"/>
          <w:spacing w:val="0"/>
          <w:w w:val="100"/>
          <w:position w:val="0"/>
        </w:rPr>
        <w:t>2009</w:t>
      </w:r>
      <w:r>
        <w:rPr>
          <w:color w:val="000000"/>
          <w:spacing w:val="0"/>
          <w:w w:val="100"/>
          <w:position w:val="0"/>
        </w:rPr>
        <w:t>年参加工作，历任德勤华永会计师事务所（特殊普通合伙）高级审计员、北京凤新资产管理有限公司风控部副 总监等职。现任北京中关村资本基金管理有限公司资金财务部副总监，</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月起任深圳市建筑科学研究院股份有限公 司监事。</w:t>
      </w:r>
    </w:p>
    <w:p>
      <w:pPr>
        <w:pStyle w:val="Style20"/>
        <w:keepNext w:val="0"/>
        <w:keepLines w:val="0"/>
        <w:widowControl w:val="0"/>
        <w:shd w:val="clear" w:color="auto" w:fill="auto"/>
        <w:tabs>
          <w:tab w:pos="294" w:val="left"/>
        </w:tabs>
        <w:bidi w:val="0"/>
        <w:spacing w:before="0" w:after="0" w:line="312" w:lineRule="exact"/>
        <w:ind w:left="0" w:right="0" w:firstLine="0"/>
        <w:jc w:val="left"/>
      </w:pPr>
      <w:bookmarkStart w:id="257" w:name="bookmark257"/>
      <w:r>
        <w:rPr>
          <w:rFonts w:ascii="Times New Roman" w:eastAsia="Times New Roman" w:hAnsi="Times New Roman" w:cs="Times New Roman"/>
          <w:color w:val="000000"/>
          <w:spacing w:val="0"/>
          <w:w w:val="100"/>
          <w:position w:val="0"/>
        </w:rPr>
        <w:t>3</w:t>
      </w:r>
      <w:bookmarkEnd w:id="257"/>
      <w:r>
        <w:rPr>
          <w:color w:val="000000"/>
          <w:spacing w:val="0"/>
          <w:w w:val="100"/>
          <w:position w:val="0"/>
        </w:rPr>
        <w:t>、</w:t>
        <w:tab/>
        <w:t>王潇玮先生：</w:t>
      </w:r>
      <w:r>
        <w:rPr>
          <w:rFonts w:ascii="Times New Roman" w:eastAsia="Times New Roman" w:hAnsi="Times New Roman" w:cs="Times New Roman"/>
          <w:color w:val="000000"/>
          <w:spacing w:val="0"/>
          <w:w w:val="100"/>
          <w:position w:val="0"/>
        </w:rPr>
        <w:t>1984</w:t>
      </w:r>
      <w:r>
        <w:rPr>
          <w:color w:val="000000"/>
          <w:spacing w:val="0"/>
          <w:w w:val="100"/>
          <w:position w:val="0"/>
        </w:rPr>
        <w:t>年生，中共党员，研究生学历，中国政法大学法学硕士，中国国籍，无境外永久居留权。</w:t>
      </w:r>
      <w:r>
        <w:rPr>
          <w:rFonts w:ascii="Times New Roman" w:eastAsia="Times New Roman" w:hAnsi="Times New Roman" w:cs="Times New Roman"/>
          <w:color w:val="000000"/>
          <w:spacing w:val="0"/>
          <w:w w:val="100"/>
          <w:position w:val="0"/>
        </w:rPr>
        <w:t>2010</w:t>
      </w:r>
      <w:r>
        <w:rPr>
          <w:color w:val="000000"/>
          <w:spacing w:val="0"/>
          <w:w w:val="100"/>
          <w:position w:val="0"/>
        </w:rPr>
        <w:t>年参加 工作，历任安信证券股份有限公司合规法务部合规经理，海通证券股份有限公司投行项目经理，申万宏源证券有限公司投资 银行部投行项目经理，深圳市远致投资有限公司高级经理，深圳市远致创业投资有限公司副总经理（副部长级）等职。现任 资本运营集团风险控制部副部长，</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月起任深圳市建筑科学研究院股份有限公司监事。</w:t>
      </w:r>
    </w:p>
    <w:p>
      <w:pPr>
        <w:pStyle w:val="Style20"/>
        <w:keepNext w:val="0"/>
        <w:keepLines w:val="0"/>
        <w:widowControl w:val="0"/>
        <w:shd w:val="clear" w:color="auto" w:fill="auto"/>
        <w:tabs>
          <w:tab w:pos="294" w:val="left"/>
        </w:tabs>
        <w:bidi w:val="0"/>
        <w:spacing w:before="0" w:after="0" w:line="312" w:lineRule="exact"/>
        <w:ind w:left="0" w:right="0" w:firstLine="0"/>
        <w:jc w:val="left"/>
      </w:pPr>
      <w:bookmarkStart w:id="258" w:name="bookmark258"/>
      <w:r>
        <w:rPr>
          <w:rFonts w:ascii="Times New Roman" w:eastAsia="Times New Roman" w:hAnsi="Times New Roman" w:cs="Times New Roman"/>
          <w:color w:val="000000"/>
          <w:spacing w:val="0"/>
          <w:w w:val="100"/>
          <w:position w:val="0"/>
        </w:rPr>
        <w:t>4</w:t>
      </w:r>
      <w:bookmarkEnd w:id="258"/>
      <w:r>
        <w:rPr>
          <w:color w:val="000000"/>
          <w:spacing w:val="0"/>
          <w:w w:val="100"/>
          <w:position w:val="0"/>
        </w:rPr>
        <w:t>、</w:t>
        <w:tab/>
        <w:t xml:space="preserve">陈友莲女士： </w:t>
      </w:r>
      <w:r>
        <w:rPr>
          <w:rFonts w:ascii="Times New Roman" w:eastAsia="Times New Roman" w:hAnsi="Times New Roman" w:cs="Times New Roman"/>
          <w:color w:val="000000"/>
          <w:spacing w:val="0"/>
          <w:w w:val="100"/>
          <w:position w:val="0"/>
        </w:rPr>
        <w:t>1972</w:t>
      </w:r>
      <w:r>
        <w:rPr>
          <w:color w:val="000000"/>
          <w:spacing w:val="0"/>
          <w:w w:val="100"/>
          <w:position w:val="0"/>
        </w:rPr>
        <w:t>年生，中共党员，硕士研究生学历，湖南大学财政学专业经济学硕士，注册会计师，税务师，中国国 籍，无境外永久居留权。</w:t>
      </w:r>
      <w:r>
        <w:rPr>
          <w:rFonts w:ascii="Times New Roman" w:eastAsia="Times New Roman" w:hAnsi="Times New Roman" w:cs="Times New Roman"/>
          <w:color w:val="000000"/>
          <w:spacing w:val="0"/>
          <w:w w:val="100"/>
          <w:position w:val="0"/>
        </w:rPr>
        <w:t>1992</w:t>
      </w:r>
      <w:r>
        <w:rPr>
          <w:color w:val="000000"/>
          <w:spacing w:val="0"/>
          <w:w w:val="100"/>
          <w:position w:val="0"/>
        </w:rPr>
        <w:t>年参加工作，历任深圳市勘察测绘院有限公司财务部主任会计师兼下属深圳市深勘基础工程 有限公司财务总监、深圳市勘察测绘院有限公司财务部部长等职。</w:t>
      </w:r>
      <w:r>
        <w:rPr>
          <w:rFonts w:ascii="Times New Roman" w:eastAsia="Times New Roman" w:hAnsi="Times New Roman" w:cs="Times New Roman"/>
          <w:color w:val="000000"/>
          <w:spacing w:val="0"/>
          <w:w w:val="100"/>
          <w:position w:val="0"/>
        </w:rPr>
        <w:t>2013</w:t>
      </w:r>
      <w:r>
        <w:rPr>
          <w:color w:val="000000"/>
          <w:spacing w:val="0"/>
          <w:w w:val="100"/>
          <w:position w:val="0"/>
        </w:rPr>
        <w:t>年至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月历任深圳市建筑科学研究院股份有限 公司财务部主管会计、财务部助理经理、财务部副经理、审计部经理、纪检监察室（监事会办公室）主任等职。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 起至今任深圳市建筑科学研究院股份有限公司职工代表监事、纪检监察室（监事会办公室）主任。</w:t>
      </w:r>
    </w:p>
    <w:p>
      <w:pPr>
        <w:pStyle w:val="Style20"/>
        <w:keepNext w:val="0"/>
        <w:keepLines w:val="0"/>
        <w:widowControl w:val="0"/>
        <w:shd w:val="clear" w:color="auto" w:fill="auto"/>
        <w:tabs>
          <w:tab w:pos="294" w:val="left"/>
        </w:tabs>
        <w:bidi w:val="0"/>
        <w:spacing w:before="0" w:after="0" w:line="312" w:lineRule="exact"/>
        <w:ind w:left="0" w:right="0" w:firstLine="0"/>
        <w:jc w:val="left"/>
      </w:pPr>
      <w:bookmarkStart w:id="259" w:name="bookmark259"/>
      <w:r>
        <w:rPr>
          <w:rFonts w:ascii="Times New Roman" w:eastAsia="Times New Roman" w:hAnsi="Times New Roman" w:cs="Times New Roman"/>
          <w:color w:val="000000"/>
          <w:spacing w:val="0"/>
          <w:w w:val="100"/>
          <w:position w:val="0"/>
        </w:rPr>
        <w:t>5</w:t>
      </w:r>
      <w:bookmarkEnd w:id="259"/>
      <w:r>
        <w:rPr>
          <w:color w:val="000000"/>
          <w:spacing w:val="0"/>
          <w:w w:val="100"/>
          <w:position w:val="0"/>
        </w:rPr>
        <w:t>、</w:t>
        <w:tab/>
        <w:t xml:space="preserve">兰岚女士： </w:t>
      </w:r>
      <w:r>
        <w:rPr>
          <w:rFonts w:ascii="Times New Roman" w:eastAsia="Times New Roman" w:hAnsi="Times New Roman" w:cs="Times New Roman"/>
          <w:color w:val="000000"/>
          <w:spacing w:val="0"/>
          <w:w w:val="100"/>
          <w:position w:val="0"/>
        </w:rPr>
        <w:t>1986</w:t>
      </w:r>
      <w:r>
        <w:rPr>
          <w:color w:val="000000"/>
          <w:spacing w:val="0"/>
          <w:w w:val="100"/>
          <w:position w:val="0"/>
        </w:rPr>
        <w:t>年生，本科学历，三峡大学英语语言学及管理学双学士学位，中国国籍，无永久境外居留权。</w:t>
      </w:r>
      <w:r>
        <w:rPr>
          <w:rFonts w:ascii="Times New Roman" w:eastAsia="Times New Roman" w:hAnsi="Times New Roman" w:cs="Times New Roman"/>
          <w:color w:val="000000"/>
          <w:spacing w:val="0"/>
          <w:w w:val="100"/>
          <w:position w:val="0"/>
        </w:rPr>
        <w:t>2008</w:t>
      </w:r>
      <w:r>
        <w:rPr>
          <w:color w:val="000000"/>
          <w:spacing w:val="0"/>
          <w:w w:val="100"/>
          <w:position w:val="0"/>
        </w:rPr>
        <w:t>年参 加工作，曾任职于深圳市新海能投资有限公司综合管理办公室、中国电信股份有限公司湖北省公司财务共享中心。</w:t>
      </w:r>
      <w:r>
        <w:rPr>
          <w:rFonts w:ascii="Times New Roman" w:eastAsia="Times New Roman" w:hAnsi="Times New Roman" w:cs="Times New Roman"/>
          <w:color w:val="000000"/>
          <w:spacing w:val="0"/>
          <w:w w:val="100"/>
          <w:position w:val="0"/>
        </w:rPr>
        <w:t>2012</w:t>
      </w:r>
      <w:r>
        <w:rPr>
          <w:color w:val="000000"/>
          <w:spacing w:val="0"/>
          <w:w w:val="100"/>
          <w:position w:val="0"/>
        </w:rPr>
        <w:t>年 至今历任深圳市建筑科学研究院股份有限公司董事会办公室行政专员、助理经理、行政管理部助理经理。现任深圳市建筑 科学研究院股份有限公司职工代表监事、行政管理部经理。</w:t>
      </w:r>
    </w:p>
    <w:p>
      <w:pPr>
        <w:pStyle w:val="Style20"/>
        <w:keepNext w:val="0"/>
        <w:keepLines w:val="0"/>
        <w:widowControl w:val="0"/>
        <w:shd w:val="clear" w:color="auto" w:fill="auto"/>
        <w:bidi w:val="0"/>
        <w:spacing w:before="0" w:after="0" w:line="312" w:lineRule="exact"/>
        <w:ind w:left="0" w:right="0" w:firstLine="0"/>
        <w:jc w:val="left"/>
      </w:pPr>
      <w:bookmarkStart w:id="260" w:name="bookmark260"/>
      <w:r>
        <w:rPr>
          <w:color w:val="000000"/>
          <w:spacing w:val="0"/>
          <w:w w:val="100"/>
          <w:position w:val="0"/>
        </w:rPr>
        <w:t>三</w:t>
      </w:r>
      <w:bookmarkEnd w:id="260"/>
      <w:r>
        <w:rPr>
          <w:color w:val="000000"/>
          <w:spacing w:val="0"/>
          <w:w w:val="100"/>
          <w:position w:val="0"/>
        </w:rPr>
        <w:t>、公司高级管理人员</w:t>
      </w:r>
    </w:p>
    <w:p>
      <w:pPr>
        <w:pStyle w:val="Style20"/>
        <w:keepNext w:val="0"/>
        <w:keepLines w:val="0"/>
        <w:widowControl w:val="0"/>
        <w:shd w:val="clear" w:color="auto" w:fill="auto"/>
        <w:tabs>
          <w:tab w:pos="284" w:val="left"/>
        </w:tabs>
        <w:bidi w:val="0"/>
        <w:spacing w:before="0" w:after="0" w:line="312" w:lineRule="exact"/>
        <w:ind w:left="0" w:right="0" w:firstLine="0"/>
        <w:jc w:val="left"/>
      </w:pPr>
      <w:bookmarkStart w:id="261" w:name="bookmark261"/>
      <w:r>
        <w:rPr>
          <w:rFonts w:ascii="Times New Roman" w:eastAsia="Times New Roman" w:hAnsi="Times New Roman" w:cs="Times New Roman"/>
          <w:color w:val="000000"/>
          <w:spacing w:val="0"/>
          <w:w w:val="100"/>
          <w:position w:val="0"/>
        </w:rPr>
        <w:t>1</w:t>
      </w:r>
      <w:bookmarkEnd w:id="261"/>
      <w:r>
        <w:rPr>
          <w:color w:val="000000"/>
          <w:spacing w:val="0"/>
          <w:w w:val="100"/>
          <w:position w:val="0"/>
        </w:rPr>
        <w:t>、</w:t>
        <w:tab/>
        <w:t>毛洪伟先生：</w:t>
      </w:r>
      <w:r>
        <w:rPr>
          <w:rFonts w:ascii="Times New Roman" w:eastAsia="Times New Roman" w:hAnsi="Times New Roman" w:cs="Times New Roman"/>
          <w:color w:val="000000"/>
          <w:spacing w:val="0"/>
          <w:w w:val="100"/>
          <w:position w:val="0"/>
        </w:rPr>
        <w:t>1979</w:t>
      </w:r>
      <w:r>
        <w:rPr>
          <w:color w:val="000000"/>
          <w:spacing w:val="0"/>
          <w:w w:val="100"/>
          <w:position w:val="0"/>
        </w:rPr>
        <w:t>年生，中共党员，研究生学历，广州大学供热、供燃气、通风及空调工程专业工学硕士，高级工程 师，中国国籍，无境外永久居留权。</w:t>
      </w:r>
      <w:r>
        <w:rPr>
          <w:rFonts w:ascii="Times New Roman" w:eastAsia="Times New Roman" w:hAnsi="Times New Roman" w:cs="Times New Roman"/>
          <w:color w:val="000000"/>
          <w:spacing w:val="0"/>
          <w:w w:val="100"/>
          <w:position w:val="0"/>
        </w:rPr>
        <w:t>2005</w:t>
      </w:r>
      <w:r>
        <w:rPr>
          <w:color w:val="000000"/>
          <w:spacing w:val="0"/>
          <w:w w:val="100"/>
          <w:position w:val="0"/>
        </w:rPr>
        <w:t>年参加工作，</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年期间，任深圳市建筑科学研究院研发中心助理工程 师、资源中心咨询部负责人，</w:t>
      </w:r>
      <w:r>
        <w:rPr>
          <w:rFonts w:ascii="Times New Roman" w:eastAsia="Times New Roman" w:hAnsi="Times New Roman" w:cs="Times New Roman"/>
          <w:color w:val="000000"/>
          <w:spacing w:val="0"/>
          <w:w w:val="100"/>
          <w:position w:val="0"/>
        </w:rPr>
        <w:t>2008</w:t>
      </w:r>
      <w:r>
        <w:rPr>
          <w:color w:val="000000"/>
          <w:spacing w:val="0"/>
          <w:w w:val="100"/>
          <w:position w:val="0"/>
        </w:rPr>
        <w:t>年至</w:t>
      </w:r>
      <w:r>
        <w:rPr>
          <w:rFonts w:ascii="Times New Roman" w:eastAsia="Times New Roman" w:hAnsi="Times New Roman" w:cs="Times New Roman"/>
          <w:color w:val="000000"/>
          <w:spacing w:val="0"/>
          <w:w w:val="100"/>
          <w:position w:val="0"/>
        </w:rPr>
        <w:t>2013</w:t>
      </w:r>
      <w:r>
        <w:rPr>
          <w:color w:val="000000"/>
          <w:spacing w:val="0"/>
          <w:w w:val="100"/>
          <w:position w:val="0"/>
        </w:rPr>
        <w:t>年期间，历任深圳市建筑科学研究院有限公司质控中心负责人、董事会办公室 主任、研发中心总监，</w:t>
      </w:r>
      <w:r>
        <w:rPr>
          <w:rFonts w:ascii="Times New Roman" w:eastAsia="Times New Roman" w:hAnsi="Times New Roman" w:cs="Times New Roman"/>
          <w:color w:val="000000"/>
          <w:spacing w:val="0"/>
          <w:w w:val="100"/>
          <w:position w:val="0"/>
        </w:rPr>
        <w:t>2015</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年期间任公司党委委员、副总经理兼董事会秘书等职。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月起任公司党委委 员、总经理。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月起任公司党委副书记、总经理。</w:t>
      </w:r>
    </w:p>
    <w:p>
      <w:pPr>
        <w:pStyle w:val="Style20"/>
        <w:keepNext w:val="0"/>
        <w:keepLines w:val="0"/>
        <w:widowControl w:val="0"/>
        <w:shd w:val="clear" w:color="auto" w:fill="auto"/>
        <w:tabs>
          <w:tab w:pos="294" w:val="left"/>
        </w:tabs>
        <w:bidi w:val="0"/>
        <w:spacing w:before="0" w:after="0" w:line="312" w:lineRule="exact"/>
        <w:ind w:left="0" w:right="0" w:firstLine="0"/>
        <w:jc w:val="left"/>
      </w:pPr>
      <w:bookmarkStart w:id="262" w:name="bookmark262"/>
      <w:r>
        <w:rPr>
          <w:rFonts w:ascii="Times New Roman" w:eastAsia="Times New Roman" w:hAnsi="Times New Roman" w:cs="Times New Roman"/>
          <w:color w:val="000000"/>
          <w:spacing w:val="0"/>
          <w:w w:val="100"/>
          <w:position w:val="0"/>
        </w:rPr>
        <w:t>2</w:t>
      </w:r>
      <w:bookmarkEnd w:id="262"/>
      <w:r>
        <w:rPr>
          <w:color w:val="000000"/>
          <w:spacing w:val="0"/>
          <w:w w:val="100"/>
          <w:position w:val="0"/>
        </w:rPr>
        <w:t>、</w:t>
        <w:tab/>
        <w:t xml:space="preserve">姚培女士： </w:t>
      </w:r>
      <w:r>
        <w:rPr>
          <w:rFonts w:ascii="Times New Roman" w:eastAsia="Times New Roman" w:hAnsi="Times New Roman" w:cs="Times New Roman"/>
          <w:color w:val="000000"/>
          <w:spacing w:val="0"/>
          <w:w w:val="100"/>
          <w:position w:val="0"/>
        </w:rPr>
        <w:t>1971</w:t>
      </w:r>
      <w:r>
        <w:rPr>
          <w:color w:val="000000"/>
          <w:spacing w:val="0"/>
          <w:w w:val="100"/>
          <w:position w:val="0"/>
        </w:rPr>
        <w:t>年生，中共党员，研究生学历，北京建筑工程学院项目管理工程专业工学硕士，中国国籍，无境外永久 居留权。</w:t>
      </w:r>
      <w:r>
        <w:rPr>
          <w:rFonts w:ascii="Times New Roman" w:eastAsia="Times New Roman" w:hAnsi="Times New Roman" w:cs="Times New Roman"/>
          <w:color w:val="000000"/>
          <w:spacing w:val="0"/>
          <w:w w:val="100"/>
          <w:position w:val="0"/>
        </w:rPr>
        <w:t>1994</w:t>
      </w:r>
      <w:r>
        <w:rPr>
          <w:color w:val="000000"/>
          <w:spacing w:val="0"/>
          <w:w w:val="100"/>
          <w:position w:val="0"/>
        </w:rPr>
        <w:t>年参加工作，曾任职于中外建设信息有限责任公司、建设部科技司中荷西部小城镇环境基础设施经济适用技 术及示范项目管理办公室等。</w:t>
      </w:r>
      <w:r>
        <w:rPr>
          <w:rFonts w:ascii="Times New Roman" w:eastAsia="Times New Roman" w:hAnsi="Times New Roman" w:cs="Times New Roman"/>
          <w:color w:val="000000"/>
          <w:spacing w:val="0"/>
          <w:w w:val="100"/>
          <w:position w:val="0"/>
        </w:rPr>
        <w:t>2008</w:t>
      </w:r>
      <w:r>
        <w:rPr>
          <w:color w:val="000000"/>
          <w:spacing w:val="0"/>
          <w:w w:val="100"/>
          <w:position w:val="0"/>
        </w:rPr>
        <w:t>年至</w:t>
      </w:r>
      <w:r>
        <w:rPr>
          <w:rFonts w:ascii="Times New Roman" w:eastAsia="Times New Roman" w:hAnsi="Times New Roman" w:cs="Times New Roman"/>
          <w:color w:val="000000"/>
          <w:spacing w:val="0"/>
          <w:w w:val="100"/>
          <w:position w:val="0"/>
        </w:rPr>
        <w:t>2013</w:t>
      </w:r>
      <w:r>
        <w:rPr>
          <w:color w:val="000000"/>
          <w:spacing w:val="0"/>
          <w:w w:val="100"/>
          <w:position w:val="0"/>
        </w:rPr>
        <w:t>年期间，历任深圳市建筑科学研究院有限公司北京分公司总经理、成都分公司 负责人、北京艾科城工程技术有限公司总经理、技术文化传播中心总监、华北区营销总监，</w:t>
      </w:r>
      <w:r>
        <w:rPr>
          <w:rFonts w:ascii="Times New Roman" w:eastAsia="Times New Roman" w:hAnsi="Times New Roman" w:cs="Times New Roman"/>
          <w:color w:val="000000"/>
          <w:spacing w:val="0"/>
          <w:w w:val="100"/>
          <w:position w:val="0"/>
        </w:rPr>
        <w:t>2013</w:t>
      </w:r>
      <w:r>
        <w:rPr>
          <w:color w:val="000000"/>
          <w:spacing w:val="0"/>
          <w:w w:val="100"/>
          <w:position w:val="0"/>
        </w:rPr>
        <w:t>年起历任公司洛深事业部 总经理、董事会办公室主任、技术文化传播中心总监、综合管理办公室主任、雄安事业部总经理等职。</w:t>
      </w:r>
      <w:r>
        <w:rPr>
          <w:rFonts w:ascii="Times New Roman" w:eastAsia="Times New Roman" w:hAnsi="Times New Roman" w:cs="Times New Roman"/>
          <w:color w:val="000000"/>
          <w:spacing w:val="0"/>
          <w:w w:val="100"/>
          <w:position w:val="0"/>
        </w:rPr>
        <w:t>2019</w:t>
      </w:r>
      <w:r>
        <w:rPr>
          <w:color w:val="000000"/>
          <w:spacing w:val="0"/>
          <w:w w:val="100"/>
          <w:position w:val="0"/>
        </w:rPr>
        <w:t>年至今任公司 副总经理、雄安事业部总经理。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月起任公司党委委员、副总经理、雄安事业部总经理。</w:t>
      </w:r>
    </w:p>
    <w:p>
      <w:pPr>
        <w:pStyle w:val="Style20"/>
        <w:keepNext w:val="0"/>
        <w:keepLines w:val="0"/>
        <w:widowControl w:val="0"/>
        <w:shd w:val="clear" w:color="auto" w:fill="auto"/>
        <w:tabs>
          <w:tab w:pos="294" w:val="left"/>
        </w:tabs>
        <w:bidi w:val="0"/>
        <w:spacing w:before="0" w:after="140" w:line="312" w:lineRule="exact"/>
        <w:ind w:left="0" w:right="0" w:firstLine="0"/>
        <w:jc w:val="left"/>
      </w:pPr>
      <w:bookmarkStart w:id="263" w:name="bookmark263"/>
      <w:r>
        <w:rPr>
          <w:rFonts w:ascii="Times New Roman" w:eastAsia="Times New Roman" w:hAnsi="Times New Roman" w:cs="Times New Roman"/>
          <w:color w:val="000000"/>
          <w:spacing w:val="0"/>
          <w:w w:val="100"/>
          <w:position w:val="0"/>
        </w:rPr>
        <w:t>3</w:t>
      </w:r>
      <w:bookmarkEnd w:id="263"/>
      <w:r>
        <w:rPr>
          <w:color w:val="000000"/>
          <w:spacing w:val="0"/>
          <w:w w:val="100"/>
          <w:position w:val="0"/>
        </w:rPr>
        <w:t>、</w:t>
        <w:tab/>
        <w:t>丘国雄先生：</w:t>
      </w:r>
      <w:r>
        <w:rPr>
          <w:rFonts w:ascii="Times New Roman" w:eastAsia="Times New Roman" w:hAnsi="Times New Roman" w:cs="Times New Roman"/>
          <w:color w:val="000000"/>
          <w:spacing w:val="0"/>
          <w:w w:val="100"/>
          <w:position w:val="0"/>
        </w:rPr>
        <w:t>1973</w:t>
      </w:r>
      <w:r>
        <w:rPr>
          <w:color w:val="000000"/>
          <w:spacing w:val="0"/>
          <w:w w:val="100"/>
          <w:position w:val="0"/>
        </w:rPr>
        <w:t>年生，中共党员，本科学历，浙江大学工业与民用建筑专业工学学士，高级工程师，中国国籍，无境 外永久居留权。</w:t>
      </w:r>
      <w:r>
        <w:rPr>
          <w:rFonts w:ascii="Times New Roman" w:eastAsia="Times New Roman" w:hAnsi="Times New Roman" w:cs="Times New Roman"/>
          <w:color w:val="000000"/>
          <w:spacing w:val="0"/>
          <w:w w:val="100"/>
          <w:position w:val="0"/>
        </w:rPr>
        <w:t>1995</w:t>
      </w:r>
      <w:r>
        <w:rPr>
          <w:color w:val="000000"/>
          <w:spacing w:val="0"/>
          <w:w w:val="100"/>
          <w:position w:val="0"/>
        </w:rPr>
        <w:t>年参加工作，曾任职于广东省惠阳建筑设计院。</w:t>
      </w:r>
      <w:r>
        <w:rPr>
          <w:rFonts w:ascii="Times New Roman" w:eastAsia="Times New Roman" w:hAnsi="Times New Roman" w:cs="Times New Roman"/>
          <w:color w:val="000000"/>
          <w:spacing w:val="0"/>
          <w:w w:val="100"/>
          <w:position w:val="0"/>
        </w:rPr>
        <w:t>2002</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年期间，先后任职于深圳市建筑科学研 究院设计所、运营中心、营销中心，</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2013</w:t>
      </w:r>
      <w:r>
        <w:rPr>
          <w:color w:val="000000"/>
          <w:spacing w:val="0"/>
          <w:w w:val="100"/>
          <w:position w:val="0"/>
        </w:rPr>
        <w:t>年期间，历任深圳市建筑科学研究院有限公司营销中心商务部副经理、 经理、营销中心副总监、总监、价值中心总监、绿色建筑设计与咨询中心总监等职；</w:t>
      </w:r>
      <w:r>
        <w:rPr>
          <w:rFonts w:ascii="Times New Roman" w:eastAsia="Times New Roman" w:hAnsi="Times New Roman" w:cs="Times New Roman"/>
          <w:color w:val="000000"/>
          <w:spacing w:val="0"/>
          <w:w w:val="100"/>
          <w:position w:val="0"/>
        </w:rPr>
        <w:t>2013</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年期间，任公司纪委委 员，并历任公司绿色建筑设计与咨询中心总监、广莞惠及龙岗事业部总经理、建设管理事业部筹建负责人、建设管理事业 部总经理等职。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月起任公司纪委委员、副总经理、建设管理事业部总经理。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月起任公司党委委员、副总经 理。</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19"/>
        <w:gridCol w:w="2755"/>
        <w:gridCol w:w="1699"/>
        <w:gridCol w:w="1699"/>
        <w:gridCol w:w="854"/>
        <w:gridCol w:w="1354"/>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在股东单位担任的职 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 领取报酬津贴</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深圳市资本运营集团有限公司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孙慧荣</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深圳市资本运营集团有限公司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资产管理部部长</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19"/>
        <w:gridCol w:w="2755"/>
        <w:gridCol w:w="1699"/>
        <w:gridCol w:w="1699"/>
        <w:gridCol w:w="854"/>
        <w:gridCol w:w="1354"/>
      </w:tblGrid>
      <w:tr>
        <w:trPr>
          <w:trHeight w:val="10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北京中关村资本基金管理有限公 司（股东单位中关村发展集团有 限公司的控股子公司）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资金财务部副总监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王潇玮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深圳市资本运营集团有限公司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风险控制部副部长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毛洪伟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深圳市建科投资股份有限公司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深圳市建科投资股份有限公司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710"/>
        <w:gridCol w:w="3120"/>
        <w:gridCol w:w="1704"/>
        <w:gridCol w:w="1699"/>
        <w:gridCol w:w="1699"/>
        <w:gridCol w:w="648"/>
      </w:tblGrid>
      <w:tr>
        <w:trPr>
          <w:trHeight w:val="165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任职人 员姓名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55" w:lineRule="exact"/>
              <w:ind w:left="0" w:right="0" w:firstLine="0"/>
              <w:jc w:val="center"/>
            </w:pPr>
            <w:r>
              <w:rPr>
                <w:color w:val="000000"/>
                <w:spacing w:val="0"/>
                <w:w w:val="100"/>
                <w:position w:val="0"/>
              </w:rPr>
              <w:t>在其他单位担任的职 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在其他</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单位是</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否领取 报酬津 贴</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叶青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深圳市建设工程标准学会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会长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叶青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湾区（深圳）城市规划设计有限公司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叶青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湾区（深圳）绿色技术有限公司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深圳市亿鑫投资有限公司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深业投资发展有限公司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深圳市高新投集团有限公司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雄安绿研智库有限公司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广州纳斯威尔信息技术有限公司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深圳市能源集团有限公司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深圳南山热电股份有限公司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华润深国投投资有限公司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深圳润信股权投资基金管理有限公司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深圳市环水投资（集团）有限公司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湖南凯睿思新材料科技有限公司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深圳市企业服务集团有限公司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深圳资本</w:t>
            </w:r>
            <w:r>
              <w:rPr>
                <w:rFonts w:ascii="Times New Roman" w:eastAsia="Times New Roman" w:hAnsi="Times New Roman" w:cs="Times New Roman"/>
                <w:color w:val="000000"/>
                <w:spacing w:val="0"/>
                <w:w w:val="100"/>
                <w:position w:val="0"/>
              </w:rPr>
              <w:t>（</w:t>
            </w:r>
            <w:r>
              <w:rPr>
                <w:color w:val="000000"/>
                <w:spacing w:val="0"/>
                <w:w w:val="100"/>
                <w:position w:val="0"/>
              </w:rPr>
              <w:t>海外</w:t>
            </w:r>
            <w:r>
              <w:rPr>
                <w:rFonts w:ascii="Times New Roman" w:eastAsia="Times New Roman" w:hAnsi="Times New Roman" w:cs="Times New Roman"/>
                <w:color w:val="000000"/>
                <w:spacing w:val="0"/>
                <w:w w:val="100"/>
                <w:position w:val="0"/>
              </w:rPr>
              <w:t>）</w:t>
            </w:r>
            <w:r>
              <w:rPr>
                <w:color w:val="000000"/>
                <w:spacing w:val="0"/>
                <w:w w:val="100"/>
                <w:position w:val="0"/>
              </w:rPr>
              <w:t>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孙慧荣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深圳市科陆电子科技股份有限公司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孙慧荣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深圳南山热电股份有限公司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孙慧荣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深圳市柳鑫实业股份有限公司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孙慧荣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珠海深能洪湾电力有限公司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孙慧荣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乾能投资管理有限公司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孙慧荣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深圳开鸿数字产业发展有限公司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孙慧荣</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深圳市天健（集团）股份有限公司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10"/>
        <w:gridCol w:w="3120"/>
        <w:gridCol w:w="1709"/>
        <w:gridCol w:w="1704"/>
        <w:gridCol w:w="1690"/>
        <w:gridCol w:w="648"/>
      </w:tblGrid>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孙慧荣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前海再保险股份有限公司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叶小平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湾区（深圳）城市规划设计有限公司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财务负责人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叶小平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湾区（深圳）绿色技术有限公司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财务负责人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谢兰军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北京市中银（深圳）律师事务所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高级合伙人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谢兰军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深圳市机场（集团）有限公司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外部董事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谢兰军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华润深国投信托有限公司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谢兰军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绿色动力环保集团股份有限公司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谢兰军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深圳劲嘉集团股份有限公司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谢兰军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深圳瑞华泰薄膜科技股份有限公司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周俊祥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大华会计师事务所（特殊普通合伙）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高级合伙人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周俊祥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辽宁振兴银行股份有限公司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周俊祥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深圳市方直科技股份有限公司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周俊祥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希努尔男装股份有限公司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周俊祥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崇达技术股份有限公司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肖显锋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湾区（深圳）城市规划设计有限公司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肖显锋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湾区（深圳）绿色技术有限公司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肖显锋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深圳市远致瑞信股权投资管理有限公司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北京中发智投科技有限公司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王潇玮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深圳市美丽网科技有限公司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陈友莲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湖北建胜工程技术咨询有限公司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15" w:lineRule="exact"/>
              <w:ind w:left="0" w:right="0" w:firstLine="0"/>
              <w:jc w:val="left"/>
            </w:pPr>
            <w:r>
              <w:rPr>
                <w:rFonts w:ascii="Times New Roman" w:eastAsia="Times New Roman" w:hAnsi="Times New Roman" w:cs="Times New Roman"/>
                <w:color w:val="000000"/>
                <w:spacing w:val="0"/>
                <w:w w:val="100"/>
                <w:position w:val="0"/>
                <w:sz w:val="8"/>
                <w:szCs w:val="8"/>
              </w:rPr>
              <w:t xml:space="preserve">AZ. LLJ </w:t>
            </w:r>
            <w:r>
              <w:rPr>
                <w:color w:val="000000"/>
                <w:spacing w:val="0"/>
                <w:w w:val="100"/>
                <w:position w:val="0"/>
              </w:rPr>
              <w:t>兰岚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上海市爱轲城生态科技有限公司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15" w:lineRule="exact"/>
              <w:ind w:left="0" w:right="0" w:firstLine="0"/>
              <w:jc w:val="left"/>
            </w:pPr>
            <w:r>
              <w:rPr>
                <w:rFonts w:ascii="Times New Roman" w:eastAsia="Times New Roman" w:hAnsi="Times New Roman" w:cs="Times New Roman"/>
                <w:color w:val="000000"/>
                <w:spacing w:val="0"/>
                <w:w w:val="100"/>
                <w:position w:val="0"/>
                <w:sz w:val="8"/>
                <w:szCs w:val="8"/>
              </w:rPr>
              <w:t xml:space="preserve">AZ. LLJ </w:t>
            </w:r>
            <w:r>
              <w:rPr>
                <w:color w:val="000000"/>
                <w:spacing w:val="0"/>
                <w:w w:val="100"/>
                <w:position w:val="0"/>
              </w:rPr>
              <w:t>兰岚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深圳玖伊绿色运营管理有限公司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15" w:lineRule="exact"/>
              <w:ind w:left="0" w:right="0" w:firstLine="0"/>
              <w:jc w:val="left"/>
            </w:pPr>
            <w:r>
              <w:rPr>
                <w:rFonts w:ascii="Times New Roman" w:eastAsia="Times New Roman" w:hAnsi="Times New Roman" w:cs="Times New Roman"/>
                <w:color w:val="000000"/>
                <w:spacing w:val="0"/>
                <w:w w:val="100"/>
                <w:position w:val="0"/>
                <w:sz w:val="8"/>
                <w:szCs w:val="8"/>
              </w:rPr>
              <w:t xml:space="preserve">AZ. LLJ </w:t>
            </w:r>
            <w:r>
              <w:rPr>
                <w:color w:val="000000"/>
                <w:spacing w:val="0"/>
                <w:w w:val="100"/>
                <w:position w:val="0"/>
              </w:rPr>
              <w:t>兰岚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河北雄安玖壹生态科技有限公司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15" w:lineRule="exact"/>
              <w:ind w:left="0" w:right="0" w:firstLine="0"/>
              <w:jc w:val="left"/>
            </w:pPr>
            <w:r>
              <w:rPr>
                <w:rFonts w:ascii="Times New Roman" w:eastAsia="Times New Roman" w:hAnsi="Times New Roman" w:cs="Times New Roman"/>
                <w:color w:val="000000"/>
                <w:spacing w:val="0"/>
                <w:w w:val="100"/>
                <w:position w:val="0"/>
                <w:sz w:val="8"/>
                <w:szCs w:val="8"/>
              </w:rPr>
              <w:t xml:space="preserve">AZ. LLJ </w:t>
            </w:r>
            <w:r>
              <w:rPr>
                <w:color w:val="000000"/>
                <w:spacing w:val="0"/>
                <w:w w:val="100"/>
                <w:position w:val="0"/>
              </w:rPr>
              <w:t>兰岚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荆门玖伊园科技有限公司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毛洪伟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深圳艾科筑业工程技术有限公司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董事长兼总经理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毛洪伟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湖北建胜工程技术咨询有限公司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毛洪伟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深圳市建研检测有限公司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毛洪伟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六邻科技（北京）有限公司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河北雄安玖壹生态科技有限公司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深圳艾科城工程技术有限公司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深圳玖伊绿色运营管理有限公司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雄安绿研检验认证有限公司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荆门玖伊园科技有限公司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湖北建胜工程技术咨询有限公司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10"/>
        <w:gridCol w:w="3120"/>
        <w:gridCol w:w="1709"/>
        <w:gridCol w:w="1704"/>
        <w:gridCol w:w="1690"/>
        <w:gridCol w:w="648"/>
      </w:tblGrid>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雄安绿研智库有限公司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丘国雄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深圳艾科城工程技术有限公司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79" w:line="1" w:lineRule="exact"/>
      </w:pP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260" w:line="240" w:lineRule="auto"/>
        <w:ind w:left="0" w:right="0" w:firstLine="0"/>
        <w:jc w:val="left"/>
      </w:pPr>
      <w:bookmarkStart w:id="264" w:name="bookmark264"/>
      <w:bookmarkStart w:id="265" w:name="bookmark265"/>
      <w:bookmarkStart w:id="266" w:name="bookmark266"/>
      <w:bookmarkStart w:id="267" w:name="bookmark267"/>
      <w:r>
        <w:rPr>
          <w:rFonts w:ascii="Times New Roman" w:eastAsia="Times New Roman" w:hAnsi="Times New Roman" w:cs="Times New Roman"/>
          <w:color w:val="000000"/>
          <w:spacing w:val="0"/>
          <w:w w:val="100"/>
          <w:position w:val="0"/>
        </w:rPr>
        <w:t>3</w:t>
      </w:r>
      <w:bookmarkEnd w:id="266"/>
      <w:r>
        <w:rPr>
          <w:color w:val="000000"/>
          <w:spacing w:val="0"/>
          <w:w w:val="100"/>
          <w:position w:val="0"/>
        </w:rPr>
        <w:t>、董事、监事、高级管理人员报酬情况</w:t>
      </w:r>
      <w:bookmarkEnd w:id="264"/>
      <w:bookmarkEnd w:id="265"/>
      <w:bookmarkEnd w:id="267"/>
    </w:p>
    <w:p>
      <w:pPr>
        <w:pStyle w:val="Style20"/>
        <w:keepNext w:val="0"/>
        <w:keepLines w:val="0"/>
        <w:widowControl w:val="0"/>
        <w:shd w:val="clear" w:color="auto" w:fill="auto"/>
        <w:bidi w:val="0"/>
        <w:spacing w:before="0" w:after="0" w:line="318" w:lineRule="exact"/>
        <w:ind w:left="0" w:right="0" w:firstLine="0"/>
        <w:jc w:val="left"/>
      </w:pPr>
      <w:r>
        <w:rPr>
          <w:color w:val="000000"/>
          <w:spacing w:val="0"/>
          <w:w w:val="100"/>
          <w:position w:val="0"/>
        </w:rPr>
        <w:t>董事、监事、高级管理人员报酬的决策程序、确定依据、实际支付情况</w:t>
      </w:r>
    </w:p>
    <w:p>
      <w:pPr>
        <w:pStyle w:val="Style20"/>
        <w:keepNext w:val="0"/>
        <w:keepLines w:val="0"/>
        <w:widowControl w:val="0"/>
        <w:shd w:val="clear" w:color="auto" w:fill="auto"/>
        <w:bidi w:val="0"/>
        <w:spacing w:before="0" w:after="0" w:line="318" w:lineRule="exact"/>
        <w:ind w:left="0" w:right="0" w:firstLine="0"/>
        <w:jc w:val="left"/>
      </w:pPr>
      <w:r>
        <w:rPr>
          <w:color w:val="000000"/>
          <w:spacing w:val="0"/>
          <w:w w:val="100"/>
          <w:position w:val="0"/>
        </w:rPr>
        <w:t>在公司履职的董事、监事和高级管理人员根据《深圳市建筑科学研究院股份有限公司董事、监事和高级管理人员薪酬考核 管理办法》计薪：</w:t>
      </w:r>
    </w:p>
    <w:p>
      <w:pPr>
        <w:pStyle w:val="Style20"/>
        <w:keepNext w:val="0"/>
        <w:keepLines w:val="0"/>
        <w:widowControl w:val="0"/>
        <w:shd w:val="clear" w:color="auto" w:fill="auto"/>
        <w:tabs>
          <w:tab w:pos="339" w:val="left"/>
        </w:tabs>
        <w:bidi w:val="0"/>
        <w:spacing w:before="0" w:after="0" w:line="318" w:lineRule="exact"/>
        <w:ind w:left="0" w:right="0" w:firstLine="0"/>
        <w:jc w:val="left"/>
      </w:pPr>
      <w:bookmarkStart w:id="268" w:name="bookmark268"/>
      <w:r>
        <w:rPr>
          <w:rFonts w:ascii="Times New Roman" w:eastAsia="Times New Roman" w:hAnsi="Times New Roman" w:cs="Times New Roman"/>
          <w:color w:val="000000"/>
          <w:spacing w:val="0"/>
          <w:w w:val="100"/>
          <w:position w:val="0"/>
        </w:rPr>
        <w:t>1</w:t>
      </w:r>
      <w:bookmarkEnd w:id="268"/>
      <w:r>
        <w:rPr>
          <w:color w:val="000000"/>
          <w:spacing w:val="0"/>
          <w:w w:val="100"/>
          <w:position w:val="0"/>
        </w:rPr>
        <w:t>、</w:t>
        <w:tab/>
        <w:t>公司独立董事的薪酬按照公司</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年度股东大会审议通过的《公司</w:t>
      </w:r>
      <w:r>
        <w:rPr>
          <w:rFonts w:ascii="Times New Roman" w:eastAsia="Times New Roman" w:hAnsi="Times New Roman" w:cs="Times New Roman"/>
          <w:color w:val="000000"/>
          <w:spacing w:val="0"/>
          <w:w w:val="100"/>
          <w:position w:val="0"/>
        </w:rPr>
        <w:t>2021</w:t>
      </w:r>
      <w:r>
        <w:rPr>
          <w:color w:val="000000"/>
          <w:spacing w:val="0"/>
          <w:w w:val="100"/>
          <w:position w:val="0"/>
        </w:rPr>
        <w:t>年度董事、监事和高级管理人员薪酬与绩效考核 管理方案》核定发放，独立董事同时可能从其担任董事或高级管理人员的企业或机构（公司关联方）中获取报酬。</w:t>
      </w:r>
    </w:p>
    <w:p>
      <w:pPr>
        <w:pStyle w:val="Style20"/>
        <w:keepNext w:val="0"/>
        <w:keepLines w:val="0"/>
        <w:widowControl w:val="0"/>
        <w:shd w:val="clear" w:color="auto" w:fill="auto"/>
        <w:tabs>
          <w:tab w:pos="354" w:val="left"/>
        </w:tabs>
        <w:bidi w:val="0"/>
        <w:spacing w:before="0" w:after="0" w:line="318" w:lineRule="exact"/>
        <w:ind w:left="0" w:right="0" w:firstLine="0"/>
        <w:jc w:val="left"/>
      </w:pPr>
      <w:bookmarkStart w:id="269" w:name="bookmark269"/>
      <w:r>
        <w:rPr>
          <w:rFonts w:ascii="Times New Roman" w:eastAsia="Times New Roman" w:hAnsi="Times New Roman" w:cs="Times New Roman"/>
          <w:color w:val="000000"/>
          <w:spacing w:val="0"/>
          <w:w w:val="100"/>
          <w:position w:val="0"/>
        </w:rPr>
        <w:t>2</w:t>
      </w:r>
      <w:bookmarkEnd w:id="269"/>
      <w:r>
        <w:rPr>
          <w:color w:val="000000"/>
          <w:spacing w:val="0"/>
          <w:w w:val="100"/>
          <w:position w:val="0"/>
        </w:rPr>
        <w:t>、</w:t>
        <w:tab/>
        <w:t>其他董事的董事岗位不从公司领取薪酬和津贴，有董事身份并与公司有劳动关系（内部董事）、且实际上承担了公司经 营管理责任和工作的，参照高级管理人员薪酬考核方式执行；职工代表监事按其在公司其他岗位进行薪酬考核管理。</w:t>
      </w:r>
    </w:p>
    <w:p>
      <w:pPr>
        <w:pStyle w:val="Style20"/>
        <w:keepNext w:val="0"/>
        <w:keepLines w:val="0"/>
        <w:widowControl w:val="0"/>
        <w:shd w:val="clear" w:color="auto" w:fill="auto"/>
        <w:tabs>
          <w:tab w:pos="354" w:val="left"/>
        </w:tabs>
        <w:bidi w:val="0"/>
        <w:spacing w:before="0" w:after="0" w:line="319" w:lineRule="exact"/>
        <w:ind w:left="0" w:right="0" w:firstLine="0"/>
        <w:jc w:val="left"/>
      </w:pPr>
      <w:bookmarkStart w:id="270" w:name="bookmark270"/>
      <w:r>
        <w:rPr>
          <w:rFonts w:ascii="Times New Roman" w:eastAsia="Times New Roman" w:hAnsi="Times New Roman" w:cs="Times New Roman"/>
          <w:color w:val="000000"/>
          <w:spacing w:val="0"/>
          <w:w w:val="100"/>
          <w:position w:val="0"/>
        </w:rPr>
        <w:t>3</w:t>
      </w:r>
      <w:bookmarkEnd w:id="270"/>
      <w:r>
        <w:rPr>
          <w:color w:val="000000"/>
          <w:spacing w:val="0"/>
          <w:w w:val="100"/>
          <w:position w:val="0"/>
        </w:rPr>
        <w:t>、</w:t>
        <w:tab/>
        <w:t>职工代表监事年度津贴按照公司</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年度股东大会审议通过的《公司</w:t>
      </w:r>
      <w:r>
        <w:rPr>
          <w:rFonts w:ascii="Times New Roman" w:eastAsia="Times New Roman" w:hAnsi="Times New Roman" w:cs="Times New Roman"/>
          <w:color w:val="000000"/>
          <w:spacing w:val="0"/>
          <w:w w:val="100"/>
          <w:position w:val="0"/>
        </w:rPr>
        <w:t>2021</w:t>
      </w:r>
      <w:r>
        <w:rPr>
          <w:color w:val="000000"/>
          <w:spacing w:val="0"/>
          <w:w w:val="100"/>
          <w:position w:val="0"/>
        </w:rPr>
        <w:t>年度董事、监事和高级管理人员薪酬与绩效考 核管理方案》核定发放；与公司没有劳动关系的监事不从公司领取薪酬或津贴。</w:t>
      </w:r>
    </w:p>
    <w:p>
      <w:pPr>
        <w:pStyle w:val="Style20"/>
        <w:keepNext w:val="0"/>
        <w:keepLines w:val="0"/>
        <w:widowControl w:val="0"/>
        <w:shd w:val="clear" w:color="auto" w:fill="auto"/>
        <w:tabs>
          <w:tab w:pos="354" w:val="left"/>
        </w:tabs>
        <w:bidi w:val="0"/>
        <w:spacing w:before="0" w:after="0" w:line="319" w:lineRule="exact"/>
        <w:ind w:left="0" w:right="0" w:firstLine="0"/>
        <w:jc w:val="left"/>
      </w:pPr>
      <w:bookmarkStart w:id="271" w:name="bookmark271"/>
      <w:r>
        <w:rPr>
          <w:rFonts w:ascii="Times New Roman" w:eastAsia="Times New Roman" w:hAnsi="Times New Roman" w:cs="Times New Roman"/>
          <w:color w:val="000000"/>
          <w:spacing w:val="0"/>
          <w:w w:val="100"/>
          <w:position w:val="0"/>
        </w:rPr>
        <w:t>4</w:t>
      </w:r>
      <w:bookmarkEnd w:id="271"/>
      <w:r>
        <w:rPr>
          <w:color w:val="000000"/>
          <w:spacing w:val="0"/>
          <w:w w:val="100"/>
          <w:position w:val="0"/>
        </w:rPr>
        <w:t>、</w:t>
        <w:tab/>
        <w:t>高级管理人员（包括总经理、副总经理、财务负责人、董事会秘书等）实行年薪制，年薪水平与其承担的责任、风险和 公司经营业绩挂钩。</w:t>
      </w:r>
    </w:p>
    <w:p>
      <w:pPr>
        <w:pStyle w:val="Style20"/>
        <w:keepNext w:val="0"/>
        <w:keepLines w:val="0"/>
        <w:widowControl w:val="0"/>
        <w:shd w:val="clear" w:color="auto" w:fill="auto"/>
        <w:bidi w:val="0"/>
        <w:spacing w:before="0" w:after="120" w:line="318" w:lineRule="exact"/>
        <w:ind w:left="0" w:right="0" w:firstLine="0"/>
        <w:jc w:val="left"/>
      </w:pPr>
      <w:r>
        <w:rPr>
          <w:color w:val="000000"/>
          <w:spacing w:val="0"/>
          <w:w w:val="100"/>
          <w:position w:val="0"/>
        </w:rPr>
        <w:t>公司报告期内董事、监事和高级管理人员报酬情况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3168"/>
        <w:gridCol w:w="706"/>
        <w:gridCol w:w="710"/>
        <w:gridCol w:w="883"/>
        <w:gridCol w:w="1368"/>
        <w:gridCol w:w="137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陈泽广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孙慧荣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陈晔东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叶小平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董事（财务负责人兼董事会秘书）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张燕平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谢兰军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肖显锋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监事（监事会主席）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王潇玮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廖俊凯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陈友莲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110" w:lineRule="exact"/>
              <w:ind w:left="0" w:right="0" w:firstLine="0"/>
              <w:jc w:val="left"/>
            </w:pPr>
            <w:r>
              <w:rPr>
                <w:rFonts w:ascii="Times New Roman" w:eastAsia="Times New Roman" w:hAnsi="Times New Roman" w:cs="Times New Roman"/>
                <w:color w:val="000000"/>
                <w:spacing w:val="0"/>
                <w:w w:val="100"/>
                <w:position w:val="0"/>
                <w:sz w:val="8"/>
                <w:szCs w:val="8"/>
              </w:rPr>
              <w:t xml:space="preserve">AZ. LU </w:t>
            </w:r>
            <w:r>
              <w:rPr>
                <w:color w:val="000000"/>
                <w:spacing w:val="0"/>
                <w:w w:val="100"/>
                <w:position w:val="0"/>
              </w:rPr>
              <w:t>兰岚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ectPr>
          <w:footnotePr>
            <w:pos w:val="pageBottom"/>
            <w:numFmt w:val="decimal"/>
            <w:numRestart w:val="continuous"/>
          </w:footnotePr>
          <w:pgSz w:w="11900" w:h="16840"/>
          <w:pgMar w:top="1411" w:right="1049" w:bottom="1259" w:left="1073" w:header="0" w:footer="3" w:gutter="0"/>
          <w:cols w:space="720"/>
          <w:noEndnote/>
          <w:rtlGutter w:val="0"/>
          <w:docGrid w:linePitch="360"/>
        </w:sectPr>
      </w:pPr>
    </w:p>
    <w:tbl>
      <w:tblPr>
        <w:tblOverlap w:val="never"/>
        <w:jc w:val="center"/>
        <w:tblLayout w:type="fixed"/>
      </w:tblPr>
      <w:tblGrid>
        <w:gridCol w:w="1430"/>
        <w:gridCol w:w="3168"/>
        <w:gridCol w:w="701"/>
        <w:gridCol w:w="706"/>
        <w:gridCol w:w="893"/>
        <w:gridCol w:w="1368"/>
        <w:gridCol w:w="1435"/>
      </w:tblGrid>
      <w:tr>
        <w:trPr>
          <w:trHeight w:val="629" w:hRule="exact"/>
        </w:trPr>
        <w:tc>
          <w:tcPr>
            <w:gridSpan w:val="2"/>
            <w:tcBorders/>
            <w:shd w:val="clear" w:color="auto" w:fill="FFFFFF"/>
            <w:vAlign w:val="top"/>
          </w:tcPr>
          <w:p>
            <w:pPr>
              <w:widowControl w:val="0"/>
              <w:rPr>
                <w:sz w:val="10"/>
                <w:szCs w:val="10"/>
              </w:rPr>
            </w:pPr>
          </w:p>
        </w:tc>
        <w:tc>
          <w:tcPr>
            <w:gridSpan w:val="2"/>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深圳市建筑科</w:t>
            </w:r>
          </w:p>
        </w:tc>
        <w:tc>
          <w:tcPr>
            <w:gridSpan w:val="3"/>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学研究院股份有限公司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年年度报告全文</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毛洪伟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丘国雄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641.99</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r>
    </w:tbl>
    <w:p>
      <w:pPr>
        <w:pStyle w:val="Style20"/>
        <w:keepNext w:val="0"/>
        <w:keepLines w:val="0"/>
        <w:widowControl w:val="0"/>
        <w:shd w:val="clear" w:color="auto" w:fill="auto"/>
        <w:bidi w:val="0"/>
        <w:spacing w:before="0" w:after="340" w:line="314" w:lineRule="exact"/>
        <w:ind w:left="0" w:right="0" w:firstLine="0"/>
        <w:jc w:val="both"/>
      </w:pPr>
      <w:r>
        <w:rPr>
          <w:color w:val="000000"/>
          <w:spacing w:val="0"/>
          <w:w w:val="100"/>
          <w:position w:val="0"/>
        </w:rPr>
        <w:t>注：截至本报告披露日</w:t>
      </w:r>
      <w:r>
        <w:rPr>
          <w:color w:val="000000"/>
          <w:spacing w:val="0"/>
          <w:w w:val="100"/>
          <w:position w:val="0"/>
        </w:rPr>
        <w:t>，</w:t>
      </w:r>
      <w:r>
        <w:rPr>
          <w:color w:val="000000"/>
          <w:spacing w:val="0"/>
          <w:w w:val="100"/>
          <w:position w:val="0"/>
        </w:rPr>
        <w:t>因公司内部董事及高级管理人员的年度考核及薪酬结算尚未完成，上述表格所列示报酬情况未包含 内部董事及高级管理人员的年终结算奖金，但公司已考虑并计提了该项费用，且将按照《</w:t>
      </w:r>
      <w:r>
        <w:rPr>
          <w:rFonts w:ascii="Times New Roman" w:eastAsia="Times New Roman" w:hAnsi="Times New Roman" w:cs="Times New Roman"/>
          <w:color w:val="000000"/>
          <w:spacing w:val="0"/>
          <w:w w:val="100"/>
          <w:position w:val="0"/>
        </w:rPr>
        <w:t>2021</w:t>
      </w:r>
      <w:r>
        <w:rPr>
          <w:color w:val="000000"/>
          <w:spacing w:val="0"/>
          <w:w w:val="100"/>
          <w:position w:val="0"/>
        </w:rPr>
        <w:t>年度董事、监事和高级管理 人员薪酬与绩效考核方案》依据最终实际考核结果进行结算发放。</w:t>
      </w:r>
    </w:p>
    <w:p>
      <w:pPr>
        <w:pStyle w:val="Style26"/>
        <w:keepNext w:val="0"/>
        <w:keepLines w:val="0"/>
        <w:widowControl w:val="0"/>
        <w:shd w:val="clear" w:color="auto" w:fill="auto"/>
        <w:bidi w:val="0"/>
        <w:spacing w:before="0" w:after="340" w:line="240" w:lineRule="auto"/>
        <w:ind w:left="0" w:right="0" w:firstLine="0"/>
        <w:jc w:val="both"/>
      </w:pPr>
      <w:bookmarkStart w:id="272" w:name="bookmark272"/>
      <w:r>
        <w:rPr>
          <w:color w:val="000000"/>
          <w:spacing w:val="0"/>
          <w:w w:val="100"/>
          <w:position w:val="0"/>
          <w:sz w:val="24"/>
          <w:szCs w:val="24"/>
        </w:rPr>
        <w:t>八</w:t>
      </w:r>
      <w:bookmarkEnd w:id="272"/>
      <w:r>
        <w:rPr>
          <w:color w:val="000000"/>
          <w:spacing w:val="0"/>
          <w:w w:val="100"/>
          <w:position w:val="0"/>
          <w:sz w:val="24"/>
          <w:szCs w:val="24"/>
        </w:rPr>
        <w:t>、报告期内董事履行职责的情况</w:t>
      </w:r>
    </w:p>
    <w:p>
      <w:pPr>
        <w:pStyle w:val="Style31"/>
        <w:keepNext/>
        <w:keepLines/>
        <w:widowControl w:val="0"/>
        <w:shd w:val="clear" w:color="auto" w:fill="auto"/>
        <w:bidi w:val="0"/>
        <w:spacing w:before="0" w:after="340" w:line="240" w:lineRule="auto"/>
        <w:ind w:left="0" w:right="0" w:firstLine="0"/>
        <w:jc w:val="both"/>
      </w:pPr>
      <w:bookmarkStart w:id="273" w:name="bookmark273"/>
      <w:bookmarkStart w:id="274" w:name="bookmark274"/>
      <w:bookmarkStart w:id="275" w:name="bookmark275"/>
      <w:bookmarkStart w:id="276" w:name="bookmark276"/>
      <w:r>
        <w:rPr>
          <w:rFonts w:ascii="Times New Roman" w:eastAsia="Times New Roman" w:hAnsi="Times New Roman" w:cs="Times New Roman"/>
          <w:color w:val="000000"/>
          <w:spacing w:val="0"/>
          <w:w w:val="100"/>
          <w:position w:val="0"/>
        </w:rPr>
        <w:t>1</w:t>
      </w:r>
      <w:bookmarkEnd w:id="275"/>
      <w:r>
        <w:rPr>
          <w:color w:val="000000"/>
          <w:spacing w:val="0"/>
          <w:w w:val="100"/>
          <w:position w:val="0"/>
        </w:rPr>
        <w:t>、本报告期董事会情况</w:t>
      </w:r>
      <w:bookmarkEnd w:id="273"/>
      <w:bookmarkEnd w:id="274"/>
      <w:bookmarkEnd w:id="276"/>
    </w:p>
    <w:tbl>
      <w:tblPr>
        <w:tblOverlap w:val="never"/>
        <w:jc w:val="center"/>
        <w:tblLayout w:type="fixed"/>
      </w:tblPr>
      <w:tblGrid>
        <w:gridCol w:w="1421"/>
        <w:gridCol w:w="1843"/>
        <w:gridCol w:w="1982"/>
        <w:gridCol w:w="433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第三届董事会第 一次定期会议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详见公司《第三届董事会第一次定期会议决议公告》</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（巨潮资讯网，公告号：</w:t>
            </w:r>
            <w:r>
              <w:rPr>
                <w:rFonts w:ascii="Times New Roman" w:eastAsia="Times New Roman" w:hAnsi="Times New Roman" w:cs="Times New Roman"/>
                <w:color w:val="000000"/>
                <w:spacing w:val="0"/>
                <w:w w:val="100"/>
                <w:position w:val="0"/>
              </w:rPr>
              <w:t>2021-010</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第三届董事会第 四次临时会议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详见公司《第三届董事会第四次临时会议决议公告》</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（巨潮资讯网，公告号：</w:t>
            </w:r>
            <w:r>
              <w:rPr>
                <w:rFonts w:ascii="Times New Roman" w:eastAsia="Times New Roman" w:hAnsi="Times New Roman" w:cs="Times New Roman"/>
                <w:color w:val="000000"/>
                <w:spacing w:val="0"/>
                <w:w w:val="100"/>
                <w:position w:val="0"/>
              </w:rPr>
              <w:t>2021-021</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第三届董事会第 五次临时会议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详见公司《第三届董事会第五次临时会议决议公告》</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（巨潮资讯网，公告号：</w:t>
            </w:r>
            <w:r>
              <w:rPr>
                <w:rFonts w:ascii="Times New Roman" w:eastAsia="Times New Roman" w:hAnsi="Times New Roman" w:cs="Times New Roman"/>
                <w:color w:val="000000"/>
                <w:spacing w:val="0"/>
                <w:w w:val="100"/>
                <w:position w:val="0"/>
              </w:rPr>
              <w:t>2021-021</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第三届董事会第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二次定期会议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详见公司《第三届董事会第二次定期会议决议公告》</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（巨潮资讯网，公告号：</w:t>
            </w:r>
            <w:r>
              <w:rPr>
                <w:rFonts w:ascii="Times New Roman" w:eastAsia="Times New Roman" w:hAnsi="Times New Roman" w:cs="Times New Roman"/>
                <w:color w:val="000000"/>
                <w:spacing w:val="0"/>
                <w:w w:val="100"/>
                <w:position w:val="0"/>
              </w:rPr>
              <w:t>2021-041</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第三届董事会第 六次临时会议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详见公司《第三届董事会第六次临时会议决议公告》</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（巨潮资讯网，公告号：</w:t>
            </w:r>
            <w:r>
              <w:rPr>
                <w:rFonts w:ascii="Times New Roman" w:eastAsia="Times New Roman" w:hAnsi="Times New Roman" w:cs="Times New Roman"/>
                <w:color w:val="000000"/>
                <w:spacing w:val="0"/>
                <w:w w:val="100"/>
                <w:position w:val="0"/>
              </w:rPr>
              <w:t>2021-051</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第三届董事会第 七次临时会议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详见公司《第三届董事会第七次临时会议决议公告》</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（巨潮资讯网，公告号:</w:t>
            </w:r>
            <w:r>
              <w:rPr>
                <w:rFonts w:ascii="Times New Roman" w:eastAsia="Times New Roman" w:hAnsi="Times New Roman" w:cs="Times New Roman"/>
                <w:color w:val="000000"/>
                <w:spacing w:val="0"/>
                <w:w w:val="100"/>
                <w:position w:val="0"/>
              </w:rPr>
              <w:t>2021-055</w:t>
            </w:r>
            <w:r>
              <w:rPr>
                <w:color w:val="000000"/>
                <w:spacing w:val="0"/>
                <w:w w:val="100"/>
                <w:position w:val="0"/>
              </w:rPr>
              <w:t>）</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第三届董事会第 八次临时会议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详见公司《第三届董事会第八次临时会议决议公告》</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（巨潮资讯网，公告号：</w:t>
            </w:r>
            <w:r>
              <w:rPr>
                <w:rFonts w:ascii="Times New Roman" w:eastAsia="Times New Roman" w:hAnsi="Times New Roman" w:cs="Times New Roman"/>
                <w:color w:val="000000"/>
                <w:spacing w:val="0"/>
                <w:w w:val="100"/>
                <w:position w:val="0"/>
              </w:rPr>
              <w:t>2021-064</w:t>
            </w:r>
            <w:r>
              <w:rPr>
                <w:color w:val="000000"/>
                <w:spacing w:val="0"/>
                <w:w w:val="100"/>
                <w:position w:val="0"/>
              </w:rPr>
              <w:t>）</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both"/>
      </w:pPr>
      <w:bookmarkStart w:id="277" w:name="bookmark277"/>
      <w:bookmarkStart w:id="278" w:name="bookmark278"/>
      <w:bookmarkStart w:id="279" w:name="bookmark279"/>
      <w:bookmarkStart w:id="280" w:name="bookmark280"/>
      <w:r>
        <w:rPr>
          <w:rFonts w:ascii="Times New Roman" w:eastAsia="Times New Roman" w:hAnsi="Times New Roman" w:cs="Times New Roman"/>
          <w:color w:val="000000"/>
          <w:spacing w:val="0"/>
          <w:w w:val="100"/>
          <w:position w:val="0"/>
        </w:rPr>
        <w:t>2</w:t>
      </w:r>
      <w:bookmarkEnd w:id="279"/>
      <w:r>
        <w:rPr>
          <w:color w:val="000000"/>
          <w:spacing w:val="0"/>
          <w:w w:val="100"/>
          <w:position w:val="0"/>
        </w:rPr>
        <w:t>、董事出席董事会及股东大会的情况</w:t>
      </w:r>
      <w:bookmarkEnd w:id="277"/>
      <w:bookmarkEnd w:id="278"/>
      <w:bookmarkEnd w:id="280"/>
    </w:p>
    <w:tbl>
      <w:tblPr>
        <w:tblOverlap w:val="never"/>
        <w:jc w:val="center"/>
        <w:tblLayout w:type="fixed"/>
      </w:tblPr>
      <w:tblGrid>
        <w:gridCol w:w="998"/>
        <w:gridCol w:w="1272"/>
        <w:gridCol w:w="994"/>
        <w:gridCol w:w="1416"/>
        <w:gridCol w:w="1133"/>
        <w:gridCol w:w="994"/>
        <w:gridCol w:w="1704"/>
        <w:gridCol w:w="1070"/>
      </w:tblGrid>
      <w:tr>
        <w:trPr>
          <w:trHeight w:val="408" w:hRule="exact"/>
        </w:trPr>
        <w:tc>
          <w:tcPr>
            <w:gridSpan w:val="8"/>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本报告期应参</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 事会次数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以通讯方式参加 董事会次数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 事会次数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 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是否连续两次未亲自 参加董事会会议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出席股东大 会次数</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陈泽广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孙慧荣</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bl>
    <w:p>
      <w:pPr>
        <w:sectPr>
          <w:footnotePr>
            <w:pos w:val="pageBottom"/>
            <w:numFmt w:val="decimal"/>
            <w:numRestart w:val="continuous"/>
          </w:footnotePr>
          <w:pgSz w:w="11900" w:h="16840"/>
          <w:pgMar w:top="822" w:right="1100" w:bottom="1153" w:left="1100" w:header="0" w:footer="3" w:gutter="0"/>
          <w:cols w:space="720"/>
          <w:noEndnote/>
          <w:rtlGutter w:val="0"/>
          <w:docGrid w:linePitch="360"/>
        </w:sectPr>
      </w:pPr>
    </w:p>
    <w:tbl>
      <w:tblPr>
        <w:tblOverlap w:val="never"/>
        <w:jc w:val="center"/>
        <w:tblLayout w:type="fixed"/>
      </w:tblPr>
      <w:tblGrid>
        <w:gridCol w:w="998"/>
        <w:gridCol w:w="1272"/>
        <w:gridCol w:w="994"/>
        <w:gridCol w:w="1416"/>
        <w:gridCol w:w="1147"/>
        <w:gridCol w:w="979"/>
        <w:gridCol w:w="1704"/>
        <w:gridCol w:w="1070"/>
      </w:tblGrid>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陈晔东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叶小平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张燕平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谢兰军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59" w:line="1" w:lineRule="exact"/>
      </w:pPr>
    </w:p>
    <w:p>
      <w:pPr>
        <w:pStyle w:val="Style31"/>
        <w:keepNext/>
        <w:keepLines/>
        <w:widowControl w:val="0"/>
        <w:shd w:val="clear" w:color="auto" w:fill="auto"/>
        <w:tabs>
          <w:tab w:pos="378" w:val="left"/>
        </w:tabs>
        <w:bidi w:val="0"/>
        <w:spacing w:before="0" w:after="260" w:line="240" w:lineRule="auto"/>
        <w:ind w:left="0" w:right="0" w:firstLine="0"/>
        <w:jc w:val="left"/>
      </w:pPr>
      <w:bookmarkStart w:id="281" w:name="bookmark281"/>
      <w:bookmarkStart w:id="282" w:name="bookmark282"/>
      <w:bookmarkStart w:id="283" w:name="bookmark283"/>
      <w:bookmarkStart w:id="284" w:name="bookmark284"/>
      <w:r>
        <w:rPr>
          <w:rFonts w:ascii="Times New Roman" w:eastAsia="Times New Roman" w:hAnsi="Times New Roman" w:cs="Times New Roman"/>
          <w:color w:val="000000"/>
          <w:spacing w:val="0"/>
          <w:w w:val="100"/>
          <w:position w:val="0"/>
        </w:rPr>
        <w:t>3</w:t>
      </w:r>
      <w:bookmarkEnd w:id="283"/>
      <w:r>
        <w:rPr>
          <w:color w:val="000000"/>
          <w:spacing w:val="0"/>
          <w:w w:val="100"/>
          <w:position w:val="0"/>
        </w:rPr>
        <w:t>、</w:t>
        <w:tab/>
        <w:t>董事对公司有关事项提出异议的情况</w:t>
      </w:r>
      <w:bookmarkEnd w:id="281"/>
      <w:bookmarkEnd w:id="282"/>
      <w:bookmarkEnd w:id="284"/>
    </w:p>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董事对公司有关事项是否提出异议</w:t>
      </w:r>
    </w:p>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0"/>
        <w:keepNext w:val="0"/>
        <w:keepLines w:val="0"/>
        <w:widowControl w:val="0"/>
        <w:shd w:val="clear" w:color="auto" w:fill="auto"/>
        <w:bidi w:val="0"/>
        <w:spacing w:before="0" w:after="360" w:line="331" w:lineRule="exact"/>
        <w:ind w:left="0" w:right="0" w:firstLine="0"/>
        <w:jc w:val="left"/>
      </w:pPr>
      <w:r>
        <w:rPr>
          <w:color w:val="000000"/>
          <w:spacing w:val="0"/>
          <w:w w:val="100"/>
          <w:position w:val="0"/>
        </w:rPr>
        <w:t>报告期内董事对公司有关事项未提出异议。</w:t>
      </w:r>
    </w:p>
    <w:p>
      <w:pPr>
        <w:pStyle w:val="Style31"/>
        <w:keepNext/>
        <w:keepLines/>
        <w:widowControl w:val="0"/>
        <w:shd w:val="clear" w:color="auto" w:fill="auto"/>
        <w:tabs>
          <w:tab w:pos="378" w:val="left"/>
        </w:tabs>
        <w:bidi w:val="0"/>
        <w:spacing w:before="0" w:after="260" w:line="240" w:lineRule="auto"/>
        <w:ind w:left="0" w:right="0" w:firstLine="0"/>
        <w:jc w:val="left"/>
      </w:pPr>
      <w:bookmarkStart w:id="285" w:name="bookmark285"/>
      <w:bookmarkStart w:id="286" w:name="bookmark286"/>
      <w:bookmarkStart w:id="287" w:name="bookmark287"/>
      <w:bookmarkStart w:id="288" w:name="bookmark288"/>
      <w:r>
        <w:rPr>
          <w:rFonts w:ascii="Times New Roman" w:eastAsia="Times New Roman" w:hAnsi="Times New Roman" w:cs="Times New Roman"/>
          <w:color w:val="000000"/>
          <w:spacing w:val="0"/>
          <w:w w:val="100"/>
          <w:position w:val="0"/>
        </w:rPr>
        <w:t>4</w:t>
      </w:r>
      <w:bookmarkEnd w:id="287"/>
      <w:r>
        <w:rPr>
          <w:color w:val="000000"/>
          <w:spacing w:val="0"/>
          <w:w w:val="100"/>
          <w:position w:val="0"/>
        </w:rPr>
        <w:t>、</w:t>
        <w:tab/>
        <w:t>董事履行职责的其他说明</w:t>
      </w:r>
      <w:bookmarkEnd w:id="285"/>
      <w:bookmarkEnd w:id="286"/>
      <w:bookmarkEnd w:id="288"/>
    </w:p>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董事对公司有关建议是否被采纳</w:t>
      </w:r>
    </w:p>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董事对公司有关建议被采纳或未被采纳的说明</w:t>
      </w:r>
    </w:p>
    <w:p>
      <w:pPr>
        <w:pStyle w:val="Style20"/>
        <w:keepNext w:val="0"/>
        <w:keepLines w:val="0"/>
        <w:widowControl w:val="0"/>
        <w:shd w:val="clear" w:color="auto" w:fill="auto"/>
        <w:bidi w:val="0"/>
        <w:spacing w:before="0" w:after="680" w:line="331" w:lineRule="exact"/>
        <w:ind w:left="0" w:right="0" w:firstLine="0"/>
        <w:jc w:val="left"/>
      </w:pPr>
      <w:r>
        <w:rPr>
          <w:color w:val="000000"/>
          <w:spacing w:val="0"/>
          <w:w w:val="100"/>
          <w:position w:val="0"/>
        </w:rPr>
        <w:t>公司董事积极关注和掌握公司运作情况，在公司治理、预算管理、高层人员提名选聘等事项均提出建议。公司管理层积极听 取建议，并结合公司治理实际推动制度优化。</w:t>
      </w:r>
    </w:p>
    <w:p>
      <w:pPr>
        <w:pStyle w:val="Style26"/>
        <w:keepNext w:val="0"/>
        <w:keepLines w:val="0"/>
        <w:widowControl w:val="0"/>
        <w:shd w:val="clear" w:color="auto" w:fill="auto"/>
        <w:bidi w:val="0"/>
        <w:spacing w:before="0" w:after="300" w:line="240" w:lineRule="auto"/>
        <w:ind w:left="0" w:right="0" w:firstLine="0"/>
        <w:jc w:val="left"/>
      </w:pPr>
      <w:bookmarkStart w:id="289" w:name="bookmark289"/>
      <w:r>
        <w:rPr>
          <w:color w:val="000000"/>
          <w:spacing w:val="0"/>
          <w:w w:val="100"/>
          <w:position w:val="0"/>
          <w:sz w:val="24"/>
          <w:szCs w:val="24"/>
        </w:rPr>
        <w:t>九</w:t>
      </w:r>
      <w:bookmarkEnd w:id="289"/>
      <w:r>
        <w:rPr>
          <w:color w:val="000000"/>
          <w:spacing w:val="0"/>
          <w:w w:val="100"/>
          <w:position w:val="0"/>
          <w:sz w:val="24"/>
          <w:szCs w:val="24"/>
        </w:rPr>
        <w:t>、董事会下设专门委员会在报告期内的情况</w:t>
      </w:r>
    </w:p>
    <w:tbl>
      <w:tblPr>
        <w:tblOverlap w:val="never"/>
        <w:jc w:val="center"/>
        <w:tblLayout w:type="fixed"/>
      </w:tblPr>
      <w:tblGrid>
        <w:gridCol w:w="710"/>
        <w:gridCol w:w="854"/>
        <w:gridCol w:w="706"/>
        <w:gridCol w:w="850"/>
        <w:gridCol w:w="1704"/>
        <w:gridCol w:w="2693"/>
        <w:gridCol w:w="1277"/>
        <w:gridCol w:w="787"/>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委员会 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成员情况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召开会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提出的重要意见和建议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异议事项</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具体情况</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（如有）</w:t>
            </w:r>
          </w:p>
        </w:tc>
      </w:tr>
      <w:tr>
        <w:trPr>
          <w:trHeight w:val="195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董事会</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审计委</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员会</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周俊祥先</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生（独立</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叶小平先</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生、谢兰</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军先生</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（独立董</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事）</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公司审计机构服务团 队关于</w:t>
            </w:r>
            <w:r>
              <w:rPr>
                <w:rFonts w:ascii="Times New Roman" w:eastAsia="Times New Roman" w:hAnsi="Times New Roman" w:cs="Times New Roman"/>
                <w:color w:val="000000"/>
                <w:spacing w:val="0"/>
                <w:w w:val="100"/>
                <w:position w:val="0"/>
              </w:rPr>
              <w:t>2020</w:t>
            </w:r>
            <w:r>
              <w:rPr>
                <w:color w:val="000000"/>
                <w:spacing w:val="0"/>
                <w:w w:val="100"/>
                <w:position w:val="0"/>
              </w:rPr>
              <w:t>年度审 计情况及相关事项的 汇报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要求公司审计机构服务团队针对 审计过程中发现的情况，编制及 汇报管理建议书，并请董事会秘 书代为邀请公司董事长、副董事 长及管理层列席相关委员会会 议，共同听取汇报。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听取并讨论了 会计师事务所 有关</w:t>
            </w:r>
            <w:r>
              <w:rPr>
                <w:rFonts w:ascii="Times New Roman" w:eastAsia="Times New Roman" w:hAnsi="Times New Roman" w:cs="Times New Roman"/>
                <w:color w:val="000000"/>
                <w:spacing w:val="0"/>
                <w:w w:val="100"/>
                <w:position w:val="0"/>
              </w:rPr>
              <w:t>2020</w:t>
            </w:r>
            <w:r>
              <w:rPr>
                <w:color w:val="000000"/>
                <w:spacing w:val="0"/>
                <w:w w:val="100"/>
                <w:position w:val="0"/>
              </w:rPr>
              <w:t>年年 报审计的汇报 及相关事项。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2597"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审议通过了 </w:t>
            </w:r>
            <w:r>
              <w:rPr>
                <w:rFonts w:ascii="Times New Roman" w:eastAsia="Times New Roman" w:hAnsi="Times New Roman" w:cs="Times New Roman"/>
                <w:color w:val="000000"/>
                <w:spacing w:val="0"/>
                <w:w w:val="100"/>
                <w:position w:val="0"/>
              </w:rPr>
              <w:t>2020</w:t>
            </w:r>
            <w:r>
              <w:rPr>
                <w:color w:val="000000"/>
                <w:spacing w:val="0"/>
                <w:w w:val="100"/>
                <w:position w:val="0"/>
              </w:rPr>
              <w:t>年 年度报告的议案、关 于</w:t>
            </w:r>
            <w:r>
              <w:rPr>
                <w:rFonts w:ascii="Times New Roman" w:eastAsia="Times New Roman" w:hAnsi="Times New Roman" w:cs="Times New Roman"/>
                <w:color w:val="000000"/>
                <w:spacing w:val="0"/>
                <w:w w:val="100"/>
                <w:position w:val="0"/>
              </w:rPr>
              <w:t>2020</w:t>
            </w:r>
            <w:r>
              <w:rPr>
                <w:color w:val="000000"/>
                <w:spacing w:val="0"/>
                <w:w w:val="100"/>
                <w:position w:val="0"/>
              </w:rPr>
              <w:t>年度财务决 算报告的议案、关于 公司募集资金存放与 使用情况专项报告、 关于利润分配预案的 议案等议案。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6" w:lineRule="exact"/>
              <w:ind w:left="0" w:right="0" w:firstLine="0"/>
              <w:jc w:val="left"/>
            </w:pPr>
            <w:r>
              <w:rPr>
                <w:color w:val="000000"/>
                <w:spacing w:val="0"/>
                <w:w w:val="100"/>
                <w:position w:val="0"/>
              </w:rPr>
              <w:t>对公司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年年度报告进行认真 审议，认可公司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 和财务决算的真实、完整和准确 性，同意将会议审议议案提请董 事会审议。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line="1" w:lineRule="exact"/>
      </w:pPr>
      <w:r>
        <w:br w:type="page"/>
      </w:r>
    </w:p>
    <w:tbl>
      <w:tblPr>
        <w:tblOverlap w:val="never"/>
        <w:jc w:val="center"/>
        <w:tblLayout w:type="fixed"/>
      </w:tblPr>
      <w:tblGrid>
        <w:gridCol w:w="710"/>
        <w:gridCol w:w="854"/>
        <w:gridCol w:w="706"/>
        <w:gridCol w:w="850"/>
        <w:gridCol w:w="1704"/>
        <w:gridCol w:w="2693"/>
        <w:gridCol w:w="1286"/>
        <w:gridCol w:w="778"/>
      </w:tblGrid>
      <w:tr>
        <w:trPr>
          <w:trHeight w:val="1982"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审议通过了关于</w:t>
            </w:r>
          </w:p>
          <w:p>
            <w:pPr>
              <w:pStyle w:val="Style23"/>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年第一季度报 告的议案、关于</w:t>
            </w:r>
          </w:p>
          <w:p>
            <w:pPr>
              <w:pStyle w:val="Style23"/>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年度全面预算 管理报告的议案等议 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6" w:lineRule="exact"/>
              <w:ind w:left="0" w:right="0" w:firstLine="0"/>
              <w:jc w:val="left"/>
            </w:pPr>
            <w:r>
              <w:rPr>
                <w:color w:val="000000"/>
                <w:spacing w:val="0"/>
                <w:w w:val="100"/>
                <w:position w:val="0"/>
              </w:rPr>
              <w:t>对公司</w:t>
            </w:r>
            <w:r>
              <w:rPr>
                <w:rFonts w:ascii="Times New Roman" w:eastAsia="Times New Roman" w:hAnsi="Times New Roman" w:cs="Times New Roman"/>
                <w:color w:val="000000"/>
                <w:spacing w:val="0"/>
                <w:w w:val="100"/>
                <w:position w:val="0"/>
              </w:rPr>
              <w:t>2021</w:t>
            </w:r>
            <w:r>
              <w:rPr>
                <w:color w:val="000000"/>
                <w:spacing w:val="0"/>
                <w:w w:val="100"/>
                <w:position w:val="0"/>
              </w:rPr>
              <w:t>年第一季度报告进行 认真审议，认可公司</w:t>
            </w:r>
            <w:r>
              <w:rPr>
                <w:rFonts w:ascii="Times New Roman" w:eastAsia="Times New Roman" w:hAnsi="Times New Roman" w:cs="Times New Roman"/>
                <w:color w:val="000000"/>
                <w:spacing w:val="0"/>
                <w:w w:val="100"/>
                <w:position w:val="0"/>
              </w:rPr>
              <w:t>2021</w:t>
            </w:r>
            <w:r>
              <w:rPr>
                <w:color w:val="000000"/>
                <w:spacing w:val="0"/>
                <w:w w:val="100"/>
                <w:position w:val="0"/>
              </w:rPr>
              <w:t>年第一 季度报告的真实、完整和准确 性，同意将会议审议议案提请董 事会审议。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审议通过了关于聘任 公司内部审计机构负 责人的议案等议案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同意将会议审议议案提请董事会 审议。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20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审议通过了关于公司 </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年半年度报告 的议案、关于公司 </w:t>
            </w:r>
            <w:r>
              <w:rPr>
                <w:rFonts w:ascii="Times New Roman" w:eastAsia="Times New Roman" w:hAnsi="Times New Roman" w:cs="Times New Roman"/>
                <w:color w:val="000000"/>
                <w:spacing w:val="0"/>
                <w:w w:val="100"/>
                <w:position w:val="0"/>
              </w:rPr>
              <w:t>2021</w:t>
            </w:r>
            <w:r>
              <w:rPr>
                <w:color w:val="000000"/>
                <w:spacing w:val="0"/>
                <w:w w:val="100"/>
                <w:position w:val="0"/>
              </w:rPr>
              <w:t>年半年度募集 资金存放与使用情况 专项报告的议案、关 于公司续聘审计机构 的议案等议案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对公司</w:t>
            </w:r>
            <w:r>
              <w:rPr>
                <w:rFonts w:ascii="Times New Roman" w:eastAsia="Times New Roman" w:hAnsi="Times New Roman" w:cs="Times New Roman"/>
                <w:color w:val="000000"/>
                <w:spacing w:val="0"/>
                <w:w w:val="100"/>
                <w:position w:val="0"/>
              </w:rPr>
              <w:t>2021</w:t>
            </w:r>
            <w:r>
              <w:rPr>
                <w:color w:val="000000"/>
                <w:spacing w:val="0"/>
                <w:w w:val="100"/>
                <w:position w:val="0"/>
              </w:rPr>
              <w:t>年半年度报告进行 认真审议，认可公司</w:t>
            </w:r>
            <w:r>
              <w:rPr>
                <w:rFonts w:ascii="Times New Roman" w:eastAsia="Times New Roman" w:hAnsi="Times New Roman" w:cs="Times New Roman"/>
                <w:color w:val="000000"/>
                <w:spacing w:val="0"/>
                <w:w w:val="100"/>
                <w:position w:val="0"/>
              </w:rPr>
              <w:t>2021</w:t>
            </w:r>
            <w:r>
              <w:rPr>
                <w:color w:val="000000"/>
                <w:spacing w:val="0"/>
                <w:w w:val="100"/>
                <w:position w:val="0"/>
              </w:rPr>
              <w:t>年半年 度报告的真实、完整和准确性</w:t>
            </w:r>
            <w:r>
              <w:rPr>
                <w:rFonts w:ascii="Times New Roman" w:eastAsia="Times New Roman" w:hAnsi="Times New Roman" w:cs="Times New Roman"/>
                <w:color w:val="000000"/>
                <w:spacing w:val="0"/>
                <w:w w:val="100"/>
                <w:position w:val="0"/>
              </w:rPr>
              <w:t xml:space="preserve">2. </w:t>
            </w:r>
            <w:r>
              <w:rPr>
                <w:color w:val="000000"/>
                <w:spacing w:val="0"/>
                <w:w w:val="100"/>
                <w:position w:val="0"/>
              </w:rPr>
              <w:t>认真审核了毕马威华振的独立 性、专业胜任能力及相关资质、 投资者保护能力等，结合公司业 务发展需要和实际情况，认为其 符合为上市公司提供年度审计服 务的要求，同意将该项议案提请 董事会审议。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听取并讨论了 公司内部审计 工作及</w:t>
            </w:r>
            <w:r>
              <w:rPr>
                <w:rFonts w:ascii="Times New Roman" w:eastAsia="Times New Roman" w:hAnsi="Times New Roman" w:cs="Times New Roman"/>
                <w:color w:val="000000"/>
                <w:spacing w:val="0"/>
                <w:w w:val="100"/>
                <w:position w:val="0"/>
              </w:rPr>
              <w:t>2021</w:t>
            </w:r>
            <w:r>
              <w:rPr>
                <w:color w:val="000000"/>
                <w:spacing w:val="0"/>
                <w:w w:val="100"/>
                <w:position w:val="0"/>
              </w:rPr>
              <w:t>年 度内部审计工 作计划汇报。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3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审议通过了关于</w:t>
            </w:r>
          </w:p>
          <w:p>
            <w:pPr>
              <w:pStyle w:val="Style23"/>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年第三季度报 告的议案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对公司第三季度报告进行认真审 议，认可公司</w:t>
            </w:r>
            <w:r>
              <w:rPr>
                <w:rFonts w:ascii="Times New Roman" w:eastAsia="Times New Roman" w:hAnsi="Times New Roman" w:cs="Times New Roman"/>
                <w:color w:val="000000"/>
                <w:spacing w:val="0"/>
                <w:w w:val="100"/>
                <w:position w:val="0"/>
              </w:rPr>
              <w:t>2021</w:t>
            </w:r>
            <w:r>
              <w:rPr>
                <w:color w:val="000000"/>
                <w:spacing w:val="0"/>
                <w:w w:val="100"/>
                <w:position w:val="0"/>
              </w:rPr>
              <w:t>年第三季度报 告的真实、完整和准确性。同意 将该议案提请董事会审议。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left"/>
            </w:pPr>
            <w:r>
              <w:rPr>
                <w:color w:val="000000"/>
                <w:spacing w:val="0"/>
                <w:w w:val="100"/>
                <w:position w:val="0"/>
              </w:rPr>
              <w:t>听取并讨论了 公司</w:t>
            </w:r>
            <w:r>
              <w:rPr>
                <w:rFonts w:ascii="Times New Roman" w:eastAsia="Times New Roman" w:hAnsi="Times New Roman" w:cs="Times New Roman"/>
                <w:color w:val="000000"/>
                <w:spacing w:val="0"/>
                <w:w w:val="100"/>
                <w:position w:val="0"/>
              </w:rPr>
              <w:t>2021</w:t>
            </w:r>
            <w:r>
              <w:rPr>
                <w:color w:val="000000"/>
                <w:spacing w:val="0"/>
                <w:w w:val="100"/>
                <w:position w:val="0"/>
              </w:rPr>
              <w:t>年第 三季度内部审 计工作汇报。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227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审议通过了关于公司 部分募投项目延期的 议案、向银行申请新 增授信的议案等议案</w:t>
            </w:r>
          </w:p>
        </w:tc>
        <w:tc>
          <w:tcPr>
            <w:tcBorders>
              <w:top w:val="single" w:sz="4"/>
              <w:left w:val="single" w:sz="4"/>
            </w:tcBorders>
            <w:shd w:val="clear" w:color="auto" w:fill="FFFFFF"/>
            <w:vAlign w:val="center"/>
          </w:tcPr>
          <w:p>
            <w:pPr>
              <w:pStyle w:val="Style23"/>
              <w:keepNext w:val="0"/>
              <w:keepLines w:val="0"/>
              <w:widowControl w:val="0"/>
              <w:shd w:val="clear" w:color="auto" w:fill="auto"/>
              <w:tabs>
                <w:tab w:pos="1790" w:val="left"/>
              </w:tabs>
              <w:bidi w:val="0"/>
              <w:spacing w:before="0" w:after="0" w:line="309"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募投项目延期有助于募集资金 使用更加高效，保证项目顺利、 高质量地实施，使募投项目价值 更大化。</w:t>
              <w:tab/>
            </w:r>
            <w:r>
              <w:rPr>
                <w:rFonts w:ascii="Times New Roman" w:eastAsia="Times New Roman" w:hAnsi="Times New Roman" w:cs="Times New Roman"/>
                <w:color w:val="000000"/>
                <w:spacing w:val="0"/>
                <w:w w:val="100"/>
                <w:position w:val="0"/>
              </w:rPr>
              <w:t>2.</w:t>
            </w:r>
            <w:r>
              <w:rPr>
                <w:color w:val="000000"/>
                <w:spacing w:val="0"/>
                <w:w w:val="100"/>
                <w:position w:val="0"/>
              </w:rPr>
              <w:t>向银行</w:t>
            </w:r>
          </w:p>
          <w:p>
            <w:pPr>
              <w:pStyle w:val="Style23"/>
              <w:keepNext w:val="0"/>
              <w:keepLines w:val="0"/>
              <w:widowControl w:val="0"/>
              <w:shd w:val="clear" w:color="auto" w:fill="auto"/>
              <w:bidi w:val="0"/>
              <w:spacing w:before="0" w:after="0" w:line="309" w:lineRule="exact"/>
              <w:ind w:left="0" w:right="0" w:firstLine="0"/>
              <w:jc w:val="left"/>
            </w:pPr>
            <w:r>
              <w:rPr>
                <w:color w:val="000000"/>
                <w:spacing w:val="0"/>
                <w:w w:val="100"/>
                <w:position w:val="0"/>
              </w:rPr>
              <w:t>申请综合授信额度，符合保障公 司发展的资金需要。同意将会议 审议议案提请董事会审议。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听取并讨论了 公司审计机构 关于</w:t>
            </w:r>
            <w:r>
              <w:rPr>
                <w:rFonts w:ascii="Times New Roman" w:eastAsia="Times New Roman" w:hAnsi="Times New Roman" w:cs="Times New Roman"/>
                <w:color w:val="000000"/>
                <w:spacing w:val="0"/>
                <w:w w:val="100"/>
                <w:position w:val="0"/>
              </w:rPr>
              <w:t>2021</w:t>
            </w:r>
            <w:r>
              <w:rPr>
                <w:color w:val="000000"/>
                <w:spacing w:val="0"/>
                <w:w w:val="100"/>
                <w:position w:val="0"/>
              </w:rPr>
              <w:t>年度 审计计划与策 略的汇报。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2587"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董事会 战略委 员</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叶青女</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士、黄庆 先生、张 燕平先生</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 事）</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pPr>
            <w:r>
              <w:rPr>
                <w:color w:val="000000"/>
                <w:spacing w:val="0"/>
                <w:w w:val="100"/>
                <w:position w:val="0"/>
              </w:rPr>
              <w:t>审议通过了关于《公 司</w:t>
            </w:r>
            <w:r>
              <w:rPr>
                <w:rFonts w:ascii="Times New Roman" w:eastAsia="Times New Roman" w:hAnsi="Times New Roman" w:cs="Times New Roman"/>
                <w:color w:val="000000"/>
                <w:spacing w:val="0"/>
                <w:w w:val="100"/>
                <w:position w:val="0"/>
              </w:rPr>
              <w:t>2020</w:t>
            </w:r>
            <w:r>
              <w:rPr>
                <w:color w:val="000000"/>
                <w:spacing w:val="0"/>
                <w:w w:val="100"/>
                <w:position w:val="0"/>
              </w:rPr>
              <w:t>年度董事会 工作报告》的议案、</w:t>
            </w:r>
          </w:p>
          <w:p>
            <w:pPr>
              <w:pStyle w:val="Style23"/>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w:t>
            </w:r>
            <w:r>
              <w:rPr>
                <w:color w:val="000000"/>
                <w:spacing w:val="0"/>
                <w:w w:val="100"/>
                <w:position w:val="0"/>
              </w:rPr>
              <w:t>年度总经 理工作报告》的议 案、《组织机构设置 方案（第</w:t>
            </w:r>
            <w:r>
              <w:rPr>
                <w:rFonts w:ascii="Times New Roman" w:eastAsia="Times New Roman" w:hAnsi="Times New Roman" w:cs="Times New Roman"/>
                <w:color w:val="000000"/>
                <w:spacing w:val="0"/>
                <w:w w:val="100"/>
                <w:position w:val="0"/>
              </w:rPr>
              <w:t>8</w:t>
            </w:r>
            <w:r>
              <w:rPr>
                <w:color w:val="000000"/>
                <w:spacing w:val="0"/>
                <w:w w:val="100"/>
                <w:position w:val="0"/>
              </w:rPr>
              <w:t>次修 订）》的议案。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公司组织机构设置方案（第</w:t>
            </w:r>
            <w:r>
              <w:rPr>
                <w:rFonts w:ascii="Times New Roman" w:eastAsia="Times New Roman" w:hAnsi="Times New Roman" w:cs="Times New Roman"/>
                <w:color w:val="000000"/>
                <w:spacing w:val="0"/>
                <w:w w:val="100"/>
                <w:position w:val="0"/>
              </w:rPr>
              <w:t>8</w:t>
            </w:r>
            <w:r>
              <w:rPr>
                <w:color w:val="000000"/>
                <w:spacing w:val="0"/>
                <w:w w:val="100"/>
                <w:position w:val="0"/>
              </w:rPr>
              <w:t>次 修订）符合公司战略发展要求。</w:t>
            </w:r>
          </w:p>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同意将会议议案提请董事会审 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349"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审议通过了关于修订</w:t>
            </w:r>
          </w:p>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《公司未来大厦项目 可行性研究报告》的 议案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对公司未来大厦项目可行性研究 报告及相关材料进行了认真审 议，同意将议案提请董事会审 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line="1" w:lineRule="exact"/>
      </w:pPr>
      <w:r>
        <w:br w:type="page"/>
      </w:r>
    </w:p>
    <w:tbl>
      <w:tblPr>
        <w:tblOverlap w:val="never"/>
        <w:jc w:val="center"/>
        <w:tblLayout w:type="fixed"/>
      </w:tblPr>
      <w:tblGrid>
        <w:gridCol w:w="710"/>
        <w:gridCol w:w="854"/>
        <w:gridCol w:w="706"/>
        <w:gridCol w:w="850"/>
        <w:gridCol w:w="1704"/>
        <w:gridCol w:w="2693"/>
        <w:gridCol w:w="1286"/>
        <w:gridCol w:w="778"/>
      </w:tblGrid>
      <w:tr>
        <w:trPr>
          <w:trHeight w:val="1982"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审议通过了关于修订</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《公司董事会战略委 员会议事规则》的议 案、《组织机构设置 方案（第</w:t>
            </w:r>
            <w:r>
              <w:rPr>
                <w:rFonts w:ascii="Times New Roman" w:eastAsia="Times New Roman" w:hAnsi="Times New Roman" w:cs="Times New Roman"/>
                <w:color w:val="000000"/>
                <w:spacing w:val="0"/>
                <w:w w:val="100"/>
                <w:position w:val="0"/>
              </w:rPr>
              <w:t>9</w:t>
            </w:r>
            <w:r>
              <w:rPr>
                <w:color w:val="000000"/>
                <w:spacing w:val="0"/>
                <w:w w:val="100"/>
                <w:position w:val="0"/>
              </w:rPr>
              <w:t>次修 订）》的议案。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对《公司董事会战略委员会议事 规则》进行了认真审议，同意结 合突出委员会研究公司战略定位 和方向、整体经营战略的职责进 一步补充完善后，提请董事会审 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审议通过了关于修订</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《公司章程》的议案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同意将修订《公司章程》的议案 提请董事会审议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33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董事会</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提名委</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员会</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谢兰军先</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生（独立</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张峰先</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生、张燕</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平先生</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（独立董</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事）</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pPr>
            <w:r>
              <w:rPr>
                <w:color w:val="000000"/>
                <w:spacing w:val="0"/>
                <w:w w:val="100"/>
                <w:position w:val="0"/>
              </w:rPr>
              <w:t>审议通过了关于修订 《公司董事会提名委 员会议事规则》的议 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符合现行法律法规等要求，同意 将该议案提请董事会审议。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24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关于提名董事会非独 立董事候选人的议 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候选人符合董事任职资格，同意 将该议案提请董事会审议。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2587"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董事会 薪酬与 考核委 员会</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张燕平</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（独立董 事）、陈 晔东先生</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（已离</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任）、孙</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慧荣先生</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（现</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任）、周 俊祥先生</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（独立董 事）</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审议通过了关于公司 内部董事及经营班子 </w:t>
            </w:r>
            <w:r>
              <w:rPr>
                <w:rFonts w:ascii="Times New Roman" w:eastAsia="Times New Roman" w:hAnsi="Times New Roman" w:cs="Times New Roman"/>
                <w:color w:val="000000"/>
                <w:spacing w:val="0"/>
                <w:w w:val="100"/>
                <w:position w:val="0"/>
              </w:rPr>
              <w:t>2020</w:t>
            </w:r>
            <w:r>
              <w:rPr>
                <w:color w:val="000000"/>
                <w:spacing w:val="0"/>
                <w:w w:val="100"/>
                <w:position w:val="0"/>
              </w:rPr>
              <w:t>年度考核结 果、《公司</w:t>
            </w:r>
            <w:r>
              <w:rPr>
                <w:rFonts w:ascii="Times New Roman" w:eastAsia="Times New Roman" w:hAnsi="Times New Roman" w:cs="Times New Roman"/>
                <w:color w:val="000000"/>
                <w:spacing w:val="0"/>
                <w:w w:val="100"/>
                <w:position w:val="0"/>
              </w:rPr>
              <w:t>2021</w:t>
            </w:r>
            <w:r>
              <w:rPr>
                <w:color w:val="000000"/>
                <w:spacing w:val="0"/>
                <w:w w:val="100"/>
                <w:position w:val="0"/>
              </w:rPr>
              <w:t>年度 董事、监事和高级管 理人员薪酬与绩效考 核管理方案》的议 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对公司内部董事及经营班子</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年度考核结果及相关材料进行认 真审议，确定内部董事及经营班 子</w:t>
            </w:r>
            <w:r>
              <w:rPr>
                <w:rFonts w:ascii="Times New Roman" w:eastAsia="Times New Roman" w:hAnsi="Times New Roman" w:cs="Times New Roman"/>
                <w:color w:val="000000"/>
                <w:spacing w:val="0"/>
                <w:w w:val="100"/>
                <w:position w:val="0"/>
              </w:rPr>
              <w:t>2020</w:t>
            </w:r>
            <w:r>
              <w:rPr>
                <w:color w:val="000000"/>
                <w:spacing w:val="0"/>
                <w:w w:val="100"/>
                <w:position w:val="0"/>
              </w:rPr>
              <w:t>年薪酬与考核结果。同意 将会议议案提请董事会审议。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22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审议通过了关于公司 内部董事及经营班子 </w:t>
            </w:r>
            <w:r>
              <w:rPr>
                <w:rFonts w:ascii="Times New Roman" w:eastAsia="Times New Roman" w:hAnsi="Times New Roman" w:cs="Times New Roman"/>
                <w:color w:val="000000"/>
                <w:spacing w:val="0"/>
                <w:w w:val="100"/>
                <w:position w:val="0"/>
              </w:rPr>
              <w:t>2021</w:t>
            </w:r>
            <w:r>
              <w:rPr>
                <w:color w:val="000000"/>
                <w:spacing w:val="0"/>
                <w:w w:val="100"/>
                <w:position w:val="0"/>
              </w:rPr>
              <w:t>年度经营业绩 责任目标的议案、关 于修订《公司董事会 薪酬与考核委员会议 事规则》的议案。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w:t>
            </w:r>
            <w:r>
              <w:rPr>
                <w:rFonts w:ascii="Times New Roman" w:eastAsia="Times New Roman" w:hAnsi="Times New Roman" w:cs="Times New Roman"/>
                <w:color w:val="000000"/>
                <w:spacing w:val="0"/>
                <w:w w:val="100"/>
                <w:position w:val="0"/>
              </w:rPr>
              <w:t>2021</w:t>
            </w:r>
            <w:r>
              <w:rPr>
                <w:color w:val="000000"/>
                <w:spacing w:val="0"/>
                <w:w w:val="100"/>
                <w:position w:val="0"/>
              </w:rPr>
              <w:t>年度经营业绩责任目 标进行了认真审议讨论，议案符 合公司战略目标。关于修订《公 司董事会薪酬与考核委员会议事 规则》符合现行法律法规要求， 同意将会议议案提请董事会审 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66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6" w:lineRule="exact"/>
              <w:ind w:left="0" w:right="0" w:firstLine="0"/>
              <w:jc w:val="both"/>
            </w:pPr>
            <w:r>
              <w:rPr>
                <w:color w:val="000000"/>
                <w:spacing w:val="0"/>
                <w:w w:val="100"/>
                <w:position w:val="0"/>
              </w:rPr>
              <w:t>市场与 科技创 新委员 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叶青、陈 泽广、黄 庆、张燕 平、周俊 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关于变更专门委员会 名称并制定《公司董 事会市场与科技创新 委员会议事规则》的 议案。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对变更专门委员会名称并制定</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《公司董事会市场与科技创新委 员会议事规则》进行了认真审 议，同意结合完善和补充相关内 容后，提请董事会审议。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299" w:line="1" w:lineRule="exact"/>
      </w:pPr>
    </w:p>
    <w:p>
      <w:pPr>
        <w:pStyle w:val="Style26"/>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十、监事会工作情况</w:t>
      </w:r>
    </w:p>
    <w:p>
      <w:pPr>
        <w:pStyle w:val="Style20"/>
        <w:keepNext w:val="0"/>
        <w:keepLines w:val="0"/>
        <w:widowControl w:val="0"/>
        <w:shd w:val="clear" w:color="auto" w:fill="auto"/>
        <w:bidi w:val="0"/>
        <w:spacing w:before="0" w:after="260" w:line="341" w:lineRule="exact"/>
        <w:ind w:left="0" w:right="0" w:firstLine="0"/>
        <w:jc w:val="left"/>
      </w:pPr>
      <w:r>
        <w:rPr>
          <w:color w:val="000000"/>
          <w:spacing w:val="0"/>
          <w:w w:val="100"/>
          <w:position w:val="0"/>
        </w:rPr>
        <w:t xml:space="preserve">监事会在报告期内的监督活动中发现公司是否存在风险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br w:type="page"/>
      </w:r>
    </w:p>
    <w:p>
      <w:pPr>
        <w:pStyle w:val="Style20"/>
        <w:keepNext w:val="0"/>
        <w:keepLines w:val="0"/>
        <w:widowControl w:val="0"/>
        <w:pBdr>
          <w:top w:val="single" w:sz="4" w:space="0" w:color="auto"/>
        </w:pBdr>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4"/>
          <w:szCs w:val="24"/>
        </w:rPr>
        <w:t>十一、公司员工情况</w:t>
      </w:r>
    </w:p>
    <w:p>
      <w:pPr>
        <w:pStyle w:val="Style31"/>
        <w:keepNext/>
        <w:keepLines/>
        <w:widowControl w:val="0"/>
        <w:shd w:val="clear" w:color="auto" w:fill="auto"/>
        <w:bidi w:val="0"/>
        <w:spacing w:before="0" w:after="320" w:line="240" w:lineRule="auto"/>
        <w:ind w:left="0" w:right="0" w:firstLine="0"/>
        <w:jc w:val="left"/>
      </w:pPr>
      <w:bookmarkStart w:id="290" w:name="bookmark290"/>
      <w:bookmarkStart w:id="291" w:name="bookmark291"/>
      <w:bookmarkStart w:id="292" w:name="bookmark292"/>
      <w:bookmarkStart w:id="293" w:name="bookmark293"/>
      <w:r>
        <w:rPr>
          <w:rFonts w:ascii="Times New Roman" w:eastAsia="Times New Roman" w:hAnsi="Times New Roman" w:cs="Times New Roman"/>
          <w:color w:val="000000"/>
          <w:spacing w:val="0"/>
          <w:w w:val="100"/>
          <w:position w:val="0"/>
        </w:rPr>
        <w:t>1</w:t>
      </w:r>
      <w:bookmarkEnd w:id="292"/>
      <w:r>
        <w:rPr>
          <w:color w:val="000000"/>
          <w:spacing w:val="0"/>
          <w:w w:val="100"/>
          <w:position w:val="0"/>
        </w:rPr>
        <w:t>、员工数量、专业构成及教育程度</w:t>
      </w:r>
      <w:bookmarkEnd w:id="290"/>
      <w:bookmarkEnd w:id="291"/>
      <w:bookmarkEnd w:id="293"/>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362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545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907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907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560" w:right="0" w:firstLine="0"/>
              <w:jc w:val="both"/>
            </w:pPr>
            <w:r>
              <w:rPr>
                <w:rFonts w:ascii="Times New Roman" w:eastAsia="Times New Roman" w:hAnsi="Times New Roman" w:cs="Times New Roman"/>
                <w:color w:val="000000"/>
                <w:spacing w:val="0"/>
                <w:w w:val="100"/>
                <w:position w:val="0"/>
              </w:rPr>
              <w:t>61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714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560" w:right="0" w:firstLine="0"/>
              <w:jc w:val="both"/>
            </w:pPr>
            <w:r>
              <w:rPr>
                <w:rFonts w:ascii="Times New Roman" w:eastAsia="Times New Roman" w:hAnsi="Times New Roman" w:cs="Times New Roman"/>
                <w:color w:val="000000"/>
                <w:spacing w:val="0"/>
                <w:w w:val="100"/>
                <w:position w:val="0"/>
              </w:rPr>
              <w:t>26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106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907</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硕士研究生及以上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210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519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146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中专、高中及以下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560" w:right="0" w:firstLine="0"/>
              <w:jc w:val="both"/>
            </w:pPr>
            <w:r>
              <w:rPr>
                <w:rFonts w:ascii="Times New Roman" w:eastAsia="Times New Roman" w:hAnsi="Times New Roman" w:cs="Times New Roman"/>
                <w:color w:val="000000"/>
                <w:spacing w:val="0"/>
                <w:w w:val="100"/>
                <w:position w:val="0"/>
              </w:rPr>
              <w:t>32</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907</w:t>
            </w:r>
          </w:p>
        </w:tc>
      </w:tr>
    </w:tbl>
    <w:p>
      <w:pPr>
        <w:widowControl w:val="0"/>
        <w:spacing w:after="319" w:line="1" w:lineRule="exact"/>
      </w:pPr>
    </w:p>
    <w:p>
      <w:pPr>
        <w:pStyle w:val="Style31"/>
        <w:keepNext/>
        <w:keepLines/>
        <w:widowControl w:val="0"/>
        <w:shd w:val="clear" w:color="auto" w:fill="auto"/>
        <w:tabs>
          <w:tab w:pos="378" w:val="left"/>
        </w:tabs>
        <w:bidi w:val="0"/>
        <w:spacing w:before="0" w:after="260" w:line="240" w:lineRule="auto"/>
        <w:ind w:left="0" w:right="0" w:firstLine="0"/>
        <w:jc w:val="left"/>
      </w:pPr>
      <w:bookmarkStart w:id="294" w:name="bookmark294"/>
      <w:bookmarkStart w:id="295" w:name="bookmark295"/>
      <w:bookmarkStart w:id="296" w:name="bookmark296"/>
      <w:bookmarkStart w:id="297" w:name="bookmark297"/>
      <w:r>
        <w:rPr>
          <w:rFonts w:ascii="Times New Roman" w:eastAsia="Times New Roman" w:hAnsi="Times New Roman" w:cs="Times New Roman"/>
          <w:color w:val="000000"/>
          <w:spacing w:val="0"/>
          <w:w w:val="100"/>
          <w:position w:val="0"/>
        </w:rPr>
        <w:t>2</w:t>
      </w:r>
      <w:bookmarkEnd w:id="296"/>
      <w:r>
        <w:rPr>
          <w:color w:val="000000"/>
          <w:spacing w:val="0"/>
          <w:w w:val="100"/>
          <w:position w:val="0"/>
        </w:rPr>
        <w:t>、</w:t>
        <w:tab/>
        <w:t>薪酬政策</w:t>
      </w:r>
      <w:bookmarkEnd w:id="294"/>
      <w:bookmarkEnd w:id="295"/>
      <w:bookmarkEnd w:id="297"/>
    </w:p>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员工薪酬主要由工资、绩效奖金、津贴补贴、社会保险、住房公积金、工会费和职工教育费等组成，绩效奖金与公司经营 状况、员工个人工作绩效相挂钩，通过乐活平台推行基于员工自主管理和员工贡献值的激励制度。</w:t>
      </w:r>
    </w:p>
    <w:p>
      <w:pPr>
        <w:pStyle w:val="Style20"/>
        <w:keepNext w:val="0"/>
        <w:keepLines w:val="0"/>
        <w:widowControl w:val="0"/>
        <w:shd w:val="clear" w:color="auto" w:fill="auto"/>
        <w:bidi w:val="0"/>
        <w:spacing w:before="0" w:after="740" w:line="32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年公司结合</w:t>
      </w:r>
      <w:r>
        <w:rPr>
          <w:rFonts w:ascii="Times New Roman" w:eastAsia="Times New Roman" w:hAnsi="Times New Roman" w:cs="Times New Roman"/>
          <w:color w:val="000000"/>
          <w:spacing w:val="0"/>
          <w:w w:val="100"/>
          <w:position w:val="0"/>
        </w:rPr>
        <w:t>“</w:t>
      </w:r>
      <w:r>
        <w:rPr>
          <w:color w:val="000000"/>
          <w:spacing w:val="0"/>
          <w:w w:val="100"/>
          <w:position w:val="0"/>
        </w:rPr>
        <w:t>科改示范行动</w:t>
      </w:r>
      <w:r>
        <w:rPr>
          <w:rFonts w:ascii="Times New Roman" w:eastAsia="Times New Roman" w:hAnsi="Times New Roman" w:cs="Times New Roman"/>
          <w:color w:val="000000"/>
          <w:spacing w:val="0"/>
          <w:w w:val="100"/>
          <w:position w:val="0"/>
        </w:rPr>
        <w:t>”</w:t>
      </w:r>
      <w:r>
        <w:rPr>
          <w:color w:val="000000"/>
          <w:spacing w:val="0"/>
          <w:w w:val="100"/>
          <w:position w:val="0"/>
        </w:rPr>
        <w:t>和国企改革三年行动重点工作，持续推进健全市场化经营机制，开展市场化选聘和契约化 管理，完善市场化薪酬分配机制。</w:t>
      </w:r>
    </w:p>
    <w:p>
      <w:pPr>
        <w:pStyle w:val="Style31"/>
        <w:keepNext/>
        <w:keepLines/>
        <w:widowControl w:val="0"/>
        <w:shd w:val="clear" w:color="auto" w:fill="auto"/>
        <w:tabs>
          <w:tab w:pos="378" w:val="left"/>
        </w:tabs>
        <w:bidi w:val="0"/>
        <w:spacing w:before="0" w:after="260" w:line="240" w:lineRule="auto"/>
        <w:ind w:left="0" w:right="0" w:firstLine="0"/>
        <w:jc w:val="left"/>
      </w:pPr>
      <w:bookmarkStart w:id="298" w:name="bookmark298"/>
      <w:bookmarkStart w:id="299" w:name="bookmark299"/>
      <w:bookmarkStart w:id="300" w:name="bookmark300"/>
      <w:bookmarkStart w:id="301" w:name="bookmark301"/>
      <w:r>
        <w:rPr>
          <w:rFonts w:ascii="Times New Roman" w:eastAsia="Times New Roman" w:hAnsi="Times New Roman" w:cs="Times New Roman"/>
          <w:color w:val="000000"/>
          <w:spacing w:val="0"/>
          <w:w w:val="100"/>
          <w:position w:val="0"/>
        </w:rPr>
        <w:t>3</w:t>
      </w:r>
      <w:bookmarkEnd w:id="300"/>
      <w:r>
        <w:rPr>
          <w:color w:val="000000"/>
          <w:spacing w:val="0"/>
          <w:w w:val="100"/>
          <w:position w:val="0"/>
        </w:rPr>
        <w:t>、</w:t>
        <w:tab/>
        <w:t>培训计划</w:t>
      </w:r>
      <w:bookmarkEnd w:id="298"/>
      <w:bookmarkEnd w:id="299"/>
      <w:bookmarkEnd w:id="301"/>
    </w:p>
    <w:p>
      <w:pPr>
        <w:pStyle w:val="Style20"/>
        <w:keepNext w:val="0"/>
        <w:keepLines w:val="0"/>
        <w:widowControl w:val="0"/>
        <w:shd w:val="clear" w:color="auto" w:fill="auto"/>
        <w:bidi w:val="0"/>
        <w:spacing w:before="0" w:after="360" w:line="32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 xml:space="preserve">年公司围绕管理提升、专业技术、客户服务等方面的能力建设，通过线上线下等形式，强化了管理技能、专业技术、职 业行为的相关培训。针对新员工持续开展绿野仙踪培训营，开展安全、合规培训；针对项目管理能力提升，举行了项目负责 </w:t>
      </w:r>
      <w:r>
        <w:rPr>
          <w:color w:val="000000"/>
          <w:spacing w:val="0"/>
          <w:w w:val="100"/>
          <w:position w:val="0"/>
        </w:rPr>
        <w:t>人的认证及培训辅导；针对客户服务能力提升举办了品牌形象战略与设计相关培训。同时，依托</w:t>
      </w:r>
      <w:r>
        <w:rPr>
          <w:rFonts w:ascii="Times New Roman" w:eastAsia="Times New Roman" w:hAnsi="Times New Roman" w:cs="Times New Roman"/>
          <w:color w:val="000000"/>
          <w:spacing w:val="0"/>
          <w:w w:val="100"/>
          <w:position w:val="0"/>
        </w:rPr>
        <w:t>“</w:t>
      </w:r>
      <w:r>
        <w:rPr>
          <w:color w:val="000000"/>
          <w:spacing w:val="0"/>
          <w:w w:val="100"/>
          <w:position w:val="0"/>
        </w:rPr>
        <w:t>三有荟</w:t>
      </w:r>
      <w:r>
        <w:rPr>
          <w:rFonts w:ascii="Times New Roman" w:eastAsia="Times New Roman" w:hAnsi="Times New Roman" w:cs="Times New Roman"/>
          <w:color w:val="000000"/>
          <w:spacing w:val="0"/>
          <w:w w:val="100"/>
          <w:position w:val="0"/>
        </w:rPr>
        <w:t>”</w:t>
      </w:r>
      <w:r>
        <w:rPr>
          <w:color w:val="000000"/>
          <w:spacing w:val="0"/>
          <w:w w:val="100"/>
          <w:position w:val="0"/>
        </w:rPr>
        <w:t xml:space="preserve">（有机、有趣、有 </w:t>
      </w:r>
      <w:r>
        <w:rPr>
          <w:color w:val="000000"/>
          <w:spacing w:val="0"/>
          <w:w w:val="100"/>
          <w:position w:val="0"/>
        </w:rPr>
        <w:t>爱）平台和建科大讲堂举办开展低碳技术、健康生活等培训和辅导。</w:t>
      </w:r>
    </w:p>
    <w:p>
      <w:pPr>
        <w:pStyle w:val="Style31"/>
        <w:keepNext/>
        <w:keepLines/>
        <w:widowControl w:val="0"/>
        <w:shd w:val="clear" w:color="auto" w:fill="auto"/>
        <w:bidi w:val="0"/>
        <w:spacing w:before="0" w:after="260" w:line="240" w:lineRule="auto"/>
        <w:ind w:left="0" w:right="0" w:firstLine="0"/>
        <w:jc w:val="left"/>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4</w:t>
      </w:r>
      <w:bookmarkEnd w:id="304"/>
      <w:r>
        <w:rPr>
          <w:color w:val="000000"/>
          <w:spacing w:val="0"/>
          <w:w w:val="100"/>
          <w:position w:val="0"/>
        </w:rPr>
        <w:t>、劳务外包情况</w:t>
      </w:r>
      <w:bookmarkEnd w:id="302"/>
      <w:bookmarkEnd w:id="303"/>
      <w:bookmarkEnd w:id="305"/>
    </w:p>
    <w:p>
      <w:pPr>
        <w:pStyle w:val="Style20"/>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rPr>
        <w:t>十二、公司利润分配及资本公积金转增股本情况</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报告期内利润分配政策，特别是现金分红政策的制定、执行或调整情况</w:t>
      </w:r>
    </w:p>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报告期内，公司为了充分维护全体股东的利益，严格按照《公司章程》相关利润分配政策和审议程序审议利润分配方案， 分红标准和分红比例明确清晰，相关的决策程序和机制完备。</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日召开第三届董事会第一次定期会议及第三届监事会第一次定期会议，于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年度股东大会，审议通过关于公司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年度利润分配预案：以公司现有总股本</w:t>
      </w:r>
      <w:r>
        <w:rPr>
          <w:rFonts w:ascii="Times New Roman" w:eastAsia="Times New Roman" w:hAnsi="Times New Roman" w:cs="Times New Roman"/>
          <w:color w:val="000000"/>
          <w:spacing w:val="0"/>
          <w:w w:val="100"/>
          <w:position w:val="0"/>
        </w:rPr>
        <w:t>146,666,700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 xml:space="preserve">股派 </w:t>
      </w:r>
      <w:r>
        <w:rPr>
          <w:rFonts w:ascii="Times New Roman" w:eastAsia="Times New Roman" w:hAnsi="Times New Roman" w:cs="Times New Roman"/>
          <w:color w:val="000000"/>
          <w:spacing w:val="0"/>
          <w:w w:val="100"/>
          <w:position w:val="0"/>
        </w:rPr>
        <w:t>0.9</w:t>
      </w:r>
      <w:r>
        <w:rPr>
          <w:color w:val="000000"/>
          <w:spacing w:val="0"/>
          <w:w w:val="100"/>
          <w:position w:val="0"/>
        </w:rPr>
        <w:t>元人民币现金（含税）。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日，公司在巨潮资讯网披露了《</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年年度权益分派实施公告》（公告编号： </w:t>
      </w:r>
      <w:r>
        <w:rPr>
          <w:rFonts w:ascii="Times New Roman" w:eastAsia="Times New Roman" w:hAnsi="Times New Roman" w:cs="Times New Roman"/>
          <w:color w:val="000000"/>
          <w:spacing w:val="0"/>
          <w:w w:val="100"/>
          <w:position w:val="0"/>
        </w:rPr>
        <w:t>2021-031</w:t>
      </w:r>
      <w:r>
        <w:rPr>
          <w:color w:val="000000"/>
          <w:spacing w:val="0"/>
          <w:w w:val="100"/>
          <w:position w:val="0"/>
        </w:rPr>
        <w:t>），权益分派的股权登记日为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日，除权除息日为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p>
      <w:pPr>
        <w:pStyle w:val="Style2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年度利润分配方案严格按照《公司章程》中关于现金分红政策执行，经公司董事会、监事会和股东大会审议通 过，独立董事发表了专项意见，履行了相关决策程序，并在规定的时间内实施，切实保证了全体股东的利益。</w:t>
      </w:r>
    </w:p>
    <w:tbl>
      <w:tblPr>
        <w:tblOverlap w:val="never"/>
        <w:jc w:val="center"/>
        <w:tblLayout w:type="fixed"/>
      </w:tblPr>
      <w:tblGrid>
        <w:gridCol w:w="4786"/>
        <w:gridCol w:w="4795"/>
      </w:tblGrid>
      <w:tr>
        <w:trPr>
          <w:trHeight w:val="408"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5674"/>
        <w:gridCol w:w="39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146,666,700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14,666,670.00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line="1" w:lineRule="exact"/>
      </w:pPr>
      <w:r>
        <w:br w:type="page"/>
      </w:r>
    </w:p>
    <w:tbl>
      <w:tblPr>
        <w:tblOverlap w:val="never"/>
        <w:jc w:val="center"/>
        <w:tblLayout w:type="fixed"/>
      </w:tblPr>
      <w:tblGrid>
        <w:gridCol w:w="5659"/>
        <w:gridCol w:w="3893"/>
      </w:tblGrid>
      <w:tr>
        <w:trPr>
          <w:trHeight w:val="312"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14,666,670.00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151,338,919.12</w:t>
            </w:r>
          </w:p>
        </w:tc>
      </w:tr>
      <w:tr>
        <w:trPr>
          <w:trHeight w:val="317"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现金分红总额（含其他方式）占利润分配总额的比例</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79" w:line="1" w:lineRule="exact"/>
      </w:pPr>
    </w:p>
    <w:p>
      <w:pPr>
        <w:pStyle w:val="Style2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2" w:lineRule="exact"/>
        <w:ind w:left="0" w:right="0" w:firstLine="0"/>
        <w:jc w:val="center"/>
      </w:pPr>
      <w:r>
        <w:rPr>
          <w:color w:val="000000"/>
          <w:spacing w:val="0"/>
          <w:w w:val="100"/>
          <w:position w:val="0"/>
        </w:rPr>
        <w:t>本次现金分红情况</w:t>
      </w:r>
    </w:p>
    <w:p>
      <w:pPr>
        <w:pStyle w:val="Style2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2" w:lineRule="exact"/>
        <w:ind w:left="0" w:right="0" w:firstLine="0"/>
        <w:jc w:val="left"/>
      </w:pPr>
      <w:r>
        <w:rPr>
          <w:color w:val="000000"/>
          <w:spacing w:val="0"/>
          <w:w w:val="100"/>
          <w:position w:val="0"/>
        </w:rPr>
        <w:t>公司发展阶段属成长期且有重大资金支出安排的，进行利润分配时，现金分红在本次利润分配中所占比例最低应达到</w:t>
      </w:r>
    </w:p>
    <w:p>
      <w:pPr>
        <w:pStyle w:val="Style2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2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2" w:lineRule="exact"/>
        <w:ind w:left="0" w:right="0" w:firstLine="0"/>
        <w:jc w:val="center"/>
      </w:pPr>
      <w:r>
        <w:rPr>
          <w:color w:val="000000"/>
          <w:spacing w:val="0"/>
          <w:w w:val="100"/>
          <w:position w:val="0"/>
        </w:rPr>
        <w:t>利润分配或资本公积金转增预案的详细情况说明</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日，母公司可供股东分配利润</w:t>
      </w:r>
      <w:r>
        <w:rPr>
          <w:rFonts w:ascii="Times New Roman" w:eastAsia="Times New Roman" w:hAnsi="Times New Roman" w:cs="Times New Roman"/>
          <w:color w:val="000000"/>
          <w:spacing w:val="0"/>
          <w:w w:val="100"/>
          <w:position w:val="0"/>
        </w:rPr>
        <w:t>151,338,919.12</w:t>
      </w:r>
      <w:r>
        <w:rPr>
          <w:color w:val="000000"/>
          <w:spacing w:val="0"/>
          <w:w w:val="100"/>
          <w:position w:val="0"/>
        </w:rPr>
        <w:t>元。</w:t>
      </w:r>
    </w:p>
    <w:p>
      <w:pPr>
        <w:pStyle w:val="Style2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0"/>
        <w:jc w:val="left"/>
      </w:pPr>
      <w:r>
        <w:rPr>
          <w:color w:val="000000"/>
          <w:spacing w:val="0"/>
          <w:w w:val="100"/>
          <w:position w:val="0"/>
        </w:rPr>
        <w:t>经公司于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日召开第三届董事会第三次定期会议及第三届监事会第三次定期会议审议，同意公司</w:t>
      </w:r>
      <w:r>
        <w:rPr>
          <w:rFonts w:ascii="Times New Roman" w:eastAsia="Times New Roman" w:hAnsi="Times New Roman" w:cs="Times New Roman"/>
          <w:color w:val="000000"/>
          <w:spacing w:val="0"/>
          <w:w w:val="100"/>
          <w:position w:val="0"/>
        </w:rPr>
        <w:t>2021</w:t>
      </w:r>
      <w:r>
        <w:rPr>
          <w:color w:val="000000"/>
          <w:spacing w:val="0"/>
          <w:w w:val="100"/>
          <w:position w:val="0"/>
        </w:rPr>
        <w:t>年度 利润分配预案：公司拟以总股本</w:t>
      </w:r>
      <w:r>
        <w:rPr>
          <w:rFonts w:ascii="Times New Roman" w:eastAsia="Times New Roman" w:hAnsi="Times New Roman" w:cs="Times New Roman"/>
          <w:color w:val="000000"/>
          <w:spacing w:val="0"/>
          <w:w w:val="100"/>
          <w:position w:val="0"/>
        </w:rPr>
        <w:t>146,666,700</w:t>
      </w:r>
      <w:r>
        <w:rPr>
          <w:color w:val="000000"/>
          <w:spacing w:val="0"/>
          <w:w w:val="100"/>
          <w:position w:val="0"/>
        </w:rPr>
        <w:t>股为基数，向全体股东进行现金分红，每</w:t>
      </w:r>
      <w:r>
        <w:rPr>
          <w:rFonts w:ascii="Times New Roman" w:eastAsia="Times New Roman" w:hAnsi="Times New Roman" w:cs="Times New Roman"/>
          <w:color w:val="000000"/>
          <w:spacing w:val="0"/>
          <w:w w:val="100"/>
          <w:position w:val="0"/>
        </w:rPr>
        <w:t>10</w:t>
      </w:r>
      <w:r>
        <w:rPr>
          <w:color w:val="000000"/>
          <w:spacing w:val="0"/>
          <w:w w:val="100"/>
          <w:position w:val="0"/>
        </w:rPr>
        <w:t>股分配现金</w:t>
      </w:r>
      <w:r>
        <w:rPr>
          <w:rFonts w:ascii="Times New Roman" w:eastAsia="Times New Roman" w:hAnsi="Times New Roman" w:cs="Times New Roman"/>
          <w:color w:val="000000"/>
          <w:spacing w:val="0"/>
          <w:w w:val="100"/>
          <w:position w:val="0"/>
        </w:rPr>
        <w:t>1.00</w:t>
      </w:r>
      <w:r>
        <w:rPr>
          <w:color w:val="000000"/>
          <w:spacing w:val="0"/>
          <w:w w:val="100"/>
          <w:position w:val="0"/>
        </w:rPr>
        <w:t>元（含税），共 计分配现金</w:t>
      </w:r>
      <w:r>
        <w:rPr>
          <w:rFonts w:ascii="Times New Roman" w:eastAsia="Times New Roman" w:hAnsi="Times New Roman" w:cs="Times New Roman"/>
          <w:color w:val="000000"/>
          <w:spacing w:val="0"/>
          <w:w w:val="100"/>
          <w:position w:val="0"/>
        </w:rPr>
        <w:t>14,666,670.00</w:t>
      </w:r>
      <w:r>
        <w:rPr>
          <w:color w:val="000000"/>
          <w:spacing w:val="0"/>
          <w:w w:val="100"/>
          <w:position w:val="0"/>
        </w:rPr>
        <w:t>元（含税），占报告期提取盈余公积后归属于上市公司股东的可分配利润</w:t>
      </w:r>
      <w:r>
        <w:rPr>
          <w:rFonts w:ascii="Times New Roman" w:eastAsia="Times New Roman" w:hAnsi="Times New Roman" w:cs="Times New Roman"/>
          <w:color w:val="000000"/>
          <w:spacing w:val="0"/>
          <w:w w:val="100"/>
          <w:position w:val="0"/>
        </w:rPr>
        <w:t>42,068,079.28</w:t>
      </w:r>
      <w:r>
        <w:rPr>
          <w:color w:val="000000"/>
          <w:spacing w:val="0"/>
          <w:w w:val="100"/>
          <w:position w:val="0"/>
        </w:rPr>
        <w:t xml:space="preserve">元的 </w:t>
      </w:r>
      <w:r>
        <w:rPr>
          <w:rFonts w:ascii="Times New Roman" w:eastAsia="Times New Roman" w:hAnsi="Times New Roman" w:cs="Times New Roman"/>
          <w:color w:val="000000"/>
          <w:spacing w:val="0"/>
          <w:w w:val="100"/>
          <w:position w:val="0"/>
        </w:rPr>
        <w:t>34.86%</w:t>
      </w:r>
      <w:r>
        <w:rPr>
          <w:color w:val="000000"/>
          <w:spacing w:val="0"/>
          <w:w w:val="100"/>
          <w:position w:val="0"/>
        </w:rPr>
        <w:t>。剩余未分配利润滚存至下一年度，用于支持公司经营发展。</w:t>
      </w:r>
    </w:p>
    <w:p>
      <w:pPr>
        <w:pStyle w:val="Style2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7" w:lineRule="exact"/>
        <w:ind w:left="0" w:right="0" w:firstLine="0"/>
        <w:jc w:val="left"/>
      </w:pPr>
      <w:r>
        <w:rPr>
          <w:color w:val="000000"/>
          <w:spacing w:val="0"/>
          <w:w w:val="100"/>
          <w:position w:val="0"/>
        </w:rPr>
        <w:t>上述利润分配政策符合《公司章程》及审议程序的规定，充分保护中小投资者的合法权益，独立董事已发表了同意的独 立意见，尚需提交公司</w:t>
      </w:r>
      <w:r>
        <w:rPr>
          <w:rFonts w:ascii="Times New Roman" w:eastAsia="Times New Roman" w:hAnsi="Times New Roman" w:cs="Times New Roman"/>
          <w:color w:val="000000"/>
          <w:spacing w:val="0"/>
          <w:w w:val="100"/>
          <w:position w:val="0"/>
        </w:rPr>
        <w:t>2021</w:t>
      </w:r>
      <w:r>
        <w:rPr>
          <w:color w:val="000000"/>
          <w:spacing w:val="0"/>
          <w:w w:val="100"/>
          <w:position w:val="0"/>
        </w:rPr>
        <w:t>年度股东大会审议。</w:t>
      </w:r>
    </w:p>
    <w:p>
      <w:pPr>
        <w:pStyle w:val="Style2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31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年度报告披露日在巨潮资讯网披露上述事项的相关公告。</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公司报告期内盈利且母公司可供股东分配利润为正但未提出现金红利分配预案</w:t>
      </w:r>
    </w:p>
    <w:p>
      <w:pPr>
        <w:widowControl w:val="0"/>
        <w:spacing w:line="1" w:lineRule="exact"/>
      </w:pPr>
      <w:r>
        <mc:AlternateContent>
          <mc:Choice Requires="wps">
            <w:drawing>
              <wp:anchor distT="12065" distB="0" distL="0" distR="0" simplePos="0" relativeHeight="125829378" behindDoc="0" locked="0" layoutInCell="1" allowOverlap="1">
                <wp:simplePos x="0" y="0"/>
                <wp:positionH relativeFrom="page">
                  <wp:posOffset>707390</wp:posOffset>
                </wp:positionH>
                <wp:positionV relativeFrom="paragraph">
                  <wp:posOffset>12065</wp:posOffset>
                </wp:positionV>
                <wp:extent cx="377825" cy="155575"/>
                <wp:wrapTopAndBottom/>
                <wp:docPr id="2" name="Shape 2"/>
                <a:graphic xmlns:a="http://schemas.openxmlformats.org/drawingml/2006/main">
                  <a:graphicData uri="http://schemas.microsoft.com/office/word/2010/wordprocessingShape">
                    <wps:wsp>
                      <wps:cNvSpPr txBox="1"/>
                      <wps:spPr>
                        <a:xfrm>
                          <a:ext cx="377825" cy="15557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55.700000000000003pt;margin-top:0.95000000000000007pt;width:29.75pt;height:12.25pt;z-index:-125829375;mso-wrap-distance-left:0;mso-wrap-distance-top:0.95000000000000007pt;mso-wrap-distance-right:0;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p>
                  </w:txbxContent>
                </v:textbox>
                <w10:wrap type="topAndBottom" anchorx="page"/>
              </v:shape>
            </w:pict>
          </mc:Fallback>
        </mc:AlternateContent>
      </w:r>
      <w:r>
        <mc:AlternateContent>
          <mc:Choice Requires="wps">
            <w:drawing>
              <wp:anchor distT="0" distB="3175" distL="0" distR="0" simplePos="0" relativeHeight="125829380" behindDoc="0" locked="0" layoutInCell="1" allowOverlap="1">
                <wp:simplePos x="0" y="0"/>
                <wp:positionH relativeFrom="page">
                  <wp:posOffset>1118870</wp:posOffset>
                </wp:positionH>
                <wp:positionV relativeFrom="paragraph">
                  <wp:posOffset>0</wp:posOffset>
                </wp:positionV>
                <wp:extent cx="487680" cy="164465"/>
                <wp:wrapTopAndBottom/>
                <wp:docPr id="4" name="Shape 4"/>
                <a:graphic xmlns:a="http://schemas.openxmlformats.org/drawingml/2006/main">
                  <a:graphicData uri="http://schemas.microsoft.com/office/word/2010/wordprocessingShape">
                    <wps:wsp>
                      <wps:cNvSpPr txBox="1"/>
                      <wps:spPr>
                        <a:xfrm>
                          <a:ext cx="487680" cy="1644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不适用</w:t>
                            </w:r>
                          </w:p>
                        </w:txbxContent>
                      </wps:txbx>
                      <wps:bodyPr wrap="none" lIns="0" tIns="0" rIns="0" bIns="0">
                        <a:noAutoFit/>
                      </wps:bodyPr>
                    </wps:wsp>
                  </a:graphicData>
                </a:graphic>
              </wp:anchor>
            </w:drawing>
          </mc:Choice>
          <mc:Fallback>
            <w:pict>
              <v:shape id="_x0000_s1030" type="#_x0000_t202" style="position:absolute;margin-left:88.100000000000009pt;margin-top:0;width:38.399999999999999pt;height:12.950000000000001pt;z-index:-125829373;mso-wrap-distance-left:0;mso-wrap-distance-right:0;mso-wrap-distance-bottom:0.25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不适用</w:t>
                      </w:r>
                    </w:p>
                  </w:txbxContent>
                </v:textbox>
                <w10:wrap type="topAndBottom" anchorx="page"/>
              </v:shape>
            </w:pict>
          </mc:Fallback>
        </mc:AlternateConten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4"/>
          <w:szCs w:val="24"/>
        </w:rPr>
        <w:t>十三、公司股权激励计划、员工持股计划或其他员工激励措施的实施情况</w:t>
      </w:r>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4"/>
          <w:szCs w:val="24"/>
        </w:rPr>
        <w:t>十四、报告期内的内部控制制度建设及实施情况</w:t>
      </w:r>
    </w:p>
    <w:p>
      <w:pPr>
        <w:pStyle w:val="Style31"/>
        <w:keepNext/>
        <w:keepLines/>
        <w:widowControl w:val="0"/>
        <w:shd w:val="clear" w:color="auto" w:fill="auto"/>
        <w:bidi w:val="0"/>
        <w:spacing w:before="0" w:after="260" w:line="240" w:lineRule="auto"/>
        <w:ind w:left="0" w:right="0" w:firstLine="0"/>
        <w:jc w:val="left"/>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rPr>
        <w:t>1</w:t>
      </w:r>
      <w:bookmarkEnd w:id="308"/>
      <w:r>
        <w:rPr>
          <w:color w:val="000000"/>
          <w:spacing w:val="0"/>
          <w:w w:val="100"/>
          <w:position w:val="0"/>
        </w:rPr>
        <w:t>、内部控制建设及实施情况</w:t>
      </w:r>
      <w:bookmarkEnd w:id="306"/>
      <w:bookmarkEnd w:id="307"/>
      <w:bookmarkEnd w:id="309"/>
    </w:p>
    <w:p>
      <w:pPr>
        <w:pStyle w:val="Style20"/>
        <w:keepNext w:val="0"/>
        <w:keepLines w:val="0"/>
        <w:widowControl w:val="0"/>
        <w:shd w:val="clear" w:color="auto" w:fill="auto"/>
        <w:bidi w:val="0"/>
        <w:spacing w:before="0" w:after="120" w:line="317" w:lineRule="exact"/>
        <w:ind w:left="0" w:right="0" w:firstLine="420"/>
        <w:jc w:val="both"/>
      </w:pPr>
      <w:r>
        <w:rPr>
          <w:color w:val="000000"/>
          <w:spacing w:val="0"/>
          <w:w w:val="100"/>
          <w:position w:val="0"/>
        </w:rPr>
        <w:t>公司已依据有关法律法规、《公司章程》、公司有关制度以及其他有关规定，制定《公司内部控制制度》《公司内部审 计制度》等内部控制和内部审计有关制度，建立了完善的内部控制体系，公司内部控制建设健全、合理，内部控制执行有效。</w:t>
      </w:r>
    </w:p>
    <w:p>
      <w:pPr>
        <w:pStyle w:val="Style20"/>
        <w:keepNext w:val="0"/>
        <w:keepLines w:val="0"/>
        <w:widowControl w:val="0"/>
        <w:shd w:val="clear" w:color="auto" w:fill="auto"/>
        <w:tabs>
          <w:tab w:pos="349" w:val="left"/>
        </w:tabs>
        <w:bidi w:val="0"/>
        <w:spacing w:before="0" w:after="0"/>
        <w:ind w:left="0" w:right="0" w:firstLine="0"/>
        <w:jc w:val="left"/>
      </w:pPr>
      <w:bookmarkStart w:id="310" w:name="bookmark310"/>
      <w:r>
        <w:rPr>
          <w:rFonts w:ascii="Times New Roman" w:eastAsia="Times New Roman" w:hAnsi="Times New Roman" w:cs="Times New Roman"/>
          <w:color w:val="000000"/>
          <w:spacing w:val="0"/>
          <w:w w:val="100"/>
          <w:position w:val="0"/>
        </w:rPr>
        <w:t>1</w:t>
      </w:r>
      <w:bookmarkEnd w:id="310"/>
      <w:r>
        <w:rPr>
          <w:color w:val="000000"/>
          <w:spacing w:val="0"/>
          <w:w w:val="100"/>
          <w:position w:val="0"/>
        </w:rPr>
        <w:t>）</w:t>
        <w:tab/>
        <w:t>组织架构</w:t>
      </w:r>
    </w:p>
    <w:p>
      <w:pPr>
        <w:pStyle w:val="Style20"/>
        <w:keepNext w:val="0"/>
        <w:keepLines w:val="0"/>
        <w:widowControl w:val="0"/>
        <w:shd w:val="clear" w:color="auto" w:fill="auto"/>
        <w:bidi w:val="0"/>
        <w:spacing w:before="0" w:after="0" w:line="317" w:lineRule="exact"/>
        <w:ind w:left="0" w:right="0" w:firstLine="420"/>
        <w:jc w:val="both"/>
      </w:pPr>
      <w:r>
        <w:rPr>
          <w:color w:val="000000"/>
          <w:spacing w:val="0"/>
          <w:w w:val="100"/>
          <w:position w:val="0"/>
        </w:rPr>
        <w:t>公司已形成科学有效的职责分工和制衡机制。已按照《中华人民共和国公司法》《中华人民共和国证券法》等有关法 律、行政法规、部门规章及规范性文件等的要求和《公司章程》及有关制度的规定，建立了规范的公司治理结构和有关规 贝，，明确决策、执行、监督等方面的职责权限，设置了党委、股东大会、董事会、监事会以及在董事会领导下的经理层。</w:t>
      </w:r>
    </w:p>
    <w:p>
      <w:pPr>
        <w:pStyle w:val="Style20"/>
        <w:keepNext w:val="0"/>
        <w:keepLines w:val="0"/>
        <w:widowControl w:val="0"/>
        <w:shd w:val="clear" w:color="auto" w:fill="auto"/>
        <w:bidi w:val="0"/>
        <w:spacing w:before="0" w:after="0" w:line="317" w:lineRule="exact"/>
        <w:ind w:left="0" w:right="0" w:firstLine="420"/>
        <w:jc w:val="both"/>
      </w:pPr>
      <w:r>
        <w:rPr>
          <w:color w:val="000000"/>
          <w:spacing w:val="0"/>
          <w:w w:val="100"/>
          <w:position w:val="0"/>
        </w:rPr>
        <w:t>公司已严格贯彻落实党章党规要求。</w:t>
      </w:r>
      <w:r>
        <w:rPr>
          <w:rFonts w:ascii="Times New Roman" w:eastAsia="Times New Roman" w:hAnsi="Times New Roman" w:cs="Times New Roman"/>
          <w:color w:val="000000"/>
          <w:spacing w:val="0"/>
          <w:w w:val="100"/>
          <w:position w:val="0"/>
        </w:rPr>
        <w:t>2021</w:t>
      </w:r>
      <w:r>
        <w:rPr>
          <w:color w:val="000000"/>
          <w:spacing w:val="0"/>
          <w:w w:val="100"/>
          <w:position w:val="0"/>
        </w:rPr>
        <w:t>年，依据《中国共产党章程》《中国共产党基层组织选举工作条例》及公司有 关制度，中共深圳市建筑科学研究院股份有限公司党员大会胜利召开，选举产生公司第三届党委、纪委领导班子。</w:t>
      </w:r>
    </w:p>
    <w:p>
      <w:pPr>
        <w:pStyle w:val="Style20"/>
        <w:keepNext w:val="0"/>
        <w:keepLines w:val="0"/>
        <w:widowControl w:val="0"/>
        <w:shd w:val="clear" w:color="auto" w:fill="auto"/>
        <w:bidi w:val="0"/>
        <w:spacing w:before="0" w:after="120" w:line="317" w:lineRule="exact"/>
        <w:ind w:left="0" w:right="0" w:firstLine="420"/>
        <w:jc w:val="both"/>
      </w:pPr>
      <w:r>
        <w:rPr>
          <w:color w:val="000000"/>
          <w:spacing w:val="0"/>
          <w:w w:val="100"/>
          <w:position w:val="0"/>
        </w:rPr>
        <w:t>公司已严格按照上市公司要求及国资监管要求建立公司治理基本制度，持续按合规要求进行更新。</w:t>
      </w:r>
      <w:r>
        <w:rPr>
          <w:rFonts w:ascii="Times New Roman" w:eastAsia="Times New Roman" w:hAnsi="Times New Roman" w:cs="Times New Roman"/>
          <w:color w:val="000000"/>
          <w:spacing w:val="0"/>
          <w:w w:val="100"/>
          <w:position w:val="0"/>
        </w:rPr>
        <w:t>2021</w:t>
      </w:r>
      <w:r>
        <w:rPr>
          <w:color w:val="000000"/>
          <w:spacing w:val="0"/>
          <w:w w:val="100"/>
          <w:position w:val="0"/>
        </w:rPr>
        <w:t>年，公司根据 修订后的《公司法》《证券法》及相关上市公司监管规则，结合公司治理、经营管理实际，完成了《公司章程》及</w:t>
      </w:r>
      <w:r>
        <w:rPr>
          <w:rFonts w:ascii="Times New Roman" w:eastAsia="Times New Roman" w:hAnsi="Times New Roman" w:cs="Times New Roman"/>
          <w:color w:val="000000"/>
          <w:spacing w:val="0"/>
          <w:w w:val="100"/>
          <w:position w:val="0"/>
        </w:rPr>
        <w:t>28</w:t>
      </w:r>
      <w:r>
        <w:rPr>
          <w:color w:val="000000"/>
          <w:spacing w:val="0"/>
          <w:w w:val="100"/>
          <w:position w:val="0"/>
        </w:rPr>
        <w:t>项基本 制度的修订工作，并经公司董事会审议通过后报公司股东大会审议批准。</w:t>
      </w:r>
    </w:p>
    <w:p>
      <w:pPr>
        <w:pStyle w:val="Style20"/>
        <w:keepNext w:val="0"/>
        <w:keepLines w:val="0"/>
        <w:widowControl w:val="0"/>
        <w:shd w:val="clear" w:color="auto" w:fill="auto"/>
        <w:tabs>
          <w:tab w:pos="368" w:val="left"/>
        </w:tabs>
        <w:bidi w:val="0"/>
        <w:spacing w:before="0" w:after="0"/>
        <w:ind w:left="0" w:right="0" w:firstLine="0"/>
        <w:jc w:val="left"/>
      </w:pPr>
      <w:bookmarkStart w:id="311" w:name="bookmark311"/>
      <w:r>
        <w:rPr>
          <w:rFonts w:ascii="Times New Roman" w:eastAsia="Times New Roman" w:hAnsi="Times New Roman" w:cs="Times New Roman"/>
          <w:color w:val="000000"/>
          <w:spacing w:val="0"/>
          <w:w w:val="100"/>
          <w:position w:val="0"/>
        </w:rPr>
        <w:t>2</w:t>
      </w:r>
      <w:bookmarkEnd w:id="311"/>
      <w:r>
        <w:rPr>
          <w:color w:val="000000"/>
          <w:spacing w:val="0"/>
          <w:w w:val="100"/>
          <w:position w:val="0"/>
        </w:rPr>
        <w:t>）</w:t>
        <w:tab/>
        <w:t>内部审计</w:t>
      </w:r>
    </w:p>
    <w:p>
      <w:pPr>
        <w:pStyle w:val="Style20"/>
        <w:keepNext w:val="0"/>
        <w:keepLines w:val="0"/>
        <w:widowControl w:val="0"/>
        <w:shd w:val="clear" w:color="auto" w:fill="auto"/>
        <w:bidi w:val="0"/>
        <w:spacing w:before="0" w:after="300" w:line="317" w:lineRule="exact"/>
        <w:ind w:left="0" w:right="0" w:firstLine="420"/>
        <w:jc w:val="both"/>
      </w:pPr>
      <w:r>
        <w:rPr>
          <w:color w:val="000000"/>
          <w:spacing w:val="0"/>
          <w:w w:val="100"/>
          <w:position w:val="0"/>
        </w:rPr>
        <w:t>公司内部审计相关制度及内部控制体系完善。已依据有关法律法规、《公司章程》、公司有关制度以及其他有关规定， 制定《公司内部控制制度》《公司内部审计制度》《公司干部任期或离任经济责任审计暂行办法》等内部控制和内部审计有 关制度，建立了完善的内部控制体系。</w:t>
      </w:r>
    </w:p>
    <w:p>
      <w:pPr>
        <w:pStyle w:val="Style20"/>
        <w:keepNext w:val="0"/>
        <w:keepLines w:val="0"/>
        <w:widowControl w:val="0"/>
        <w:shd w:val="clear" w:color="auto" w:fill="auto"/>
        <w:bidi w:val="0"/>
        <w:spacing w:before="0" w:after="0" w:line="314" w:lineRule="exact"/>
        <w:ind w:left="0" w:right="0" w:firstLine="420"/>
        <w:jc w:val="both"/>
      </w:pPr>
      <w:r>
        <w:rPr>
          <w:color w:val="000000"/>
          <w:spacing w:val="0"/>
          <w:w w:val="100"/>
          <w:position w:val="0"/>
        </w:rPr>
        <w:t>董事会审计委员会结构合理，持续发挥监督作用。公司董事会审计委员会是公司内部控制监督机构，由三名董事组成， 其中独立董事占多数，并由会计专业人士背景的独立董事担任主任委员。公司董事会审计委员会负责审查并监督公司的内 部控制和风险管理体系的有效运行，监督内部审计制度及其实施，审核公司财务信息及其披露以及其他相关事宜。</w:t>
      </w:r>
    </w:p>
    <w:p>
      <w:pPr>
        <w:pStyle w:val="Style20"/>
        <w:keepNext w:val="0"/>
        <w:keepLines w:val="0"/>
        <w:widowControl w:val="0"/>
        <w:shd w:val="clear" w:color="auto" w:fill="auto"/>
        <w:bidi w:val="0"/>
        <w:spacing w:before="0" w:after="100" w:line="314" w:lineRule="exact"/>
        <w:ind w:left="0" w:right="0" w:firstLine="420"/>
        <w:jc w:val="both"/>
      </w:pPr>
      <w:r>
        <w:rPr>
          <w:color w:val="000000"/>
          <w:spacing w:val="0"/>
          <w:w w:val="100"/>
          <w:position w:val="0"/>
        </w:rPr>
        <w:t>审计中心独立性有效保证。公司设立审计中心作为公司内部审计机构，配置专职审计人员，受公司董事会和董事会审 计委员会领导，并直接向其报告工作。</w:t>
      </w:r>
    </w:p>
    <w:p>
      <w:pPr>
        <w:pStyle w:val="Style20"/>
        <w:keepNext w:val="0"/>
        <w:keepLines w:val="0"/>
        <w:widowControl w:val="0"/>
        <w:shd w:val="clear" w:color="auto" w:fill="auto"/>
        <w:tabs>
          <w:tab w:pos="319" w:val="left"/>
        </w:tabs>
        <w:bidi w:val="0"/>
        <w:spacing w:before="0" w:after="0"/>
        <w:ind w:left="0" w:right="0" w:firstLine="0"/>
        <w:jc w:val="left"/>
      </w:pPr>
      <w:bookmarkStart w:id="312" w:name="bookmark312"/>
      <w:r>
        <w:rPr>
          <w:rFonts w:ascii="Times New Roman" w:eastAsia="Times New Roman" w:hAnsi="Times New Roman" w:cs="Times New Roman"/>
          <w:color w:val="000000"/>
          <w:spacing w:val="0"/>
          <w:w w:val="100"/>
          <w:position w:val="0"/>
        </w:rPr>
        <w:t>3</w:t>
      </w:r>
      <w:bookmarkEnd w:id="312"/>
      <w:r>
        <w:rPr>
          <w:color w:val="000000"/>
          <w:spacing w:val="0"/>
          <w:w w:val="100"/>
          <w:position w:val="0"/>
        </w:rPr>
        <w:t>）</w:t>
        <w:tab/>
        <w:t>人力资源</w:t>
      </w:r>
    </w:p>
    <w:p>
      <w:pPr>
        <w:pStyle w:val="Style20"/>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公司已制定和实施有利于企业可持续发展的人力资源政策。通过制定《公司员工手册》《公司人力资源管理程序》《公 司薪酬管理办法》《公司绩效考核管理规定》《公司招聘管理办法》《公司员工职业行为规范规定》等制度，规范公司员工 的招聘、录用、培训、考核、激励等。通过制定和实施《公司项目主任管理规定》《公司商务人员管理规定》《公司会计人 员管理办法》《公司派遣人员管理规定》等制度，规范人员的管理。</w:t>
      </w:r>
    </w:p>
    <w:p>
      <w:pPr>
        <w:pStyle w:val="Style20"/>
        <w:keepNext w:val="0"/>
        <w:keepLines w:val="0"/>
        <w:widowControl w:val="0"/>
        <w:shd w:val="clear" w:color="auto" w:fill="auto"/>
        <w:bidi w:val="0"/>
        <w:spacing w:before="0" w:after="100" w:line="314" w:lineRule="exact"/>
        <w:ind w:left="0" w:right="0" w:firstLine="420"/>
        <w:jc w:val="both"/>
      </w:pPr>
      <w:r>
        <w:rPr>
          <w:color w:val="000000"/>
          <w:spacing w:val="0"/>
          <w:w w:val="100"/>
          <w:position w:val="0"/>
        </w:rPr>
        <w:t>公司已建立定位清晰、职能明确、权责清楚的职责界定机制和有效运行系统。制定发布了《公司职责与权限》，正确引 导各级管理者强化职能意识和责任意识，严格履行职责，合理行使职责。</w:t>
      </w:r>
    </w:p>
    <w:p>
      <w:pPr>
        <w:pStyle w:val="Style20"/>
        <w:keepNext w:val="0"/>
        <w:keepLines w:val="0"/>
        <w:widowControl w:val="0"/>
        <w:shd w:val="clear" w:color="auto" w:fill="auto"/>
        <w:tabs>
          <w:tab w:pos="328" w:val="left"/>
        </w:tabs>
        <w:bidi w:val="0"/>
        <w:spacing w:before="0" w:after="0"/>
        <w:ind w:left="0" w:right="0" w:firstLine="0"/>
        <w:jc w:val="left"/>
      </w:pPr>
      <w:bookmarkStart w:id="313" w:name="bookmark313"/>
      <w:r>
        <w:rPr>
          <w:rFonts w:ascii="Times New Roman" w:eastAsia="Times New Roman" w:hAnsi="Times New Roman" w:cs="Times New Roman"/>
          <w:color w:val="000000"/>
          <w:spacing w:val="0"/>
          <w:w w:val="100"/>
          <w:position w:val="0"/>
        </w:rPr>
        <w:t>4</w:t>
      </w:r>
      <w:bookmarkEnd w:id="313"/>
      <w:r>
        <w:rPr>
          <w:color w:val="000000"/>
          <w:spacing w:val="0"/>
          <w:w w:val="100"/>
          <w:position w:val="0"/>
        </w:rPr>
        <w:t>）</w:t>
        <w:tab/>
        <w:t>企业文化</w:t>
      </w:r>
    </w:p>
    <w:p>
      <w:pPr>
        <w:pStyle w:val="Style20"/>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公司立志成为中国绿色城市的创造者和引领者。秉承</w:t>
      </w:r>
      <w:r>
        <w:rPr>
          <w:rFonts w:ascii="Times New Roman" w:eastAsia="Times New Roman" w:hAnsi="Times New Roman" w:cs="Times New Roman"/>
          <w:color w:val="000000"/>
          <w:spacing w:val="0"/>
          <w:w w:val="100"/>
          <w:position w:val="0"/>
        </w:rPr>
        <w:t>“</w:t>
      </w:r>
      <w:r>
        <w:rPr>
          <w:color w:val="000000"/>
          <w:spacing w:val="0"/>
          <w:w w:val="100"/>
          <w:position w:val="0"/>
        </w:rPr>
        <w:t>开诚共享，明德向善</w:t>
      </w:r>
      <w:r>
        <w:rPr>
          <w:rFonts w:ascii="Times New Roman" w:eastAsia="Times New Roman" w:hAnsi="Times New Roman" w:cs="Times New Roman"/>
          <w:color w:val="000000"/>
          <w:spacing w:val="0"/>
          <w:w w:val="100"/>
          <w:position w:val="0"/>
        </w:rPr>
        <w:t>'</w:t>
      </w:r>
      <w:r>
        <w:rPr>
          <w:color w:val="000000"/>
          <w:spacing w:val="0"/>
          <w:w w:val="100"/>
          <w:position w:val="0"/>
        </w:rPr>
        <w:t>'的品牌核心价值诉求，致力于</w:t>
      </w:r>
      <w:r>
        <w:rPr>
          <w:rFonts w:ascii="Times New Roman" w:eastAsia="Times New Roman" w:hAnsi="Times New Roman" w:cs="Times New Roman"/>
          <w:color w:val="000000"/>
          <w:spacing w:val="0"/>
          <w:w w:val="100"/>
          <w:position w:val="0"/>
        </w:rPr>
        <w:t>“</w:t>
      </w:r>
      <w:r>
        <w:rPr>
          <w:color w:val="000000"/>
          <w:spacing w:val="0"/>
          <w:w w:val="100"/>
          <w:position w:val="0"/>
        </w:rPr>
        <w:t>以绿建造福 民生</w:t>
      </w:r>
      <w:r>
        <w:rPr>
          <w:rFonts w:ascii="Times New Roman" w:eastAsia="Times New Roman" w:hAnsi="Times New Roman" w:cs="Times New Roman"/>
          <w:color w:val="000000"/>
          <w:spacing w:val="0"/>
          <w:w w:val="100"/>
          <w:position w:val="0"/>
        </w:rPr>
        <w:t>”</w:t>
      </w:r>
      <w:r>
        <w:rPr>
          <w:color w:val="000000"/>
          <w:spacing w:val="0"/>
          <w:w w:val="100"/>
          <w:position w:val="0"/>
        </w:rPr>
        <w:t>为己任，勇于不断突破自我，敢为人先、拼搏创新。</w:t>
      </w:r>
    </w:p>
    <w:p>
      <w:pPr>
        <w:pStyle w:val="Style20"/>
        <w:keepNext w:val="0"/>
        <w:keepLines w:val="0"/>
        <w:widowControl w:val="0"/>
        <w:shd w:val="clear" w:color="auto" w:fill="auto"/>
        <w:bidi w:val="0"/>
        <w:spacing w:before="0" w:after="100" w:line="314" w:lineRule="exact"/>
        <w:ind w:left="0" w:right="0" w:firstLine="420"/>
        <w:jc w:val="both"/>
      </w:pPr>
      <w:r>
        <w:rPr>
          <w:color w:val="000000"/>
          <w:spacing w:val="0"/>
          <w:w w:val="100"/>
          <w:position w:val="0"/>
        </w:rPr>
        <w:t>公司倡导低碳乐活的企业文化。</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年是中国践行碳达峰、碳中和之路元年。公司作为上市企业，除了在业务领域坚持 </w:t>
      </w:r>
      <w:r>
        <w:rPr>
          <w:rFonts w:ascii="Times New Roman" w:eastAsia="Times New Roman" w:hAnsi="Times New Roman" w:cs="Times New Roman"/>
          <w:color w:val="000000"/>
          <w:spacing w:val="0"/>
          <w:w w:val="100"/>
          <w:position w:val="0"/>
        </w:rPr>
        <w:t>20</w:t>
      </w:r>
      <w:r>
        <w:rPr>
          <w:color w:val="000000"/>
          <w:spacing w:val="0"/>
          <w:w w:val="100"/>
          <w:position w:val="0"/>
        </w:rPr>
        <w:t>余年生态绿色的业务模式之外，在公司内部也一直倡导低碳乐活的企业文化。</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月，公司内部发起倡议低碳生活， 征集</w:t>
      </w:r>
      <w:r>
        <w:rPr>
          <w:rFonts w:ascii="Times New Roman" w:eastAsia="Times New Roman" w:hAnsi="Times New Roman" w:cs="Times New Roman"/>
          <w:color w:val="000000"/>
          <w:spacing w:val="0"/>
          <w:w w:val="100"/>
          <w:position w:val="0"/>
        </w:rPr>
        <w:t>“</w:t>
      </w:r>
      <w:r>
        <w:rPr>
          <w:color w:val="000000"/>
          <w:spacing w:val="0"/>
          <w:w w:val="100"/>
          <w:position w:val="0"/>
        </w:rPr>
        <w:t>低碳志愿者</w:t>
      </w:r>
      <w:r>
        <w:rPr>
          <w:rFonts w:ascii="Times New Roman" w:eastAsia="Times New Roman" w:hAnsi="Times New Roman" w:cs="Times New Roman"/>
          <w:color w:val="000000"/>
          <w:spacing w:val="0"/>
          <w:w w:val="100"/>
          <w:position w:val="0"/>
        </w:rPr>
        <w:t>”</w:t>
      </w:r>
      <w:r>
        <w:rPr>
          <w:color w:val="000000"/>
          <w:spacing w:val="0"/>
          <w:w w:val="100"/>
          <w:position w:val="0"/>
        </w:rPr>
        <w:t>，以提供研究数据支持，精准呈现建科人画像，量化个人碳足迹，提供个人减碳指导。通过</w:t>
      </w:r>
      <w:r>
        <w:rPr>
          <w:rFonts w:ascii="Times New Roman" w:eastAsia="Times New Roman" w:hAnsi="Times New Roman" w:cs="Times New Roman"/>
          <w:color w:val="000000"/>
          <w:spacing w:val="0"/>
          <w:w w:val="100"/>
          <w:position w:val="0"/>
        </w:rPr>
        <w:t>5</w:t>
      </w:r>
      <w:r>
        <w:rPr>
          <w:color w:val="000000"/>
          <w:spacing w:val="0"/>
          <w:w w:val="100"/>
          <w:position w:val="0"/>
        </w:rPr>
        <w:t>个多月的问 卷统计，并研发</w:t>
      </w:r>
      <w:r>
        <w:rPr>
          <w:rFonts w:ascii="Times New Roman" w:eastAsia="Times New Roman" w:hAnsi="Times New Roman" w:cs="Times New Roman"/>
          <w:color w:val="000000"/>
          <w:spacing w:val="0"/>
          <w:w w:val="100"/>
          <w:position w:val="0"/>
        </w:rPr>
        <w:t>“</w:t>
      </w:r>
      <w:r>
        <w:rPr>
          <w:color w:val="000000"/>
          <w:spacing w:val="0"/>
          <w:w w:val="100"/>
          <w:position w:val="0"/>
        </w:rPr>
        <w:t>伊碳家</w:t>
      </w:r>
      <w:r>
        <w:rPr>
          <w:rFonts w:ascii="Times New Roman" w:eastAsia="Times New Roman" w:hAnsi="Times New Roman" w:cs="Times New Roman"/>
          <w:color w:val="000000"/>
          <w:spacing w:val="0"/>
          <w:w w:val="100"/>
          <w:position w:val="0"/>
        </w:rPr>
        <w:t>”</w:t>
      </w:r>
      <w:r>
        <w:rPr>
          <w:color w:val="000000"/>
          <w:spacing w:val="0"/>
          <w:w w:val="100"/>
          <w:position w:val="0"/>
        </w:rPr>
        <w:t>的小程序，引导公司全员填写，收集整理生活碳足迹。除此之外，公司还通过文化传播的模式，在 未来大厦创建</w:t>
      </w:r>
      <w:r>
        <w:rPr>
          <w:rFonts w:ascii="Times New Roman" w:eastAsia="Times New Roman" w:hAnsi="Times New Roman" w:cs="Times New Roman"/>
          <w:color w:val="000000"/>
          <w:spacing w:val="0"/>
          <w:w w:val="100"/>
          <w:position w:val="0"/>
        </w:rPr>
        <w:t>“</w:t>
      </w:r>
      <w:r>
        <w:rPr>
          <w:color w:val="000000"/>
          <w:spacing w:val="0"/>
          <w:w w:val="100"/>
          <w:position w:val="0"/>
        </w:rPr>
        <w:t>三有生活实验室</w:t>
      </w:r>
      <w:r>
        <w:rPr>
          <w:rFonts w:ascii="Times New Roman" w:eastAsia="Times New Roman" w:hAnsi="Times New Roman" w:cs="Times New Roman"/>
          <w:color w:val="000000"/>
          <w:spacing w:val="0"/>
          <w:w w:val="100"/>
          <w:position w:val="0"/>
        </w:rPr>
        <w:t>”</w:t>
      </w:r>
      <w:r>
        <w:rPr>
          <w:color w:val="000000"/>
          <w:spacing w:val="0"/>
          <w:w w:val="100"/>
          <w:position w:val="0"/>
        </w:rPr>
        <w:t>打造低碳绿色生活体验的社区样板，对内对外引导更多的人参与进来。</w:t>
      </w:r>
    </w:p>
    <w:p>
      <w:pPr>
        <w:pStyle w:val="Style20"/>
        <w:keepNext w:val="0"/>
        <w:keepLines w:val="0"/>
        <w:widowControl w:val="0"/>
        <w:shd w:val="clear" w:color="auto" w:fill="auto"/>
        <w:tabs>
          <w:tab w:pos="328" w:val="left"/>
        </w:tabs>
        <w:bidi w:val="0"/>
        <w:spacing w:before="0" w:after="0"/>
        <w:ind w:left="0" w:right="0" w:firstLine="0"/>
        <w:jc w:val="left"/>
      </w:pPr>
      <w:bookmarkStart w:id="314" w:name="bookmark314"/>
      <w:r>
        <w:rPr>
          <w:rFonts w:ascii="Times New Roman" w:eastAsia="Times New Roman" w:hAnsi="Times New Roman" w:cs="Times New Roman"/>
          <w:color w:val="000000"/>
          <w:spacing w:val="0"/>
          <w:w w:val="100"/>
          <w:position w:val="0"/>
        </w:rPr>
        <w:t>5</w:t>
      </w:r>
      <w:bookmarkEnd w:id="314"/>
      <w:r>
        <w:rPr>
          <w:color w:val="000000"/>
          <w:spacing w:val="0"/>
          <w:w w:val="100"/>
          <w:position w:val="0"/>
        </w:rPr>
        <w:t>）</w:t>
        <w:tab/>
        <w:t>发展战略</w:t>
      </w:r>
    </w:p>
    <w:p>
      <w:pPr>
        <w:pStyle w:val="Style20"/>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公司已建立战略委员会，促进重大投资决策科学、高质高效。公司在董事会下设立了战略委员会，根据《董事会战略委 员会议事规则》的相关规定对公司长期发展战略规划进行研究并提出建议。战略委员会会议由主任委员召集，不定期召开， 通过认真分析内外部经济形势，讨论公司的未来发展规划和方向，向公司董事会提出公司经营发展的建议，提高了重大投 资决策的效益和决策质量，加强了决策科学性。</w:t>
      </w:r>
    </w:p>
    <w:p>
      <w:pPr>
        <w:pStyle w:val="Style20"/>
        <w:keepNext w:val="0"/>
        <w:keepLines w:val="0"/>
        <w:widowControl w:val="0"/>
        <w:shd w:val="clear" w:color="auto" w:fill="auto"/>
        <w:bidi w:val="0"/>
        <w:spacing w:before="0" w:after="100" w:line="314" w:lineRule="exact"/>
        <w:ind w:left="0" w:right="0" w:firstLine="420"/>
        <w:jc w:val="both"/>
      </w:pPr>
      <w:r>
        <w:rPr>
          <w:color w:val="000000"/>
          <w:spacing w:val="0"/>
          <w:w w:val="100"/>
          <w:position w:val="0"/>
        </w:rPr>
        <w:t>科改行动有序推进。</w:t>
      </w:r>
      <w:r>
        <w:rPr>
          <w:rFonts w:ascii="Times New Roman" w:eastAsia="Times New Roman" w:hAnsi="Times New Roman" w:cs="Times New Roman"/>
          <w:color w:val="000000"/>
          <w:spacing w:val="0"/>
          <w:w w:val="100"/>
          <w:position w:val="0"/>
        </w:rPr>
        <w:t>2021</w:t>
      </w:r>
      <w:r>
        <w:rPr>
          <w:color w:val="000000"/>
          <w:spacing w:val="0"/>
          <w:w w:val="100"/>
          <w:position w:val="0"/>
        </w:rPr>
        <w:t>年，公司稳妥有序推进改革方案和工作台账的落实及完善，科改任务台账完成率</w:t>
      </w:r>
      <w:r>
        <w:rPr>
          <w:rFonts w:ascii="Times New Roman" w:eastAsia="Times New Roman" w:hAnsi="Times New Roman" w:cs="Times New Roman"/>
          <w:color w:val="000000"/>
          <w:spacing w:val="0"/>
          <w:w w:val="100"/>
          <w:position w:val="0"/>
        </w:rPr>
        <w:t>82%</w:t>
      </w:r>
      <w:r>
        <w:rPr>
          <w:color w:val="000000"/>
          <w:spacing w:val="0"/>
          <w:w w:val="100"/>
          <w:position w:val="0"/>
        </w:rPr>
        <w:t>，进一步 激发创新动能，通过各项举措推动公司的高质量发展。公司将继续秉承</w:t>
      </w:r>
      <w:r>
        <w:rPr>
          <w:rFonts w:ascii="Times New Roman" w:eastAsia="Times New Roman" w:hAnsi="Times New Roman" w:cs="Times New Roman"/>
          <w:color w:val="000000"/>
          <w:spacing w:val="0"/>
          <w:w w:val="100"/>
          <w:position w:val="0"/>
        </w:rPr>
        <w:t>“</w:t>
      </w:r>
      <w:r>
        <w:rPr>
          <w:color w:val="000000"/>
          <w:spacing w:val="0"/>
          <w:w w:val="100"/>
          <w:position w:val="0"/>
        </w:rPr>
        <w:t>平视城市，共享生命精彩</w:t>
      </w:r>
      <w:r>
        <w:rPr>
          <w:rFonts w:ascii="Times New Roman" w:eastAsia="Times New Roman" w:hAnsi="Times New Roman" w:cs="Times New Roman"/>
          <w:color w:val="000000"/>
          <w:spacing w:val="0"/>
          <w:w w:val="100"/>
          <w:position w:val="0"/>
        </w:rPr>
        <w:t>”</w:t>
      </w:r>
      <w:r>
        <w:rPr>
          <w:color w:val="000000"/>
          <w:spacing w:val="0"/>
          <w:w w:val="100"/>
          <w:position w:val="0"/>
        </w:rPr>
        <w:t>的愿景，坚定</w:t>
      </w:r>
      <w:r>
        <w:rPr>
          <w:rFonts w:ascii="Times New Roman" w:eastAsia="Times New Roman" w:hAnsi="Times New Roman" w:cs="Times New Roman"/>
          <w:color w:val="000000"/>
          <w:spacing w:val="0"/>
          <w:w w:val="100"/>
          <w:position w:val="0"/>
        </w:rPr>
        <w:t>“</w:t>
      </w:r>
      <w:r>
        <w:rPr>
          <w:color w:val="000000"/>
          <w:spacing w:val="0"/>
          <w:w w:val="100"/>
          <w:position w:val="0"/>
        </w:rPr>
        <w:t>中国绿色 城市价值创造者</w:t>
      </w:r>
      <w:r>
        <w:rPr>
          <w:rFonts w:ascii="Times New Roman" w:eastAsia="Times New Roman" w:hAnsi="Times New Roman" w:cs="Times New Roman"/>
          <w:color w:val="000000"/>
          <w:spacing w:val="0"/>
          <w:w w:val="100"/>
          <w:position w:val="0"/>
        </w:rPr>
        <w:t>”</w:t>
      </w:r>
      <w:r>
        <w:rPr>
          <w:color w:val="000000"/>
          <w:spacing w:val="0"/>
          <w:w w:val="100"/>
          <w:position w:val="0"/>
        </w:rPr>
        <w:t>的使命，以</w:t>
      </w:r>
      <w:r>
        <w:rPr>
          <w:rFonts w:ascii="Times New Roman" w:eastAsia="Times New Roman" w:hAnsi="Times New Roman" w:cs="Times New Roman"/>
          <w:color w:val="000000"/>
          <w:spacing w:val="0"/>
          <w:w w:val="100"/>
          <w:position w:val="0"/>
        </w:rPr>
        <w:t>“</w:t>
      </w:r>
      <w:r>
        <w:rPr>
          <w:color w:val="000000"/>
          <w:spacing w:val="0"/>
          <w:w w:val="100"/>
          <w:position w:val="0"/>
        </w:rPr>
        <w:t>国际化绿色城市科技产业集团</w:t>
      </w:r>
      <w:r>
        <w:rPr>
          <w:rFonts w:ascii="Times New Roman" w:eastAsia="Times New Roman" w:hAnsi="Times New Roman" w:cs="Times New Roman"/>
          <w:color w:val="000000"/>
          <w:spacing w:val="0"/>
          <w:w w:val="100"/>
          <w:position w:val="0"/>
        </w:rPr>
        <w:t>”</w:t>
      </w:r>
      <w:r>
        <w:rPr>
          <w:color w:val="000000"/>
          <w:spacing w:val="0"/>
          <w:w w:val="100"/>
          <w:position w:val="0"/>
        </w:rPr>
        <w:t>为发展方向，持续推进管理改革和业务创新。</w:t>
      </w:r>
    </w:p>
    <w:p>
      <w:pPr>
        <w:pStyle w:val="Style20"/>
        <w:keepNext w:val="0"/>
        <w:keepLines w:val="0"/>
        <w:widowControl w:val="0"/>
        <w:shd w:val="clear" w:color="auto" w:fill="auto"/>
        <w:tabs>
          <w:tab w:pos="328" w:val="left"/>
        </w:tabs>
        <w:bidi w:val="0"/>
        <w:spacing w:before="0" w:after="0"/>
        <w:ind w:left="0" w:right="0" w:firstLine="0"/>
        <w:jc w:val="left"/>
      </w:pPr>
      <w:bookmarkStart w:id="315" w:name="bookmark315"/>
      <w:r>
        <w:rPr>
          <w:rFonts w:ascii="Times New Roman" w:eastAsia="Times New Roman" w:hAnsi="Times New Roman" w:cs="Times New Roman"/>
          <w:color w:val="000000"/>
          <w:spacing w:val="0"/>
          <w:w w:val="100"/>
          <w:position w:val="0"/>
        </w:rPr>
        <w:t>6</w:t>
      </w:r>
      <w:bookmarkEnd w:id="315"/>
      <w:r>
        <w:rPr>
          <w:color w:val="000000"/>
          <w:spacing w:val="0"/>
          <w:w w:val="100"/>
          <w:position w:val="0"/>
        </w:rPr>
        <w:t>）</w:t>
        <w:tab/>
        <w:t>社会责任</w:t>
      </w:r>
    </w:p>
    <w:p>
      <w:pPr>
        <w:pStyle w:val="Style20"/>
        <w:keepNext w:val="0"/>
        <w:keepLines w:val="0"/>
        <w:widowControl w:val="0"/>
        <w:shd w:val="clear" w:color="auto" w:fill="auto"/>
        <w:bidi w:val="0"/>
        <w:spacing w:before="0" w:after="380" w:line="274" w:lineRule="exact"/>
        <w:ind w:left="0" w:right="0" w:firstLine="420"/>
        <w:jc w:val="both"/>
      </w:pPr>
      <w:r>
        <w:rPr>
          <w:color w:val="000000"/>
          <w:spacing w:val="0"/>
          <w:w w:val="100"/>
          <w:position w:val="0"/>
        </w:rPr>
        <w:t>有效履行各项社会责任，打造和提升企业形象。公司按照国家有关法律法规的规定，结合公司的实际情况，在安全管理、 质量管理、环境保护、节能环保和员工权益保护等方面制定完善了相关的管理制度。</w:t>
      </w:r>
    </w:p>
    <w:p>
      <w:pPr>
        <w:pStyle w:val="Style31"/>
        <w:keepNext/>
        <w:keepLines/>
        <w:widowControl w:val="0"/>
        <w:shd w:val="clear" w:color="auto" w:fill="auto"/>
        <w:bidi w:val="0"/>
        <w:spacing w:before="0" w:after="260" w:line="240" w:lineRule="auto"/>
        <w:ind w:left="0" w:right="0" w:firstLine="0"/>
        <w:jc w:val="left"/>
      </w:pPr>
      <w:bookmarkStart w:id="316" w:name="bookmark316"/>
      <w:bookmarkStart w:id="317" w:name="bookmark317"/>
      <w:bookmarkStart w:id="318" w:name="bookmark318"/>
      <w:bookmarkStart w:id="319" w:name="bookmark319"/>
      <w:r>
        <w:rPr>
          <w:rFonts w:ascii="Times New Roman" w:eastAsia="Times New Roman" w:hAnsi="Times New Roman" w:cs="Times New Roman"/>
          <w:color w:val="000000"/>
          <w:spacing w:val="0"/>
          <w:w w:val="100"/>
          <w:position w:val="0"/>
        </w:rPr>
        <w:t>2</w:t>
      </w:r>
      <w:bookmarkEnd w:id="318"/>
      <w:r>
        <w:rPr>
          <w:color w:val="000000"/>
          <w:spacing w:val="0"/>
          <w:w w:val="100"/>
          <w:position w:val="0"/>
        </w:rPr>
        <w:t>、报告期内发现的内部控制重大缺陷的具体情况</w:t>
      </w:r>
      <w:bookmarkEnd w:id="316"/>
      <w:bookmarkEnd w:id="317"/>
      <w:bookmarkEnd w:id="319"/>
    </w:p>
    <w:p>
      <w:pPr>
        <w:pStyle w:val="Style20"/>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十五、公司报告期内对子公司的管理控制情况</w:t>
      </w:r>
    </w:p>
    <w:tbl>
      <w:tblPr>
        <w:tblOverlap w:val="never"/>
        <w:jc w:val="center"/>
        <w:tblLayout w:type="fixed"/>
      </w:tblPr>
      <w:tblGrid>
        <w:gridCol w:w="1373"/>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整合计划</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后续解决计划</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4"/>
          <w:szCs w:val="24"/>
        </w:rPr>
        <w:t>十六、内部控制自我评价报告或内部控制审计报告</w:t>
      </w:r>
    </w:p>
    <w:p>
      <w:pPr>
        <w:pStyle w:val="Style31"/>
        <w:keepNext/>
        <w:keepLines/>
        <w:widowControl w:val="0"/>
        <w:shd w:val="clear" w:color="auto" w:fill="auto"/>
        <w:bidi w:val="0"/>
        <w:spacing w:before="0" w:after="340" w:line="240" w:lineRule="auto"/>
        <w:ind w:left="0" w:right="0" w:firstLine="0"/>
        <w:jc w:val="left"/>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1</w:t>
      </w:r>
      <w:bookmarkEnd w:id="322"/>
      <w:r>
        <w:rPr>
          <w:color w:val="000000"/>
          <w:spacing w:val="0"/>
          <w:w w:val="100"/>
          <w:position w:val="0"/>
        </w:rPr>
        <w:t>、内控自我评价报告</w:t>
      </w:r>
      <w:bookmarkEnd w:id="320"/>
      <w:bookmarkEnd w:id="321"/>
      <w:bookmarkEnd w:id="323"/>
    </w:p>
    <w:tbl>
      <w:tblPr>
        <w:tblOverlap w:val="never"/>
        <w:jc w:val="center"/>
        <w:tblLayout w:type="fixed"/>
      </w:tblPr>
      <w:tblGrid>
        <w:gridCol w:w="2947"/>
        <w:gridCol w:w="663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巨潮资讯网《公司</w:t>
            </w:r>
            <w:r>
              <w:rPr>
                <w:rFonts w:ascii="Times New Roman" w:eastAsia="Times New Roman" w:hAnsi="Times New Roman" w:cs="Times New Roman"/>
                <w:color w:val="000000"/>
                <w:spacing w:val="0"/>
                <w:w w:val="100"/>
                <w:position w:val="0"/>
              </w:rPr>
              <w:t>2021</w:t>
            </w:r>
            <w:r>
              <w:rPr>
                <w:color w:val="000000"/>
                <w:spacing w:val="0"/>
                <w:w w:val="100"/>
                <w:position w:val="0"/>
              </w:rPr>
              <w:t>年度内部控制自我评价报告》</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 并财务报表资产总额的比例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 并财务报表营业总收入的比例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缺陷认定标准</w:t>
      </w:r>
      <w:r>
        <w:rPr>
          <w:rFonts w:ascii="Times New Roman" w:eastAsia="Times New Roman" w:hAnsi="Times New Roman" w:cs="Times New Roman"/>
          <w:color w:val="000000"/>
          <w:spacing w:val="0"/>
          <w:w w:val="100"/>
          <w:position w:val="0"/>
        </w:rPr>
        <w:t>:</w:t>
      </w:r>
    </w:p>
    <w:p>
      <w:pPr>
        <w:widowControl w:val="0"/>
        <w:spacing w:after="39" w:line="1" w:lineRule="exact"/>
      </w:pPr>
    </w:p>
    <w:p>
      <w:pPr>
        <w:widowControl w:val="0"/>
        <w:spacing w:line="1" w:lineRule="exact"/>
      </w:pPr>
    </w:p>
    <w:tbl>
      <w:tblPr>
        <w:tblOverlap w:val="never"/>
        <w:jc w:val="center"/>
        <w:tblLayout w:type="fixed"/>
      </w:tblPr>
      <w:tblGrid>
        <w:gridCol w:w="566"/>
        <w:gridCol w:w="5246"/>
        <w:gridCol w:w="3830"/>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180" w:right="0" w:firstLine="0"/>
              <w:jc w:val="left"/>
            </w:pPr>
            <w:r>
              <w:rPr>
                <w:color w:val="000000"/>
                <w:spacing w:val="0"/>
                <w:w w:val="100"/>
                <w:position w:val="0"/>
              </w:rPr>
              <w:t>类 别</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非财务报告</w:t>
            </w:r>
          </w:p>
        </w:tc>
      </w:tr>
      <w:tr>
        <w:trPr>
          <w:trHeight w:val="364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6" w:lineRule="exact"/>
              <w:ind w:left="180" w:right="0" w:firstLine="0"/>
              <w:jc w:val="left"/>
            </w:pPr>
            <w:r>
              <w:rPr>
                <w:color w:val="000000"/>
                <w:spacing w:val="0"/>
                <w:w w:val="100"/>
                <w:position w:val="0"/>
              </w:rPr>
              <w:t>定 性 标 准</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财务报告缺陷定性标准认定，主要以缺陷造成财务报告错报的影 响程度、发生的可能性作判定：</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重大缺陷：内部控制中存在的、可能导致不能及时防止或发 现并纠正财务报表重大错报的一个或多个内部控制缺陷的组合；</w:t>
            </w:r>
          </w:p>
          <w:p>
            <w:pPr>
              <w:pStyle w:val="Style23"/>
              <w:keepNext w:val="0"/>
              <w:keepLines w:val="0"/>
              <w:widowControl w:val="0"/>
              <w:shd w:val="clear" w:color="auto" w:fill="auto"/>
              <w:tabs>
                <w:tab w:pos="451" w:val="left"/>
              </w:tabs>
              <w:bidi w:val="0"/>
              <w:spacing w:before="0" w:after="0" w:line="31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重要缺陷：内部控制中存在的、其严重程度不如重大缺陷， 但仍足以引起企业财务报告监督人员关注的一个或多个内部控 制缺陷的组合；</w:t>
            </w:r>
          </w:p>
          <w:p>
            <w:pPr>
              <w:pStyle w:val="Style23"/>
              <w:keepNext w:val="0"/>
              <w:keepLines w:val="0"/>
              <w:widowControl w:val="0"/>
              <w:shd w:val="clear" w:color="auto" w:fill="auto"/>
              <w:tabs>
                <w:tab w:pos="355"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一般缺陷：是指除重大缺陷、重要缺陷之外的其他缺陷。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317" w:lineRule="exact"/>
              <w:ind w:left="0" w:right="0" w:firstLine="0"/>
              <w:jc w:val="both"/>
            </w:pPr>
            <w:r>
              <w:rPr>
                <w:color w:val="000000"/>
                <w:spacing w:val="0"/>
                <w:w w:val="100"/>
                <w:position w:val="0"/>
              </w:rPr>
              <w:t>财务报告缺陷定性标准认定，主要以缺陷对业 务流程有效性的影响程度、发生的可能性作判</w:t>
            </w:r>
          </w:p>
          <w:p>
            <w:pPr>
              <w:pStyle w:val="Style23"/>
              <w:keepNext w:val="0"/>
              <w:keepLines w:val="0"/>
              <w:widowControl w:val="0"/>
              <w:shd w:val="clear" w:color="auto" w:fill="auto"/>
              <w:bidi w:val="0"/>
              <w:spacing w:before="0" w:after="60" w:line="317" w:lineRule="exact"/>
              <w:ind w:left="0" w:right="0" w:firstLine="0"/>
              <w:jc w:val="left"/>
            </w:pPr>
            <w:r>
              <w:rPr>
                <w:color w:val="000000"/>
                <w:spacing w:val="0"/>
                <w:w w:val="100"/>
                <w:position w:val="0"/>
              </w:rPr>
              <w:t>定：</w:t>
            </w:r>
          </w:p>
          <w:p>
            <w:pPr>
              <w:pStyle w:val="Style23"/>
              <w:keepNext w:val="0"/>
              <w:keepLines w:val="0"/>
              <w:widowControl w:val="0"/>
              <w:shd w:val="clear" w:color="auto" w:fill="auto"/>
              <w:tabs>
                <w:tab w:pos="394"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重大缺陷：是指一个或多个内部控制缺陷 的组合，可能导致公司严重偏离整体控制目标 的情形；</w:t>
            </w:r>
          </w:p>
          <w:p>
            <w:pPr>
              <w:pStyle w:val="Style23"/>
              <w:keepNext w:val="0"/>
              <w:keepLines w:val="0"/>
              <w:widowControl w:val="0"/>
              <w:shd w:val="clear" w:color="auto" w:fill="auto"/>
              <w:tabs>
                <w:tab w:pos="413"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重要缺陷：是指一个或多个内部控制缺陷 的组合，其严重程度和经济后果低于重大缺陷， 但仍有可能导致公司偏离控制目标；</w:t>
            </w:r>
          </w:p>
          <w:p>
            <w:pPr>
              <w:pStyle w:val="Style23"/>
              <w:keepNext w:val="0"/>
              <w:keepLines w:val="0"/>
              <w:widowControl w:val="0"/>
              <w:shd w:val="clear" w:color="auto" w:fill="auto"/>
              <w:bidi w:val="0"/>
              <w:spacing w:before="0" w:after="4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 一般缺陷：是指除重大缺陷、重要缺陷之 外的其他缺陷。</w:t>
            </w:r>
          </w:p>
        </w:tc>
      </w:tr>
      <w:tr>
        <w:trPr>
          <w:trHeight w:val="396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4" w:lineRule="exact"/>
              <w:ind w:left="0" w:right="0" w:firstLine="0"/>
              <w:jc w:val="left"/>
            </w:pPr>
            <w:r>
              <w:rPr>
                <w:color w:val="000000"/>
                <w:spacing w:val="0"/>
                <w:w w:val="100"/>
                <w:position w:val="0"/>
              </w:rPr>
              <w:t>定 量 标 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98" w:lineRule="exact"/>
              <w:ind w:left="0" w:right="0" w:firstLine="0"/>
              <w:jc w:val="both"/>
            </w:pPr>
            <w:r>
              <w:rPr>
                <w:color w:val="000000"/>
                <w:spacing w:val="0"/>
                <w:w w:val="100"/>
                <w:position w:val="0"/>
              </w:rPr>
              <w:t>以合并报表数据为基准，确定公司合并报表错报（包括漏报）重 要程度的定量标准：</w:t>
            </w:r>
          </w:p>
          <w:p>
            <w:pPr>
              <w:pStyle w:val="Style23"/>
              <w:keepNext w:val="0"/>
              <w:keepLines w:val="0"/>
              <w:widowControl w:val="0"/>
              <w:shd w:val="clear" w:color="auto" w:fill="auto"/>
              <w:tabs>
                <w:tab w:pos="442" w:val="left"/>
              </w:tabs>
              <w:bidi w:val="0"/>
              <w:spacing w:before="0" w:after="4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重大缺陷：资产总额潜在错漏大于资产总额的</w:t>
            </w:r>
            <w:r>
              <w:rPr>
                <w:rFonts w:ascii="Times New Roman" w:eastAsia="Times New Roman" w:hAnsi="Times New Roman" w:cs="Times New Roman"/>
                <w:color w:val="000000"/>
                <w:spacing w:val="0"/>
                <w:w w:val="100"/>
                <w:position w:val="0"/>
              </w:rPr>
              <w:t>2%</w:t>
            </w:r>
            <w:r>
              <w:rPr>
                <w:color w:val="000000"/>
                <w:spacing w:val="0"/>
                <w:w w:val="100"/>
                <w:position w:val="0"/>
              </w:rPr>
              <w:t>或</w:t>
            </w:r>
            <w:r>
              <w:rPr>
                <w:rFonts w:ascii="Times New Roman" w:eastAsia="Times New Roman" w:hAnsi="Times New Roman" w:cs="Times New Roman"/>
                <w:color w:val="000000"/>
                <w:spacing w:val="0"/>
                <w:w w:val="100"/>
                <w:position w:val="0"/>
              </w:rPr>
              <w:t>800</w:t>
            </w:r>
            <w:r>
              <w:rPr>
                <w:color w:val="000000"/>
                <w:spacing w:val="0"/>
                <w:w w:val="100"/>
                <w:position w:val="0"/>
              </w:rPr>
              <w:t>万 元（含）；收入潜在错漏大于收入总额的</w:t>
            </w:r>
            <w:r>
              <w:rPr>
                <w:rFonts w:ascii="Times New Roman" w:eastAsia="Times New Roman" w:hAnsi="Times New Roman" w:cs="Times New Roman"/>
                <w:color w:val="000000"/>
                <w:spacing w:val="0"/>
                <w:w w:val="100"/>
                <w:position w:val="0"/>
              </w:rPr>
              <w:t>2%</w:t>
            </w:r>
            <w:r>
              <w:rPr>
                <w:color w:val="000000"/>
                <w:spacing w:val="0"/>
                <w:w w:val="100"/>
                <w:position w:val="0"/>
              </w:rPr>
              <w:t>或</w:t>
            </w:r>
            <w:r>
              <w:rPr>
                <w:rFonts w:ascii="Times New Roman" w:eastAsia="Times New Roman" w:hAnsi="Times New Roman" w:cs="Times New Roman"/>
                <w:color w:val="000000"/>
                <w:spacing w:val="0"/>
                <w:w w:val="100"/>
                <w:position w:val="0"/>
              </w:rPr>
              <w:t>600</w:t>
            </w:r>
            <w:r>
              <w:rPr>
                <w:color w:val="000000"/>
                <w:spacing w:val="0"/>
                <w:w w:val="100"/>
                <w:position w:val="0"/>
              </w:rPr>
              <w:t>万元（含）； 利润总额潜在错漏大于利润总额的</w:t>
            </w:r>
            <w:r>
              <w:rPr>
                <w:rFonts w:ascii="Times New Roman" w:eastAsia="Times New Roman" w:hAnsi="Times New Roman" w:cs="Times New Roman"/>
                <w:color w:val="000000"/>
                <w:spacing w:val="0"/>
                <w:w w:val="100"/>
                <w:position w:val="0"/>
              </w:rPr>
              <w:t>3%</w:t>
            </w:r>
            <w:r>
              <w:rPr>
                <w:color w:val="000000"/>
                <w:spacing w:val="0"/>
                <w:w w:val="100"/>
                <w:position w:val="0"/>
              </w:rPr>
              <w:t>或</w:t>
            </w:r>
            <w:r>
              <w:rPr>
                <w:rFonts w:ascii="Times New Roman" w:eastAsia="Times New Roman" w:hAnsi="Times New Roman" w:cs="Times New Roman"/>
                <w:color w:val="000000"/>
                <w:spacing w:val="0"/>
                <w:w w:val="100"/>
                <w:position w:val="0"/>
              </w:rPr>
              <w:t>100</w:t>
            </w:r>
            <w:r>
              <w:rPr>
                <w:color w:val="000000"/>
                <w:spacing w:val="0"/>
                <w:w w:val="100"/>
                <w:position w:val="0"/>
              </w:rPr>
              <w:t>万元（含）；</w:t>
            </w:r>
          </w:p>
          <w:p>
            <w:pPr>
              <w:pStyle w:val="Style23"/>
              <w:keepNext w:val="0"/>
              <w:keepLines w:val="0"/>
              <w:widowControl w:val="0"/>
              <w:shd w:val="clear" w:color="auto" w:fill="auto"/>
              <w:tabs>
                <w:tab w:pos="442" w:val="left"/>
              </w:tabs>
              <w:bidi w:val="0"/>
              <w:spacing w:before="0" w:after="4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重要缺陷：资产总额潜在错漏大于资产总额的</w:t>
            </w:r>
            <w:r>
              <w:rPr>
                <w:rFonts w:ascii="Times New Roman" w:eastAsia="Times New Roman" w:hAnsi="Times New Roman" w:cs="Times New Roman"/>
                <w:color w:val="000000"/>
                <w:spacing w:val="0"/>
                <w:w w:val="100"/>
                <w:position w:val="0"/>
              </w:rPr>
              <w:t>1%</w:t>
            </w:r>
            <w:r>
              <w:rPr>
                <w:color w:val="000000"/>
                <w:spacing w:val="0"/>
                <w:w w:val="100"/>
                <w:position w:val="0"/>
              </w:rPr>
              <w:t>或</w:t>
            </w:r>
            <w:r>
              <w:rPr>
                <w:rFonts w:ascii="Times New Roman" w:eastAsia="Times New Roman" w:hAnsi="Times New Roman" w:cs="Times New Roman"/>
                <w:color w:val="000000"/>
                <w:spacing w:val="0"/>
                <w:w w:val="100"/>
                <w:position w:val="0"/>
              </w:rPr>
              <w:t>400</w:t>
            </w:r>
            <w:r>
              <w:rPr>
                <w:color w:val="000000"/>
                <w:spacing w:val="0"/>
                <w:w w:val="100"/>
                <w:position w:val="0"/>
              </w:rPr>
              <w:t>万 元（含）且小于</w:t>
            </w:r>
            <w:r>
              <w:rPr>
                <w:rFonts w:ascii="Times New Roman" w:eastAsia="Times New Roman" w:hAnsi="Times New Roman" w:cs="Times New Roman"/>
                <w:color w:val="000000"/>
                <w:spacing w:val="0"/>
                <w:w w:val="100"/>
                <w:position w:val="0"/>
              </w:rPr>
              <w:t>2%</w:t>
            </w:r>
            <w:r>
              <w:rPr>
                <w:color w:val="000000"/>
                <w:spacing w:val="0"/>
                <w:w w:val="100"/>
                <w:position w:val="0"/>
              </w:rPr>
              <w:t>或</w:t>
            </w:r>
            <w:r>
              <w:rPr>
                <w:rFonts w:ascii="Times New Roman" w:eastAsia="Times New Roman" w:hAnsi="Times New Roman" w:cs="Times New Roman"/>
                <w:color w:val="000000"/>
                <w:spacing w:val="0"/>
                <w:w w:val="100"/>
                <w:position w:val="0"/>
              </w:rPr>
              <w:t>800</w:t>
            </w:r>
            <w:r>
              <w:rPr>
                <w:color w:val="000000"/>
                <w:spacing w:val="0"/>
                <w:w w:val="100"/>
                <w:position w:val="0"/>
              </w:rPr>
              <w:t>万元；收入潜在错漏大于收入总额</w:t>
            </w:r>
            <w:r>
              <w:rPr>
                <w:rFonts w:ascii="Times New Roman" w:eastAsia="Times New Roman" w:hAnsi="Times New Roman" w:cs="Times New Roman"/>
                <w:color w:val="000000"/>
                <w:spacing w:val="0"/>
                <w:w w:val="100"/>
                <w:position w:val="0"/>
              </w:rPr>
              <w:t xml:space="preserve">1% </w:t>
            </w:r>
            <w:r>
              <w:rPr>
                <w:color w:val="000000"/>
                <w:spacing w:val="0"/>
                <w:w w:val="100"/>
                <w:position w:val="0"/>
              </w:rPr>
              <w:t>或</w:t>
            </w:r>
            <w:r>
              <w:rPr>
                <w:rFonts w:ascii="Times New Roman" w:eastAsia="Times New Roman" w:hAnsi="Times New Roman" w:cs="Times New Roman"/>
                <w:color w:val="000000"/>
                <w:spacing w:val="0"/>
                <w:w w:val="100"/>
                <w:position w:val="0"/>
              </w:rPr>
              <w:t>300</w:t>
            </w:r>
            <w:r>
              <w:rPr>
                <w:color w:val="000000"/>
                <w:spacing w:val="0"/>
                <w:w w:val="100"/>
                <w:position w:val="0"/>
              </w:rPr>
              <w:t>万元（含）且小于</w:t>
            </w:r>
            <w:r>
              <w:rPr>
                <w:rFonts w:ascii="Times New Roman" w:eastAsia="Times New Roman" w:hAnsi="Times New Roman" w:cs="Times New Roman"/>
                <w:color w:val="000000"/>
                <w:spacing w:val="0"/>
                <w:w w:val="100"/>
                <w:position w:val="0"/>
              </w:rPr>
              <w:t>2%</w:t>
            </w:r>
            <w:r>
              <w:rPr>
                <w:color w:val="000000"/>
                <w:spacing w:val="0"/>
                <w:w w:val="100"/>
                <w:position w:val="0"/>
              </w:rPr>
              <w:t>或</w:t>
            </w:r>
            <w:r>
              <w:rPr>
                <w:rFonts w:ascii="Times New Roman" w:eastAsia="Times New Roman" w:hAnsi="Times New Roman" w:cs="Times New Roman"/>
                <w:color w:val="000000"/>
                <w:spacing w:val="0"/>
                <w:w w:val="100"/>
                <w:position w:val="0"/>
              </w:rPr>
              <w:t>600</w:t>
            </w:r>
            <w:r>
              <w:rPr>
                <w:color w:val="000000"/>
                <w:spacing w:val="0"/>
                <w:w w:val="100"/>
                <w:position w:val="0"/>
              </w:rPr>
              <w:t>万元；利润总额潜在错漏大 于利润总额的</w:t>
            </w:r>
            <w:r>
              <w:rPr>
                <w:rFonts w:ascii="Times New Roman" w:eastAsia="Times New Roman" w:hAnsi="Times New Roman" w:cs="Times New Roman"/>
                <w:color w:val="000000"/>
                <w:spacing w:val="0"/>
                <w:w w:val="100"/>
                <w:position w:val="0"/>
              </w:rPr>
              <w:t>1.5%</w:t>
            </w:r>
            <w:r>
              <w:rPr>
                <w:color w:val="000000"/>
                <w:spacing w:val="0"/>
                <w:w w:val="100"/>
                <w:position w:val="0"/>
              </w:rPr>
              <w:t>或</w:t>
            </w:r>
            <w:r>
              <w:rPr>
                <w:rFonts w:ascii="Times New Roman" w:eastAsia="Times New Roman" w:hAnsi="Times New Roman" w:cs="Times New Roman"/>
                <w:color w:val="000000"/>
                <w:spacing w:val="0"/>
                <w:w w:val="100"/>
                <w:position w:val="0"/>
              </w:rPr>
              <w:t>50</w:t>
            </w:r>
            <w:r>
              <w:rPr>
                <w:color w:val="000000"/>
                <w:spacing w:val="0"/>
                <w:w w:val="100"/>
                <w:position w:val="0"/>
              </w:rPr>
              <w:t>万元（含）且小于</w:t>
            </w:r>
            <w:r>
              <w:rPr>
                <w:rFonts w:ascii="Times New Roman" w:eastAsia="Times New Roman" w:hAnsi="Times New Roman" w:cs="Times New Roman"/>
                <w:color w:val="000000"/>
                <w:spacing w:val="0"/>
                <w:w w:val="100"/>
                <w:position w:val="0"/>
              </w:rPr>
              <w:t>3%</w:t>
            </w:r>
            <w:r>
              <w:rPr>
                <w:color w:val="000000"/>
                <w:spacing w:val="0"/>
                <w:w w:val="100"/>
                <w:position w:val="0"/>
              </w:rPr>
              <w:t>或</w:t>
            </w:r>
            <w:r>
              <w:rPr>
                <w:rFonts w:ascii="Times New Roman" w:eastAsia="Times New Roman" w:hAnsi="Times New Roman" w:cs="Times New Roman"/>
                <w:color w:val="000000"/>
                <w:spacing w:val="0"/>
                <w:w w:val="100"/>
                <w:position w:val="0"/>
              </w:rPr>
              <w:t>100</w:t>
            </w:r>
            <w:r>
              <w:rPr>
                <w:color w:val="000000"/>
                <w:spacing w:val="0"/>
                <w:w w:val="100"/>
                <w:position w:val="0"/>
              </w:rPr>
              <w:t>万元；</w:t>
            </w:r>
          </w:p>
          <w:p>
            <w:pPr>
              <w:pStyle w:val="Style23"/>
              <w:keepNext w:val="0"/>
              <w:keepLines w:val="0"/>
              <w:widowControl w:val="0"/>
              <w:shd w:val="clear" w:color="auto" w:fill="auto"/>
              <w:tabs>
                <w:tab w:pos="442" w:val="left"/>
              </w:tabs>
              <w:bidi w:val="0"/>
              <w:spacing w:before="0" w:after="4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一般缺陷：资产总额潜在错漏小于资产总额的</w:t>
            </w:r>
            <w:r>
              <w:rPr>
                <w:rFonts w:ascii="Times New Roman" w:eastAsia="Times New Roman" w:hAnsi="Times New Roman" w:cs="Times New Roman"/>
                <w:color w:val="000000"/>
                <w:spacing w:val="0"/>
                <w:w w:val="100"/>
                <w:position w:val="0"/>
              </w:rPr>
              <w:t>1%</w:t>
            </w:r>
            <w:r>
              <w:rPr>
                <w:color w:val="000000"/>
                <w:spacing w:val="0"/>
                <w:w w:val="100"/>
                <w:position w:val="0"/>
              </w:rPr>
              <w:t>或</w:t>
            </w:r>
            <w:r>
              <w:rPr>
                <w:rFonts w:ascii="Times New Roman" w:eastAsia="Times New Roman" w:hAnsi="Times New Roman" w:cs="Times New Roman"/>
                <w:color w:val="000000"/>
                <w:spacing w:val="0"/>
                <w:w w:val="100"/>
                <w:position w:val="0"/>
              </w:rPr>
              <w:t>400</w:t>
            </w:r>
            <w:r>
              <w:rPr>
                <w:color w:val="000000"/>
                <w:spacing w:val="0"/>
                <w:w w:val="100"/>
                <w:position w:val="0"/>
              </w:rPr>
              <w:t>万 元；收入潜在错漏小于收入总额</w:t>
            </w:r>
            <w:r>
              <w:rPr>
                <w:rFonts w:ascii="Times New Roman" w:eastAsia="Times New Roman" w:hAnsi="Times New Roman" w:cs="Times New Roman"/>
                <w:color w:val="000000"/>
                <w:spacing w:val="0"/>
                <w:w w:val="100"/>
                <w:position w:val="0"/>
              </w:rPr>
              <w:t>1%</w:t>
            </w:r>
            <w:r>
              <w:rPr>
                <w:color w:val="000000"/>
                <w:spacing w:val="0"/>
                <w:w w:val="100"/>
                <w:position w:val="0"/>
              </w:rPr>
              <w:t>或</w:t>
            </w:r>
            <w:r>
              <w:rPr>
                <w:rFonts w:ascii="Times New Roman" w:eastAsia="Times New Roman" w:hAnsi="Times New Roman" w:cs="Times New Roman"/>
                <w:color w:val="000000"/>
                <w:spacing w:val="0"/>
                <w:w w:val="100"/>
                <w:position w:val="0"/>
              </w:rPr>
              <w:t>300</w:t>
            </w:r>
            <w:r>
              <w:rPr>
                <w:color w:val="000000"/>
                <w:spacing w:val="0"/>
                <w:w w:val="100"/>
                <w:position w:val="0"/>
              </w:rPr>
              <w:t>万元；利润总额潜在 错漏小于利润总额的</w:t>
            </w:r>
            <w:r>
              <w:rPr>
                <w:rFonts w:ascii="Times New Roman" w:eastAsia="Times New Roman" w:hAnsi="Times New Roman" w:cs="Times New Roman"/>
                <w:color w:val="000000"/>
                <w:spacing w:val="0"/>
                <w:w w:val="100"/>
                <w:position w:val="0"/>
              </w:rPr>
              <w:t>1.5%</w:t>
            </w:r>
            <w:r>
              <w:rPr>
                <w:color w:val="000000"/>
                <w:spacing w:val="0"/>
                <w:w w:val="100"/>
                <w:position w:val="0"/>
              </w:rPr>
              <w:t>或</w:t>
            </w:r>
            <w:r>
              <w:rPr>
                <w:rFonts w:ascii="Times New Roman" w:eastAsia="Times New Roman" w:hAnsi="Times New Roman" w:cs="Times New Roman"/>
                <w:color w:val="000000"/>
                <w:spacing w:val="0"/>
                <w:w w:val="100"/>
                <w:position w:val="0"/>
              </w:rPr>
              <w:t>50</w:t>
            </w:r>
            <w:r>
              <w:rPr>
                <w:color w:val="000000"/>
                <w:spacing w:val="0"/>
                <w:w w:val="100"/>
                <w:position w:val="0"/>
              </w:rPr>
              <w:t>万元。</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100" w:after="100" w:line="240" w:lineRule="auto"/>
              <w:ind w:left="0" w:right="0" w:firstLine="0"/>
              <w:jc w:val="both"/>
            </w:pPr>
            <w:r>
              <w:rPr>
                <w:color w:val="000000"/>
                <w:spacing w:val="0"/>
                <w:w w:val="100"/>
                <w:position w:val="0"/>
              </w:rPr>
              <w:t>以给公司造成的直接损失金额及重大影响程度</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为基准，确定公司缺陷重要程度的定量标准：</w:t>
            </w:r>
          </w:p>
          <w:p>
            <w:pPr>
              <w:pStyle w:val="Style23"/>
              <w:keepNext w:val="0"/>
              <w:keepLines w:val="0"/>
              <w:widowControl w:val="0"/>
              <w:shd w:val="clear" w:color="auto" w:fill="auto"/>
              <w:tabs>
                <w:tab w:pos="355" w:val="left"/>
              </w:tabs>
              <w:bidi w:val="0"/>
              <w:spacing w:before="0" w:after="10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重大缺陷：直接财产损失</w:t>
            </w:r>
            <w:r>
              <w:rPr>
                <w:rFonts w:ascii="Times New Roman" w:eastAsia="Times New Roman" w:hAnsi="Times New Roman" w:cs="Times New Roman"/>
                <w:color w:val="000000"/>
                <w:spacing w:val="0"/>
                <w:w w:val="100"/>
                <w:position w:val="0"/>
              </w:rPr>
              <w:t>100</w:t>
            </w:r>
            <w:r>
              <w:rPr>
                <w:color w:val="000000"/>
                <w:spacing w:val="0"/>
                <w:w w:val="100"/>
                <w:position w:val="0"/>
              </w:rPr>
              <w:t>万元（含）</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以上；</w:t>
            </w:r>
          </w:p>
          <w:p>
            <w:pPr>
              <w:pStyle w:val="Style23"/>
              <w:keepNext w:val="0"/>
              <w:keepLines w:val="0"/>
              <w:widowControl w:val="0"/>
              <w:shd w:val="clear" w:color="auto" w:fill="auto"/>
              <w:tabs>
                <w:tab w:pos="355" w:val="left"/>
              </w:tabs>
              <w:bidi w:val="0"/>
              <w:spacing w:before="0" w:after="10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重要缺陷：直接财产损失</w:t>
            </w:r>
            <w:r>
              <w:rPr>
                <w:rFonts w:ascii="Times New Roman" w:eastAsia="Times New Roman" w:hAnsi="Times New Roman" w:cs="Times New Roman"/>
                <w:color w:val="000000"/>
                <w:spacing w:val="0"/>
                <w:w w:val="100"/>
                <w:position w:val="0"/>
              </w:rPr>
              <w:t>50</w:t>
            </w:r>
            <w:r>
              <w:rPr>
                <w:color w:val="000000"/>
                <w:spacing w:val="0"/>
                <w:w w:val="100"/>
                <w:position w:val="0"/>
              </w:rPr>
              <w:t>万元（含）</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至</w:t>
            </w:r>
            <w:r>
              <w:rPr>
                <w:rFonts w:ascii="Times New Roman" w:eastAsia="Times New Roman" w:hAnsi="Times New Roman" w:cs="Times New Roman"/>
                <w:color w:val="000000"/>
                <w:spacing w:val="0"/>
                <w:w w:val="100"/>
                <w:position w:val="0"/>
              </w:rPr>
              <w:t>100</w:t>
            </w:r>
            <w:r>
              <w:rPr>
                <w:color w:val="000000"/>
                <w:spacing w:val="0"/>
                <w:w w:val="100"/>
                <w:position w:val="0"/>
              </w:rPr>
              <w:t>万元；</w:t>
            </w:r>
          </w:p>
          <w:p>
            <w:pPr>
              <w:pStyle w:val="Style23"/>
              <w:keepNext w:val="0"/>
              <w:keepLines w:val="0"/>
              <w:widowControl w:val="0"/>
              <w:shd w:val="clear" w:color="auto" w:fill="auto"/>
              <w:tabs>
                <w:tab w:pos="355" w:val="left"/>
              </w:tabs>
              <w:bidi w:val="0"/>
              <w:spacing w:before="0" w:after="10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一般缺陷：直接财产损失</w:t>
            </w:r>
            <w:r>
              <w:rPr>
                <w:rFonts w:ascii="Times New Roman" w:eastAsia="Times New Roman" w:hAnsi="Times New Roman" w:cs="Times New Roman"/>
                <w:color w:val="000000"/>
                <w:spacing w:val="0"/>
                <w:w w:val="100"/>
                <w:position w:val="0"/>
              </w:rPr>
              <w:t>50</w:t>
            </w:r>
            <w:r>
              <w:rPr>
                <w:color w:val="000000"/>
                <w:spacing w:val="0"/>
                <w:w w:val="100"/>
                <w:position w:val="0"/>
              </w:rPr>
              <w:t>万元以下。</w:t>
            </w:r>
          </w:p>
        </w:tc>
      </w:tr>
    </w:tbl>
    <w:p>
      <w:pPr>
        <w:pStyle w:val="Style20"/>
        <w:keepNext w:val="0"/>
        <w:keepLines w:val="0"/>
        <w:widowControl w:val="0"/>
        <w:shd w:val="clear" w:color="auto" w:fill="auto"/>
        <w:bidi w:val="0"/>
        <w:spacing w:before="0" w:after="340" w:line="352" w:lineRule="exact"/>
        <w:ind w:left="0" w:right="0" w:firstLine="0"/>
        <w:jc w:val="left"/>
      </w:pPr>
      <w:r>
        <w:rPr>
          <w:color w:val="000000"/>
          <w:spacing w:val="0"/>
          <w:w w:val="100"/>
          <w:position w:val="0"/>
        </w:rPr>
        <w:t>财务报告重大缺陷数量（个）：</w:t>
      </w:r>
      <w:r>
        <w:rPr>
          <w:rFonts w:ascii="Times New Roman" w:eastAsia="Times New Roman" w:hAnsi="Times New Roman" w:cs="Times New Roman"/>
          <w:color w:val="000000"/>
          <w:spacing w:val="0"/>
          <w:w w:val="100"/>
          <w:position w:val="0"/>
        </w:rPr>
        <w:t xml:space="preserve">0 </w:t>
      </w:r>
      <w:r>
        <w:rPr>
          <w:color w:val="000000"/>
          <w:spacing w:val="0"/>
          <w:w w:val="100"/>
          <w:position w:val="0"/>
        </w:rPr>
        <w:t>非财务报告重大缺陷数量（个）：</w:t>
      </w:r>
      <w:r>
        <w:rPr>
          <w:rFonts w:ascii="Times New Roman" w:eastAsia="Times New Roman" w:hAnsi="Times New Roman" w:cs="Times New Roman"/>
          <w:color w:val="000000"/>
          <w:spacing w:val="0"/>
          <w:w w:val="100"/>
          <w:position w:val="0"/>
        </w:rPr>
        <w:t xml:space="preserve">0 </w:t>
      </w:r>
      <w:r>
        <w:rPr>
          <w:color w:val="000000"/>
          <w:spacing w:val="0"/>
          <w:w w:val="100"/>
          <w:position w:val="0"/>
        </w:rPr>
        <w:t>财务报告重要缺陷数量（个）：</w:t>
      </w:r>
      <w:r>
        <w:rPr>
          <w:rFonts w:ascii="Times New Roman" w:eastAsia="Times New Roman" w:hAnsi="Times New Roman" w:cs="Times New Roman"/>
          <w:color w:val="000000"/>
          <w:spacing w:val="0"/>
          <w:w w:val="100"/>
          <w:position w:val="0"/>
        </w:rPr>
        <w:t xml:space="preserve">0 </w:t>
      </w:r>
      <w:r>
        <w:rPr>
          <w:color w:val="000000"/>
          <w:spacing w:val="0"/>
          <w:w w:val="100"/>
          <w:position w:val="0"/>
        </w:rPr>
        <w:t>非财务报告重要缺陷数量（个）：</w:t>
      </w:r>
      <w:r>
        <w:rPr>
          <w:rFonts w:ascii="Times New Roman" w:eastAsia="Times New Roman" w:hAnsi="Times New Roman" w:cs="Times New Roman"/>
          <w:color w:val="000000"/>
          <w:spacing w:val="0"/>
          <w:w w:val="100"/>
          <w:position w:val="0"/>
        </w:rPr>
        <w:t>0</w:t>
      </w:r>
    </w:p>
    <w:p>
      <w:pPr>
        <w:pStyle w:val="Style31"/>
        <w:keepNext/>
        <w:keepLines/>
        <w:widowControl w:val="0"/>
        <w:shd w:val="clear" w:color="auto" w:fill="auto"/>
        <w:bidi w:val="0"/>
        <w:spacing w:before="0" w:after="280" w:line="240" w:lineRule="auto"/>
        <w:ind w:left="0" w:right="0" w:firstLine="0"/>
        <w:jc w:val="both"/>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2</w:t>
      </w:r>
      <w:bookmarkEnd w:id="326"/>
      <w:r>
        <w:rPr>
          <w:color w:val="000000"/>
          <w:spacing w:val="0"/>
          <w:w w:val="100"/>
          <w:position w:val="0"/>
        </w:rPr>
        <w:t>、内部控制审计报告或鉴证报告</w:t>
      </w:r>
      <w:bookmarkEnd w:id="324"/>
      <w:bookmarkEnd w:id="325"/>
      <w:bookmarkEnd w:id="327"/>
    </w:p>
    <w:p>
      <w:pPr>
        <w:pStyle w:val="Style20"/>
        <w:keepNext w:val="0"/>
        <w:keepLines w:val="0"/>
        <w:widowControl w:val="0"/>
        <w:shd w:val="clear" w:color="auto" w:fill="auto"/>
        <w:bidi w:val="0"/>
        <w:spacing w:before="0" w:after="360" w:line="314" w:lineRule="exact"/>
        <w:ind w:left="0" w:right="0" w:firstLine="0"/>
        <w:jc w:val="both"/>
      </w:pPr>
      <w:r>
        <w:rPr>
          <w:color w:val="000000"/>
          <w:spacing w:val="0"/>
          <w:w w:val="100"/>
          <w:position w:val="0"/>
        </w:rPr>
        <w:t>不适用</w:t>
      </w:r>
    </w:p>
    <w:p>
      <w:pPr>
        <w:pStyle w:val="Style26"/>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rPr>
        <w:t>十七、上市公司治理专项行动自查问题整改情况</w:t>
      </w:r>
    </w:p>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公司根据深圳证监局要求，对照《上市公司治理专项自查清单》相关要求，组织相关部门对公司治理问题进行自查，系统 梳理</w:t>
      </w:r>
      <w:r>
        <w:rPr>
          <w:rFonts w:ascii="Times New Roman" w:eastAsia="Times New Roman" w:hAnsi="Times New Roman" w:cs="Times New Roman"/>
          <w:color w:val="000000"/>
          <w:spacing w:val="0"/>
          <w:w w:val="100"/>
          <w:position w:val="0"/>
        </w:rPr>
        <w:t>2018</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和</w:t>
      </w:r>
      <w:r>
        <w:rPr>
          <w:rFonts w:ascii="Times New Roman" w:eastAsia="Times New Roman" w:hAnsi="Times New Roman" w:cs="Times New Roman"/>
          <w:color w:val="000000"/>
          <w:spacing w:val="0"/>
          <w:w w:val="100"/>
          <w:position w:val="0"/>
        </w:rPr>
        <w:t>2020</w:t>
      </w:r>
      <w:r>
        <w:rPr>
          <w:color w:val="000000"/>
          <w:spacing w:val="0"/>
          <w:w w:val="100"/>
          <w:position w:val="0"/>
        </w:rPr>
        <w:t>三个年度的公司治理有关情况，完成专项自查清单的填写。通过自查，公司治理整体符合要求，不 存在需整改的重大问题。</w:t>
      </w:r>
    </w:p>
    <w:p>
      <w:pPr>
        <w:pStyle w:val="Style20"/>
        <w:keepNext w:val="0"/>
        <w:keepLines w:val="0"/>
        <w:widowControl w:val="0"/>
        <w:shd w:val="clear" w:color="auto" w:fill="auto"/>
        <w:bidi w:val="0"/>
        <w:spacing w:before="0" w:after="280" w:line="314" w:lineRule="exact"/>
        <w:ind w:left="0" w:right="0" w:firstLine="0"/>
        <w:jc w:val="both"/>
        <w:sectPr>
          <w:footnotePr>
            <w:pos w:val="pageBottom"/>
            <w:numFmt w:val="decimal"/>
            <w:numRestart w:val="continuous"/>
          </w:footnotePr>
          <w:pgSz w:w="11900" w:h="16840"/>
          <w:pgMar w:top="1485" w:right="1066" w:bottom="1387" w:left="1056" w:header="0" w:footer="3" w:gutter="0"/>
          <w:cols w:space="720"/>
          <w:noEndnote/>
          <w:rtlGutter w:val="0"/>
          <w:docGrid w:linePitch="360"/>
        </w:sectPr>
      </w:pP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年半年度报告未在原定</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日披露，后延期至</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日披露，整改情况：因本次董事会会议审议议案较多，需同 时披露的文件量较大，致使公司未能如期完成该定期报告及其他公告和文件的披露工作，公司已加强相关人员对等信息披 露等相关文件的学习和培训。</w:t>
      </w:r>
    </w:p>
    <w:p>
      <w:pPr>
        <w:pStyle w:val="Style13"/>
        <w:keepNext/>
        <w:keepLines/>
        <w:widowControl w:val="0"/>
        <w:shd w:val="clear" w:color="auto" w:fill="auto"/>
        <w:bidi w:val="0"/>
        <w:spacing w:before="480" w:after="540" w:line="240" w:lineRule="auto"/>
        <w:ind w:left="0" w:right="0" w:firstLine="0"/>
        <w:jc w:val="center"/>
      </w:pPr>
      <w:bookmarkStart w:id="328" w:name="bookmark328"/>
      <w:bookmarkStart w:id="329" w:name="bookmark329"/>
      <w:bookmarkStart w:id="330" w:name="bookmark330"/>
      <w:r>
        <w:rPr>
          <w:color w:val="000000"/>
          <w:spacing w:val="0"/>
          <w:w w:val="100"/>
          <w:position w:val="0"/>
        </w:rPr>
        <w:t>第五节环境和社会责任</w:t>
      </w:r>
      <w:bookmarkEnd w:id="328"/>
      <w:bookmarkEnd w:id="329"/>
      <w:bookmarkEnd w:id="330"/>
    </w:p>
    <w:p>
      <w:pPr>
        <w:pStyle w:val="Style26"/>
        <w:keepNext w:val="0"/>
        <w:keepLines w:val="0"/>
        <w:widowControl w:val="0"/>
        <w:shd w:val="clear" w:color="auto" w:fill="auto"/>
        <w:bidi w:val="0"/>
        <w:spacing w:before="0" w:after="360" w:line="240" w:lineRule="auto"/>
        <w:ind w:left="0" w:right="0" w:firstLine="260"/>
        <w:jc w:val="left"/>
      </w:pPr>
      <w:r>
        <w:rPr>
          <w:color w:val="000000"/>
          <w:spacing w:val="0"/>
          <w:w w:val="100"/>
          <w:position w:val="0"/>
          <w:sz w:val="24"/>
          <w:szCs w:val="24"/>
        </w:rPr>
        <w:t>、重大环保问题</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598"/>
        <w:gridCol w:w="1594"/>
        <w:gridCol w:w="1598"/>
        <w:gridCol w:w="1589"/>
        <w:gridCol w:w="1594"/>
        <w:gridCol w:w="160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处罚原因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参照重点排污单位披露的其他环境信息</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详情可见第五节第（二）社会责任</w:t>
      </w:r>
    </w:p>
    <w:p>
      <w:pPr>
        <w:pStyle w:val="Style20"/>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在报告期内为减少其碳排放所采取的措施及效果</w:t>
      </w:r>
    </w:p>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未披露其他环境信息的原因</w:t>
      </w:r>
    </w:p>
    <w:p>
      <w:pPr>
        <w:pStyle w:val="Style2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不适用</w:t>
      </w:r>
    </w:p>
    <w:p>
      <w:pPr>
        <w:pStyle w:val="Style26"/>
        <w:keepNext w:val="0"/>
        <w:keepLines w:val="0"/>
        <w:widowControl w:val="0"/>
        <w:shd w:val="clear" w:color="auto" w:fill="auto"/>
        <w:bidi w:val="0"/>
        <w:spacing w:before="0" w:after="240" w:line="240" w:lineRule="auto"/>
        <w:ind w:left="0" w:right="0" w:firstLine="0"/>
        <w:jc w:val="left"/>
      </w:pPr>
      <w:bookmarkStart w:id="331" w:name="bookmark331"/>
      <w:r>
        <w:rPr>
          <w:color w:val="000000"/>
          <w:spacing w:val="0"/>
          <w:w w:val="100"/>
          <w:position w:val="0"/>
          <w:sz w:val="24"/>
          <w:szCs w:val="24"/>
        </w:rPr>
        <w:t>二</w:t>
      </w:r>
      <w:bookmarkEnd w:id="331"/>
      <w:r>
        <w:rPr>
          <w:color w:val="000000"/>
          <w:spacing w:val="0"/>
          <w:w w:val="100"/>
          <w:position w:val="0"/>
          <w:sz w:val="24"/>
          <w:szCs w:val="24"/>
        </w:rPr>
        <w:t>、社会责任情况</w:t>
      </w:r>
    </w:p>
    <w:p>
      <w:pPr>
        <w:pStyle w:val="Style20"/>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公司二十多年来始终坚持</w:t>
      </w:r>
      <w:r>
        <w:rPr>
          <w:rFonts w:ascii="Times New Roman" w:eastAsia="Times New Roman" w:hAnsi="Times New Roman" w:cs="Times New Roman"/>
          <w:color w:val="000000"/>
          <w:spacing w:val="0"/>
          <w:w w:val="100"/>
          <w:position w:val="0"/>
        </w:rPr>
        <w:t>“</w:t>
      </w:r>
      <w:r>
        <w:rPr>
          <w:color w:val="000000"/>
          <w:spacing w:val="0"/>
          <w:w w:val="100"/>
          <w:position w:val="0"/>
        </w:rPr>
        <w:t>两个基因、一个机制、五方利益</w:t>
      </w:r>
      <w:r>
        <w:rPr>
          <w:rFonts w:ascii="Times New Roman" w:eastAsia="Times New Roman" w:hAnsi="Times New Roman" w:cs="Times New Roman"/>
          <w:color w:val="000000"/>
          <w:spacing w:val="0"/>
          <w:w w:val="100"/>
          <w:position w:val="0"/>
        </w:rPr>
        <w:t>”</w:t>
      </w:r>
      <w:r>
        <w:rPr>
          <w:color w:val="000000"/>
          <w:spacing w:val="0"/>
          <w:w w:val="100"/>
          <w:position w:val="0"/>
        </w:rPr>
        <w:t>，即国企基因（以社会公众利益为坚守目标）和绿色基因 （以城市绿色发展技术解决方案提供者为己任），并坚持通过市场化竞争条件下的现代企业管理机制创新（以开放的自组织 管理激发创造力并保证公平公开的活力体系）开展科技创新和经营业务，为股东（全社会公众）、员工、合作伙伴生态系、 建设行业、生态环境等五方利益持续创造绿色低碳生态发展路径下的多维度价值。</w:t>
      </w:r>
    </w:p>
    <w:p>
      <w:pPr>
        <w:pStyle w:val="Style20"/>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公司秉承</w:t>
      </w:r>
      <w:r>
        <w:rPr>
          <w:rFonts w:ascii="Times New Roman" w:eastAsia="Times New Roman" w:hAnsi="Times New Roman" w:cs="Times New Roman"/>
          <w:color w:val="000000"/>
          <w:spacing w:val="0"/>
          <w:w w:val="100"/>
          <w:position w:val="0"/>
        </w:rPr>
        <w:t>“</w:t>
      </w:r>
      <w:r>
        <w:rPr>
          <w:color w:val="000000"/>
          <w:spacing w:val="0"/>
          <w:w w:val="100"/>
          <w:position w:val="0"/>
        </w:rPr>
        <w:t>平视城市，共享生命精彩</w:t>
      </w:r>
      <w:r>
        <w:rPr>
          <w:rFonts w:ascii="Times New Roman" w:eastAsia="Times New Roman" w:hAnsi="Times New Roman" w:cs="Times New Roman"/>
          <w:color w:val="000000"/>
          <w:spacing w:val="0"/>
          <w:w w:val="100"/>
          <w:position w:val="0"/>
        </w:rPr>
        <w:t>”</w:t>
      </w:r>
      <w:r>
        <w:rPr>
          <w:color w:val="000000"/>
          <w:spacing w:val="0"/>
          <w:w w:val="100"/>
          <w:position w:val="0"/>
        </w:rPr>
        <w:t>的愿景，二十多年来专注于探索中国特色新型城镇化之路，积极致力于推动绿色 低碳理念、适应于中国文化的居住与城市形态的绿色低碳技术系统性解决方案、绿色低碳生活方式的普及，从首创了绿色建 筑的</w:t>
      </w:r>
      <w:r>
        <w:rPr>
          <w:rFonts w:ascii="Times New Roman" w:eastAsia="Times New Roman" w:hAnsi="Times New Roman" w:cs="Times New Roman"/>
          <w:color w:val="000000"/>
          <w:spacing w:val="0"/>
          <w:w w:val="100"/>
          <w:position w:val="0"/>
        </w:rPr>
        <w:t>“</w:t>
      </w:r>
      <w:r>
        <w:rPr>
          <w:color w:val="000000"/>
          <w:spacing w:val="0"/>
          <w:w w:val="100"/>
          <w:position w:val="0"/>
        </w:rPr>
        <w:t>共享设计</w:t>
      </w:r>
      <w:r>
        <w:rPr>
          <w:rFonts w:ascii="Times New Roman" w:eastAsia="Times New Roman" w:hAnsi="Times New Roman" w:cs="Times New Roman"/>
          <w:color w:val="000000"/>
          <w:spacing w:val="0"/>
          <w:w w:val="100"/>
          <w:position w:val="0"/>
        </w:rPr>
        <w:t>”</w:t>
      </w:r>
      <w:r>
        <w:rPr>
          <w:color w:val="000000"/>
          <w:spacing w:val="0"/>
          <w:w w:val="100"/>
          <w:position w:val="0"/>
        </w:rPr>
        <w:t>方法论体系起步，率先开展规模化的建筑节能以及绿色建筑工程示范与推广，逐步构建了绿色建筑、社区、 城区、城市</w:t>
      </w:r>
      <w:r>
        <w:rPr>
          <w:rFonts w:ascii="Times New Roman" w:eastAsia="Times New Roman" w:hAnsi="Times New Roman" w:cs="Times New Roman"/>
          <w:color w:val="000000"/>
          <w:spacing w:val="0"/>
          <w:w w:val="100"/>
          <w:position w:val="0"/>
        </w:rPr>
        <w:t>4</w:t>
      </w:r>
      <w:r>
        <w:rPr>
          <w:color w:val="000000"/>
          <w:spacing w:val="0"/>
          <w:w w:val="100"/>
          <w:position w:val="0"/>
        </w:rPr>
        <w:t>个层面的</w:t>
      </w:r>
      <w:r>
        <w:rPr>
          <w:rFonts w:ascii="Times New Roman" w:eastAsia="Times New Roman" w:hAnsi="Times New Roman" w:cs="Times New Roman"/>
          <w:color w:val="000000"/>
          <w:spacing w:val="0"/>
          <w:w w:val="100"/>
          <w:position w:val="0"/>
        </w:rPr>
        <w:t>“</w:t>
      </w:r>
      <w:r>
        <w:rPr>
          <w:color w:val="000000"/>
          <w:spacing w:val="0"/>
          <w:w w:val="100"/>
          <w:position w:val="0"/>
        </w:rPr>
        <w:t>生态诊断、平衡规划、动态实施、智慧运营、实时评估</w:t>
      </w:r>
      <w:r>
        <w:rPr>
          <w:rFonts w:ascii="Times New Roman" w:eastAsia="Times New Roman" w:hAnsi="Times New Roman" w:cs="Times New Roman"/>
          <w:color w:val="000000"/>
          <w:spacing w:val="0"/>
          <w:w w:val="100"/>
          <w:position w:val="0"/>
        </w:rPr>
        <w:t>”</w:t>
      </w:r>
      <w:r>
        <w:rPr>
          <w:color w:val="000000"/>
          <w:spacing w:val="0"/>
          <w:w w:val="100"/>
          <w:position w:val="0"/>
        </w:rPr>
        <w:t>五位一体的生态城市技术服务体系，探索生 态文明背景下城市发展</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关键问题研究与解决方案，成为推动国家和多个地方建筑节能绿色低碳领域有关法规、政策、 技术标准规范建立与完善，推动国家和地方绿色建筑与低碳生态城市规划、建设、运营相关行业管理制度体制机制形成与市 场发展变革的一支力量，成为国内绿色城市发展技术服务领域领先机构，并在绿色建筑与绿色城市技术服务行业具有全球影 响力。</w:t>
      </w:r>
    </w:p>
    <w:p>
      <w:pPr>
        <w:pStyle w:val="Style20"/>
        <w:keepNext w:val="0"/>
        <w:keepLines w:val="0"/>
        <w:widowControl w:val="0"/>
        <w:shd w:val="clear" w:color="auto" w:fill="auto"/>
        <w:bidi w:val="0"/>
        <w:spacing w:before="0" w:after="0" w:line="317" w:lineRule="exact"/>
        <w:ind w:left="0" w:right="0" w:firstLine="420"/>
        <w:jc w:val="both"/>
      </w:pPr>
      <w:bookmarkStart w:id="332" w:name="bookmark332"/>
      <w:r>
        <w:rPr>
          <w:b/>
          <w:bCs/>
          <w:color w:val="000000"/>
          <w:spacing w:val="0"/>
          <w:w w:val="100"/>
          <w:position w:val="0"/>
        </w:rPr>
        <w:t>一</w:t>
      </w:r>
      <w:bookmarkEnd w:id="332"/>
      <w:r>
        <w:rPr>
          <w:b/>
          <w:bCs/>
          <w:color w:val="000000"/>
          <w:spacing w:val="0"/>
          <w:w w:val="100"/>
          <w:position w:val="0"/>
        </w:rPr>
        <w:t>、公司自身办公场所是中国绿色低碳建筑发展史上具有里程碑意义的典范项目，也是公司绿色科技品牌的综合示范 平台</w:t>
      </w:r>
    </w:p>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公司在深圳总部、雄安总部分别通过新建绿色建筑、既有建筑绿色改造实现绿色办公研发场所。</w:t>
      </w:r>
    </w:p>
    <w:p>
      <w:pPr>
        <w:pStyle w:val="Style20"/>
        <w:keepNext w:val="0"/>
        <w:keepLines w:val="0"/>
        <w:widowControl w:val="0"/>
        <w:numPr>
          <w:ilvl w:val="0"/>
          <w:numId w:val="29"/>
        </w:numPr>
        <w:shd w:val="clear" w:color="auto" w:fill="auto"/>
        <w:bidi w:val="0"/>
        <w:spacing w:before="0" w:after="0" w:line="312" w:lineRule="exact"/>
        <w:ind w:left="0" w:right="0" w:firstLine="380"/>
        <w:jc w:val="both"/>
      </w:pPr>
      <w:bookmarkStart w:id="333" w:name="bookmark333"/>
      <w:bookmarkEnd w:id="333"/>
      <w:r>
        <w:rPr>
          <w:b/>
          <w:bCs/>
          <w:color w:val="000000"/>
          <w:spacing w:val="0"/>
          <w:w w:val="100"/>
          <w:position w:val="0"/>
        </w:rPr>
        <w:t>深圳：建科大楼</w:t>
      </w:r>
    </w:p>
    <w:p>
      <w:pPr>
        <w:pStyle w:val="Style20"/>
        <w:keepNext w:val="0"/>
        <w:keepLines w:val="0"/>
        <w:widowControl w:val="0"/>
        <w:shd w:val="clear" w:color="auto" w:fill="auto"/>
        <w:bidi w:val="0"/>
        <w:spacing w:before="0" w:after="120" w:line="315" w:lineRule="exact"/>
        <w:ind w:left="0" w:right="0" w:firstLine="420"/>
        <w:jc w:val="both"/>
      </w:pPr>
      <w:r>
        <w:rPr>
          <w:rFonts w:ascii="Times New Roman" w:eastAsia="Times New Roman" w:hAnsi="Times New Roman" w:cs="Times New Roman"/>
          <w:color w:val="000000"/>
          <w:spacing w:val="0"/>
          <w:w w:val="100"/>
          <w:position w:val="0"/>
        </w:rPr>
        <w:t>2009</w:t>
      </w:r>
      <w:r>
        <w:rPr>
          <w:color w:val="000000"/>
          <w:spacing w:val="0"/>
          <w:w w:val="100"/>
          <w:position w:val="0"/>
        </w:rPr>
        <w:t>年竣工的以中国传统文化</w:t>
      </w:r>
      <w:r>
        <w:rPr>
          <w:rFonts w:ascii="Times New Roman" w:eastAsia="Times New Roman" w:hAnsi="Times New Roman" w:cs="Times New Roman"/>
          <w:color w:val="000000"/>
          <w:spacing w:val="0"/>
          <w:w w:val="100"/>
          <w:position w:val="0"/>
        </w:rPr>
        <w:t>“</w:t>
      </w:r>
      <w:r>
        <w:rPr>
          <w:color w:val="000000"/>
          <w:spacing w:val="0"/>
          <w:w w:val="100"/>
          <w:position w:val="0"/>
        </w:rPr>
        <w:t>精宜之道</w:t>
      </w:r>
      <w:r>
        <w:rPr>
          <w:rFonts w:ascii="Times New Roman" w:eastAsia="Times New Roman" w:hAnsi="Times New Roman" w:cs="Times New Roman"/>
          <w:color w:val="000000"/>
          <w:spacing w:val="0"/>
          <w:w w:val="100"/>
          <w:position w:val="0"/>
        </w:rPr>
        <w:t>”</w:t>
      </w:r>
      <w:r>
        <w:rPr>
          <w:color w:val="000000"/>
          <w:spacing w:val="0"/>
          <w:w w:val="100"/>
          <w:position w:val="0"/>
        </w:rPr>
        <w:t>结合现代科技手段建成的首个</w:t>
      </w:r>
      <w:r>
        <w:rPr>
          <w:rFonts w:ascii="Times New Roman" w:eastAsia="Times New Roman" w:hAnsi="Times New Roman" w:cs="Times New Roman"/>
          <w:color w:val="000000"/>
          <w:spacing w:val="0"/>
          <w:w w:val="100"/>
          <w:position w:val="0"/>
        </w:rPr>
        <w:t>“</w:t>
      </w:r>
      <w:r>
        <w:rPr>
          <w:color w:val="000000"/>
          <w:spacing w:val="0"/>
          <w:w w:val="100"/>
          <w:position w:val="0"/>
        </w:rPr>
        <w:t>低成本，中国式</w:t>
      </w:r>
      <w:r>
        <w:rPr>
          <w:rFonts w:ascii="Times New Roman" w:eastAsia="Times New Roman" w:hAnsi="Times New Roman" w:cs="Times New Roman"/>
          <w:color w:val="000000"/>
          <w:spacing w:val="0"/>
          <w:w w:val="100"/>
          <w:position w:val="0"/>
        </w:rPr>
        <w:t>”</w:t>
      </w:r>
      <w:r>
        <w:rPr>
          <w:color w:val="000000"/>
          <w:spacing w:val="0"/>
          <w:w w:val="100"/>
          <w:position w:val="0"/>
        </w:rPr>
        <w:t>国家三星级绿色建筑</w:t>
      </w:r>
      <w:r>
        <w:rPr>
          <w:rFonts w:ascii="Times New Roman" w:eastAsia="Times New Roman" w:hAnsi="Times New Roman" w:cs="Times New Roman"/>
          <w:color w:val="000000"/>
          <w:spacing w:val="0"/>
          <w:w w:val="100"/>
          <w:position w:val="0"/>
        </w:rPr>
        <w:t>“</w:t>
      </w:r>
      <w:r>
        <w:rPr>
          <w:color w:val="000000"/>
          <w:spacing w:val="0"/>
          <w:w w:val="100"/>
          <w:position w:val="0"/>
        </w:rPr>
        <w:t>建科大 楼</w:t>
      </w:r>
      <w:r>
        <w:rPr>
          <w:rFonts w:ascii="Times New Roman" w:eastAsia="Times New Roman" w:hAnsi="Times New Roman" w:cs="Times New Roman"/>
          <w:color w:val="000000"/>
          <w:spacing w:val="0"/>
          <w:w w:val="100"/>
          <w:position w:val="0"/>
        </w:rPr>
        <w:t>”</w:t>
      </w:r>
      <w:r>
        <w:rPr>
          <w:color w:val="000000"/>
          <w:spacing w:val="0"/>
          <w:w w:val="100"/>
          <w:position w:val="0"/>
        </w:rPr>
        <w:t>，通过</w:t>
      </w:r>
      <w:r>
        <w:rPr>
          <w:rFonts w:ascii="Times New Roman" w:eastAsia="Times New Roman" w:hAnsi="Times New Roman" w:cs="Times New Roman"/>
          <w:color w:val="000000"/>
          <w:spacing w:val="0"/>
          <w:w w:val="100"/>
          <w:position w:val="0"/>
        </w:rPr>
        <w:t>40</w:t>
      </w:r>
      <w:r>
        <w:rPr>
          <w:color w:val="000000"/>
          <w:spacing w:val="0"/>
          <w:w w:val="100"/>
          <w:position w:val="0"/>
        </w:rPr>
        <w:t>多项低成本、软技术、被动式技术为核心的绿色建筑技术，以当地同类建筑</w:t>
      </w:r>
      <w:r>
        <w:rPr>
          <w:rFonts w:ascii="Times New Roman" w:eastAsia="Times New Roman" w:hAnsi="Times New Roman" w:cs="Times New Roman"/>
          <w:color w:val="000000"/>
          <w:spacing w:val="0"/>
          <w:w w:val="100"/>
          <w:position w:val="0"/>
        </w:rPr>
        <w:t>2/3</w:t>
      </w:r>
      <w:r>
        <w:rPr>
          <w:color w:val="000000"/>
          <w:spacing w:val="0"/>
          <w:w w:val="100"/>
          <w:position w:val="0"/>
        </w:rPr>
        <w:t xml:space="preserve">的建安成本，实现空调能耗降低 </w:t>
      </w:r>
      <w:r>
        <w:rPr>
          <w:rFonts w:ascii="Times New Roman" w:eastAsia="Times New Roman" w:hAnsi="Times New Roman" w:cs="Times New Roman"/>
          <w:color w:val="000000"/>
          <w:spacing w:val="0"/>
          <w:w w:val="100"/>
          <w:position w:val="0"/>
        </w:rPr>
        <w:t>50%</w:t>
      </w:r>
      <w:r>
        <w:rPr>
          <w:color w:val="000000"/>
          <w:spacing w:val="0"/>
          <w:w w:val="100"/>
          <w:position w:val="0"/>
        </w:rPr>
        <w:t>、照明能耗降低</w:t>
      </w:r>
      <w:r>
        <w:rPr>
          <w:rFonts w:ascii="Times New Roman" w:eastAsia="Times New Roman" w:hAnsi="Times New Roman" w:cs="Times New Roman"/>
          <w:color w:val="000000"/>
          <w:spacing w:val="0"/>
          <w:w w:val="100"/>
          <w:position w:val="0"/>
        </w:rPr>
        <w:t>70%</w:t>
      </w:r>
      <w:r>
        <w:rPr>
          <w:color w:val="000000"/>
          <w:spacing w:val="0"/>
          <w:w w:val="100"/>
          <w:position w:val="0"/>
        </w:rPr>
        <w:t>、污水基本零排放、年减排二氧化碳</w:t>
      </w:r>
      <w:r>
        <w:rPr>
          <w:rFonts w:ascii="Times New Roman" w:eastAsia="Times New Roman" w:hAnsi="Times New Roman" w:cs="Times New Roman"/>
          <w:color w:val="000000"/>
          <w:spacing w:val="0"/>
          <w:w w:val="100"/>
          <w:position w:val="0"/>
        </w:rPr>
        <w:t>224</w:t>
      </w:r>
      <w:r>
        <w:rPr>
          <w:color w:val="000000"/>
          <w:spacing w:val="0"/>
          <w:w w:val="100"/>
          <w:position w:val="0"/>
        </w:rPr>
        <w:t>吨的效果。是全国首批通过验收的国家绿色建筑三星级标准 设计、运营双标识的绿色建筑、国家级可再生能源示范工程项目、国家</w:t>
      </w:r>
      <w:r>
        <w:rPr>
          <w:rFonts w:ascii="Times New Roman" w:eastAsia="Times New Roman" w:hAnsi="Times New Roman" w:cs="Times New Roman"/>
          <w:color w:val="000000"/>
          <w:spacing w:val="0"/>
          <w:w w:val="100"/>
          <w:position w:val="0"/>
        </w:rPr>
        <w:t>“</w:t>
      </w:r>
      <w:r>
        <w:rPr>
          <w:color w:val="000000"/>
          <w:spacing w:val="0"/>
          <w:w w:val="100"/>
          <w:position w:val="0"/>
        </w:rPr>
        <w:t>双百工程</w:t>
      </w:r>
      <w:r>
        <w:rPr>
          <w:rFonts w:ascii="Times New Roman" w:eastAsia="Times New Roman" w:hAnsi="Times New Roman" w:cs="Times New Roman"/>
          <w:color w:val="000000"/>
          <w:spacing w:val="0"/>
          <w:w w:val="100"/>
          <w:position w:val="0"/>
        </w:rPr>
        <w:t>”</w:t>
      </w:r>
      <w:r>
        <w:rPr>
          <w:color w:val="000000"/>
          <w:spacing w:val="0"/>
          <w:w w:val="100"/>
          <w:position w:val="0"/>
        </w:rPr>
        <w:t xml:space="preserve">（百项绿色建筑与百项低能耗建筑示范工 </w:t>
      </w:r>
      <w:r>
        <w:rPr>
          <w:color w:val="000000"/>
          <w:spacing w:val="0"/>
          <w:w w:val="100"/>
          <w:position w:val="0"/>
          <w:u w:val="single"/>
        </w:rPr>
        <w:t>深圳市建筑科学研究院股份有限公司</w:t>
      </w:r>
      <w:r>
        <w:rPr>
          <w:rFonts w:ascii="Times New Roman" w:eastAsia="Times New Roman" w:hAnsi="Times New Roman" w:cs="Times New Roman"/>
          <w:color w:val="000000"/>
          <w:spacing w:val="0"/>
          <w:w w:val="100"/>
          <w:position w:val="0"/>
          <w:u w:val="single"/>
        </w:rPr>
        <w:t>2021</w:t>
      </w:r>
      <w:r>
        <w:rPr>
          <w:color w:val="000000"/>
          <w:spacing w:val="0"/>
          <w:w w:val="100"/>
          <w:position w:val="0"/>
          <w:u w:val="single"/>
        </w:rPr>
        <w:t xml:space="preserve">年年度报告全文 </w:t>
      </w:r>
      <w:r>
        <w:rPr>
          <w:color w:val="000000"/>
          <w:spacing w:val="0"/>
          <w:w w:val="100"/>
          <w:position w:val="0"/>
        </w:rPr>
        <w:t>程）称号</w:t>
      </w:r>
      <w:r>
        <w:rPr>
          <w:rFonts w:ascii="Times New Roman" w:eastAsia="Times New Roman" w:hAnsi="Times New Roman" w:cs="Times New Roman"/>
          <w:color w:val="000000"/>
          <w:spacing w:val="0"/>
          <w:w w:val="100"/>
          <w:position w:val="0"/>
        </w:rPr>
        <w:t>“</w:t>
      </w:r>
      <w:r>
        <w:rPr>
          <w:color w:val="000000"/>
          <w:spacing w:val="0"/>
          <w:w w:val="100"/>
          <w:position w:val="0"/>
        </w:rPr>
        <w:t>绿色建筑技术集成平台</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降低大型公共建筑空调能耗关键技术研究示范项目</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城镇人居环境改善与保障综合 科技示范工程</w:t>
      </w:r>
      <w:r>
        <w:rPr>
          <w:rFonts w:ascii="Times New Roman" w:eastAsia="Times New Roman" w:hAnsi="Times New Roman" w:cs="Times New Roman"/>
          <w:color w:val="000000"/>
          <w:spacing w:val="0"/>
          <w:w w:val="100"/>
          <w:position w:val="0"/>
        </w:rPr>
        <w:t>”</w:t>
      </w:r>
      <w:r>
        <w:rPr>
          <w:color w:val="000000"/>
          <w:spacing w:val="0"/>
          <w:w w:val="100"/>
          <w:position w:val="0"/>
        </w:rPr>
        <w:t>、联合国开发计划署</w:t>
      </w:r>
      <w:r>
        <w:rPr>
          <w:color w:val="000000"/>
          <w:spacing w:val="0"/>
          <w:w w:val="100"/>
          <w:position w:val="0"/>
        </w:rPr>
        <w:t>（</w:t>
      </w:r>
      <w:r>
        <w:rPr>
          <w:rFonts w:ascii="Times New Roman" w:eastAsia="Times New Roman" w:hAnsi="Times New Roman" w:cs="Times New Roman"/>
          <w:color w:val="000000"/>
          <w:spacing w:val="0"/>
          <w:w w:val="100"/>
          <w:position w:val="0"/>
        </w:rPr>
        <w:t>UNDP</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低能耗和绿色建筑集成技术示范与展示平台</w:t>
      </w:r>
      <w:r>
        <w:rPr>
          <w:rFonts w:ascii="Times New Roman" w:eastAsia="Times New Roman" w:hAnsi="Times New Roman" w:cs="Times New Roman"/>
          <w:color w:val="000000"/>
          <w:spacing w:val="0"/>
          <w:w w:val="100"/>
          <w:position w:val="0"/>
        </w:rPr>
        <w:t>”</w:t>
      </w:r>
      <w:r>
        <w:rPr>
          <w:color w:val="000000"/>
          <w:spacing w:val="0"/>
          <w:w w:val="100"/>
          <w:position w:val="0"/>
        </w:rPr>
        <w:t>、国家绿色建筑示范基地。并荣 获全国优秀工程勘察设计一等奖、中国人居环境范例奖、全国绿色建筑创新奖一等奖、亚太地区绿色建筑先锋奖等</w:t>
      </w:r>
      <w:r>
        <w:rPr>
          <w:rFonts w:ascii="Times New Roman" w:eastAsia="Times New Roman" w:hAnsi="Times New Roman" w:cs="Times New Roman"/>
          <w:color w:val="000000"/>
          <w:spacing w:val="0"/>
          <w:w w:val="100"/>
          <w:position w:val="0"/>
        </w:rPr>
        <w:t>30</w:t>
      </w:r>
      <w:r>
        <w:rPr>
          <w:color w:val="000000"/>
          <w:spacing w:val="0"/>
          <w:w w:val="100"/>
          <w:position w:val="0"/>
        </w:rPr>
        <w:t>多个国 内外奖项。海内外前来交流学习人员超过</w:t>
      </w:r>
      <w:r>
        <w:rPr>
          <w:rFonts w:ascii="Times New Roman" w:eastAsia="Times New Roman" w:hAnsi="Times New Roman" w:cs="Times New Roman"/>
          <w:color w:val="000000"/>
          <w:spacing w:val="0"/>
          <w:w w:val="100"/>
          <w:position w:val="0"/>
        </w:rPr>
        <w:t>7.5</w:t>
      </w:r>
      <w:r>
        <w:rPr>
          <w:color w:val="000000"/>
          <w:spacing w:val="0"/>
          <w:w w:val="100"/>
          <w:position w:val="0"/>
        </w:rPr>
        <w:t>万人次（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8842</w:t>
      </w:r>
      <w:r>
        <w:rPr>
          <w:color w:val="000000"/>
          <w:spacing w:val="0"/>
          <w:w w:val="100"/>
          <w:position w:val="0"/>
        </w:rPr>
        <w:t>人次）。建科大楼模型被深圳博物馆收藏陈列，并在</w:t>
      </w:r>
      <w:r>
        <w:rPr>
          <w:rFonts w:ascii="Times New Roman" w:eastAsia="Times New Roman" w:hAnsi="Times New Roman" w:cs="Times New Roman"/>
          <w:color w:val="000000"/>
          <w:spacing w:val="0"/>
          <w:w w:val="100"/>
          <w:position w:val="0"/>
        </w:rPr>
        <w:t>“</w:t>
      </w:r>
      <w:r>
        <w:rPr>
          <w:color w:val="000000"/>
          <w:spacing w:val="0"/>
          <w:w w:val="100"/>
          <w:position w:val="0"/>
        </w:rPr>
        <w:t>大潮 起珠江</w:t>
      </w:r>
      <w:r>
        <w:rPr>
          <w:rFonts w:ascii="Times New Roman" w:eastAsia="Times New Roman" w:hAnsi="Times New Roman" w:cs="Times New Roman"/>
          <w:color w:val="000000"/>
          <w:spacing w:val="0"/>
          <w:w w:val="100"/>
          <w:position w:val="0"/>
        </w:rPr>
        <w:t>-</w:t>
      </w:r>
      <w:r>
        <w:rPr>
          <w:color w:val="000000"/>
          <w:spacing w:val="0"/>
          <w:w w:val="100"/>
          <w:position w:val="0"/>
        </w:rPr>
        <w:t>深圳改革开放</w:t>
      </w:r>
      <w:r>
        <w:rPr>
          <w:rFonts w:ascii="Times New Roman" w:eastAsia="Times New Roman" w:hAnsi="Times New Roman" w:cs="Times New Roman"/>
          <w:color w:val="000000"/>
          <w:spacing w:val="0"/>
          <w:w w:val="100"/>
          <w:position w:val="0"/>
        </w:rPr>
        <w:t>40</w:t>
      </w:r>
      <w:r>
        <w:rPr>
          <w:color w:val="000000"/>
          <w:spacing w:val="0"/>
          <w:w w:val="100"/>
          <w:position w:val="0"/>
        </w:rPr>
        <w:t>周年</w:t>
      </w:r>
      <w:r>
        <w:rPr>
          <w:rFonts w:ascii="Times New Roman" w:eastAsia="Times New Roman" w:hAnsi="Times New Roman" w:cs="Times New Roman"/>
          <w:color w:val="000000"/>
          <w:spacing w:val="0"/>
          <w:w w:val="100"/>
          <w:position w:val="0"/>
        </w:rPr>
        <w:t>”</w:t>
      </w:r>
      <w:r>
        <w:rPr>
          <w:color w:val="000000"/>
          <w:spacing w:val="0"/>
          <w:w w:val="100"/>
          <w:position w:val="0"/>
        </w:rPr>
        <w:t>主题展览中，作为两个建筑类成果之一展出。</w:t>
      </w:r>
      <w:r>
        <w:rPr>
          <w:rFonts w:ascii="Times New Roman" w:eastAsia="Times New Roman" w:hAnsi="Times New Roman" w:cs="Times New Roman"/>
          <w:color w:val="000000"/>
          <w:spacing w:val="0"/>
          <w:w w:val="100"/>
          <w:position w:val="0"/>
        </w:rPr>
        <w:t>2021</w:t>
      </w:r>
      <w:r>
        <w:rPr>
          <w:color w:val="000000"/>
          <w:spacing w:val="0"/>
          <w:w w:val="100"/>
          <w:position w:val="0"/>
        </w:rPr>
        <w:t>年建科大楼作为</w:t>
      </w:r>
      <w:r>
        <w:rPr>
          <w:rFonts w:ascii="Times New Roman" w:eastAsia="Times New Roman" w:hAnsi="Times New Roman" w:cs="Times New Roman"/>
          <w:color w:val="000000"/>
          <w:spacing w:val="0"/>
          <w:w w:val="100"/>
          <w:position w:val="0"/>
        </w:rPr>
        <w:t>“</w:t>
      </w:r>
      <w:r>
        <w:rPr>
          <w:color w:val="000000"/>
          <w:spacing w:val="0"/>
          <w:w w:val="100"/>
          <w:position w:val="0"/>
        </w:rPr>
        <w:t>建筑绿色低碳运行管理典 型案例</w:t>
      </w:r>
      <w:r>
        <w:rPr>
          <w:rFonts w:ascii="Times New Roman" w:eastAsia="Times New Roman" w:hAnsi="Times New Roman" w:cs="Times New Roman"/>
          <w:color w:val="000000"/>
          <w:spacing w:val="0"/>
          <w:w w:val="100"/>
          <w:position w:val="0"/>
        </w:rPr>
        <w:t>”</w:t>
      </w:r>
      <w:r>
        <w:rPr>
          <w:color w:val="000000"/>
          <w:spacing w:val="0"/>
          <w:w w:val="100"/>
          <w:position w:val="0"/>
        </w:rPr>
        <w:t>成功申报城乡建设领域碳达峰碳中和先进案例。建科大楼的成功实践，公司总结出一套</w:t>
      </w:r>
      <w:r>
        <w:rPr>
          <w:rFonts w:ascii="Times New Roman" w:eastAsia="Times New Roman" w:hAnsi="Times New Roman" w:cs="Times New Roman"/>
          <w:color w:val="000000"/>
          <w:spacing w:val="0"/>
          <w:w w:val="100"/>
          <w:position w:val="0"/>
        </w:rPr>
        <w:t>“</w:t>
      </w:r>
      <w:r>
        <w:rPr>
          <w:color w:val="000000"/>
          <w:spacing w:val="0"/>
          <w:w w:val="100"/>
          <w:position w:val="0"/>
        </w:rPr>
        <w:t>共享设计</w:t>
      </w:r>
      <w:r>
        <w:rPr>
          <w:rFonts w:ascii="Times New Roman" w:eastAsia="Times New Roman" w:hAnsi="Times New Roman" w:cs="Times New Roman"/>
          <w:color w:val="000000"/>
          <w:spacing w:val="0"/>
          <w:w w:val="100"/>
          <w:position w:val="0"/>
        </w:rPr>
        <w:t>”</w:t>
      </w:r>
      <w:r>
        <w:rPr>
          <w:color w:val="000000"/>
          <w:spacing w:val="0"/>
          <w:w w:val="100"/>
          <w:position w:val="0"/>
        </w:rPr>
        <w:t>理论体系，核心 是以</w:t>
      </w:r>
      <w:r>
        <w:rPr>
          <w:rFonts w:ascii="Times New Roman" w:eastAsia="Times New Roman" w:hAnsi="Times New Roman" w:cs="Times New Roman"/>
          <w:color w:val="000000"/>
          <w:spacing w:val="0"/>
          <w:w w:val="100"/>
          <w:position w:val="0"/>
        </w:rPr>
        <w:t>“</w:t>
      </w:r>
      <w:r>
        <w:rPr>
          <w:color w:val="000000"/>
          <w:spacing w:val="0"/>
          <w:w w:val="100"/>
          <w:position w:val="0"/>
        </w:rPr>
        <w:t>共享、集成、平衡</w:t>
      </w:r>
      <w:r>
        <w:rPr>
          <w:rFonts w:ascii="Times New Roman" w:eastAsia="Times New Roman" w:hAnsi="Times New Roman" w:cs="Times New Roman"/>
          <w:color w:val="000000"/>
          <w:spacing w:val="0"/>
          <w:w w:val="100"/>
          <w:position w:val="0"/>
        </w:rPr>
        <w:t>”</w:t>
      </w:r>
      <w:r>
        <w:rPr>
          <w:color w:val="000000"/>
          <w:spacing w:val="0"/>
          <w:w w:val="100"/>
          <w:position w:val="0"/>
        </w:rPr>
        <w:t>为核心，设计者与业主共同参与，在建设的过程中追求设计、技术与自然之间平衡，主要成果纳入 国家相关标准。建科大楼</w:t>
      </w:r>
      <w:r>
        <w:rPr>
          <w:rFonts w:ascii="Times New Roman" w:eastAsia="Times New Roman" w:hAnsi="Times New Roman" w:cs="Times New Roman"/>
          <w:color w:val="000000"/>
          <w:spacing w:val="0"/>
          <w:w w:val="100"/>
          <w:position w:val="0"/>
        </w:rPr>
        <w:t>2009</w:t>
      </w:r>
      <w:r>
        <w:rPr>
          <w:color w:val="000000"/>
          <w:spacing w:val="0"/>
          <w:w w:val="100"/>
          <w:position w:val="0"/>
        </w:rPr>
        <w:t>年的竣工推动了国家和深圳绿色建筑政策、技术标准的出台，为深圳和国家绿色建筑发展起到 关键示范作用。</w:t>
      </w:r>
    </w:p>
    <w:p>
      <w:pPr>
        <w:pStyle w:val="Style20"/>
        <w:keepNext w:val="0"/>
        <w:keepLines w:val="0"/>
        <w:widowControl w:val="0"/>
        <w:numPr>
          <w:ilvl w:val="0"/>
          <w:numId w:val="29"/>
        </w:numPr>
        <w:shd w:val="clear" w:color="auto" w:fill="auto"/>
        <w:bidi w:val="0"/>
        <w:spacing w:before="0" w:after="40" w:line="240" w:lineRule="auto"/>
        <w:ind w:left="0" w:right="0" w:firstLine="380"/>
        <w:jc w:val="both"/>
      </w:pPr>
      <w:bookmarkStart w:id="334" w:name="bookmark334"/>
      <w:bookmarkEnd w:id="334"/>
      <w:r>
        <w:rPr>
          <w:b/>
          <w:bCs/>
          <w:color w:val="000000"/>
          <w:spacing w:val="0"/>
          <w:w w:val="100"/>
          <w:position w:val="0"/>
        </w:rPr>
        <w:t>深圳：未来大厦（新一代新建绿色社区）</w:t>
      </w:r>
    </w:p>
    <w:p>
      <w:pPr>
        <w:pStyle w:val="Style20"/>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新一代绿色科技</w:t>
      </w:r>
      <w:r>
        <w:rPr>
          <w:rFonts w:ascii="Times New Roman" w:eastAsia="Times New Roman" w:hAnsi="Times New Roman" w:cs="Times New Roman"/>
          <w:color w:val="000000"/>
          <w:spacing w:val="0"/>
          <w:w w:val="100"/>
          <w:position w:val="0"/>
        </w:rPr>
        <w:t>“</w:t>
      </w:r>
      <w:r>
        <w:rPr>
          <w:color w:val="000000"/>
          <w:spacing w:val="0"/>
          <w:w w:val="100"/>
          <w:position w:val="0"/>
        </w:rPr>
        <w:t>伴</w:t>
      </w:r>
      <w:r>
        <w:rPr>
          <w:rFonts w:ascii="Times New Roman" w:eastAsia="Times New Roman" w:hAnsi="Times New Roman" w:cs="Times New Roman"/>
          <w:color w:val="000000"/>
          <w:spacing w:val="0"/>
          <w:w w:val="100"/>
          <w:position w:val="0"/>
        </w:rPr>
        <w:t>”</w:t>
      </w:r>
      <w:r>
        <w:rPr>
          <w:color w:val="000000"/>
          <w:spacing w:val="0"/>
          <w:w w:val="100"/>
          <w:position w:val="0"/>
        </w:rPr>
        <w:t>建筑场景式创新平台</w:t>
      </w:r>
      <w:r>
        <w:rPr>
          <w:rFonts w:ascii="Times New Roman" w:eastAsia="Times New Roman" w:hAnsi="Times New Roman" w:cs="Times New Roman"/>
          <w:color w:val="000000"/>
          <w:spacing w:val="0"/>
          <w:w w:val="100"/>
          <w:position w:val="0"/>
        </w:rPr>
        <w:t>“</w:t>
      </w:r>
      <w:r>
        <w:rPr>
          <w:color w:val="000000"/>
          <w:spacing w:val="0"/>
          <w:w w:val="100"/>
          <w:position w:val="0"/>
        </w:rPr>
        <w:t>未来大厦</w:t>
      </w:r>
      <w:r>
        <w:rPr>
          <w:rFonts w:ascii="Times New Roman" w:eastAsia="Times New Roman" w:hAnsi="Times New Roman" w:cs="Times New Roman"/>
          <w:color w:val="000000"/>
          <w:spacing w:val="0"/>
          <w:w w:val="100"/>
          <w:position w:val="0"/>
        </w:rPr>
        <w:t>”</w:t>
      </w:r>
      <w:r>
        <w:rPr>
          <w:color w:val="000000"/>
          <w:spacing w:val="0"/>
          <w:w w:val="100"/>
          <w:position w:val="0"/>
        </w:rPr>
        <w:t>以建筑虚拟电厂、</w:t>
      </w:r>
      <w:r>
        <w:rPr>
          <w:rFonts w:ascii="Times New Roman" w:eastAsia="Times New Roman" w:hAnsi="Times New Roman" w:cs="Times New Roman"/>
          <w:color w:val="000000"/>
          <w:spacing w:val="0"/>
          <w:w w:val="100"/>
          <w:position w:val="0"/>
        </w:rPr>
        <w:t>“</w:t>
      </w:r>
      <w:r>
        <w:rPr>
          <w:color w:val="000000"/>
          <w:spacing w:val="0"/>
          <w:w w:val="100"/>
          <w:position w:val="0"/>
        </w:rPr>
        <w:t>光储直柔</w:t>
      </w:r>
      <w:r>
        <w:rPr>
          <w:rFonts w:ascii="Times New Roman" w:eastAsia="Times New Roman" w:hAnsi="Times New Roman" w:cs="Times New Roman"/>
          <w:color w:val="000000"/>
          <w:spacing w:val="0"/>
          <w:w w:val="100"/>
          <w:position w:val="0"/>
        </w:rPr>
        <w:t>”</w:t>
      </w:r>
      <w:r>
        <w:rPr>
          <w:color w:val="000000"/>
          <w:spacing w:val="0"/>
          <w:w w:val="100"/>
          <w:position w:val="0"/>
        </w:rPr>
        <w:t>、城市</w:t>
      </w:r>
      <w:r>
        <w:rPr>
          <w:rFonts w:ascii="Times New Roman" w:eastAsia="Times New Roman" w:hAnsi="Times New Roman" w:cs="Times New Roman"/>
          <w:color w:val="000000"/>
          <w:spacing w:val="0"/>
          <w:w w:val="100"/>
          <w:position w:val="0"/>
        </w:rPr>
        <w:t>“</w:t>
      </w:r>
      <w:r>
        <w:rPr>
          <w:color w:val="000000"/>
          <w:spacing w:val="0"/>
          <w:w w:val="100"/>
          <w:position w:val="0"/>
        </w:rPr>
        <w:t>新山林</w:t>
      </w:r>
      <w:r>
        <w:rPr>
          <w:rFonts w:ascii="Times New Roman" w:eastAsia="Times New Roman" w:hAnsi="Times New Roman" w:cs="Times New Roman"/>
          <w:color w:val="000000"/>
          <w:spacing w:val="0"/>
          <w:w w:val="100"/>
          <w:position w:val="0"/>
        </w:rPr>
        <w:t>”</w:t>
      </w:r>
      <w:r>
        <w:rPr>
          <w:color w:val="000000"/>
          <w:spacing w:val="0"/>
          <w:w w:val="100"/>
          <w:position w:val="0"/>
        </w:rPr>
        <w:t>建筑生态景观、</w:t>
      </w:r>
      <w:r>
        <w:rPr>
          <w:rFonts w:ascii="Times New Roman" w:eastAsia="Times New Roman" w:hAnsi="Times New Roman" w:cs="Times New Roman"/>
          <w:color w:val="000000"/>
          <w:spacing w:val="0"/>
          <w:w w:val="100"/>
          <w:position w:val="0"/>
        </w:rPr>
        <w:t>“</w:t>
      </w:r>
      <w:r>
        <w:rPr>
          <w:color w:val="000000"/>
          <w:spacing w:val="0"/>
          <w:w w:val="100"/>
          <w:position w:val="0"/>
        </w:rPr>
        <w:t>可 变空间</w:t>
      </w:r>
      <w:r>
        <w:rPr>
          <w:rFonts w:ascii="Times New Roman" w:eastAsia="Times New Roman" w:hAnsi="Times New Roman" w:cs="Times New Roman"/>
          <w:color w:val="000000"/>
          <w:spacing w:val="0"/>
          <w:w w:val="100"/>
          <w:position w:val="0"/>
        </w:rPr>
        <w:t>”</w:t>
      </w:r>
      <w:r>
        <w:rPr>
          <w:color w:val="000000"/>
          <w:spacing w:val="0"/>
          <w:w w:val="100"/>
          <w:position w:val="0"/>
        </w:rPr>
        <w:t>数字化建造等十大技术体系为研究基础，合作共建直流实验室、群智能中试实验室、</w:t>
      </w:r>
      <w:r>
        <w:rPr>
          <w:rFonts w:ascii="Times New Roman" w:eastAsia="Times New Roman" w:hAnsi="Times New Roman" w:cs="Times New Roman"/>
          <w:color w:val="000000"/>
          <w:spacing w:val="0"/>
          <w:w w:val="100"/>
          <w:position w:val="0"/>
        </w:rPr>
        <w:t>3D</w:t>
      </w:r>
      <w:r>
        <w:rPr>
          <w:color w:val="000000"/>
          <w:spacing w:val="0"/>
          <w:w w:val="100"/>
          <w:position w:val="0"/>
        </w:rPr>
        <w:t>打印数字化建造实验室等， 促进自主创新能力提升，实现科研平台共享，为行业转型提供创新路径。</w:t>
      </w:r>
    </w:p>
    <w:p>
      <w:pPr>
        <w:pStyle w:val="Style20"/>
        <w:keepNext w:val="0"/>
        <w:keepLines w:val="0"/>
        <w:widowControl w:val="0"/>
        <w:shd w:val="clear" w:color="auto" w:fill="auto"/>
        <w:bidi w:val="0"/>
        <w:spacing w:before="0" w:after="40" w:line="305" w:lineRule="exact"/>
        <w:ind w:left="0" w:right="0" w:firstLine="440"/>
        <w:jc w:val="both"/>
      </w:pPr>
      <w:r>
        <w:rPr>
          <w:color w:val="000000"/>
          <w:spacing w:val="0"/>
          <w:w w:val="100"/>
          <w:position w:val="0"/>
        </w:rPr>
        <w:t>未来大厦采用</w:t>
      </w:r>
      <w:r>
        <w:rPr>
          <w:rFonts w:ascii="Times New Roman" w:eastAsia="Times New Roman" w:hAnsi="Times New Roman" w:cs="Times New Roman"/>
          <w:color w:val="000000"/>
          <w:spacing w:val="0"/>
          <w:w w:val="100"/>
          <w:position w:val="0"/>
        </w:rPr>
        <w:t>“</w:t>
      </w:r>
      <w:r>
        <w:rPr>
          <w:color w:val="000000"/>
          <w:spacing w:val="0"/>
          <w:w w:val="100"/>
          <w:position w:val="0"/>
        </w:rPr>
        <w:t>直流</w:t>
      </w:r>
      <w:r>
        <w:rPr>
          <w:rFonts w:ascii="Times New Roman" w:eastAsia="Times New Roman" w:hAnsi="Times New Roman" w:cs="Times New Roman"/>
          <w:color w:val="000000"/>
          <w:spacing w:val="0"/>
          <w:w w:val="100"/>
          <w:position w:val="0"/>
        </w:rPr>
        <w:t>+</w:t>
      </w:r>
      <w:r>
        <w:rPr>
          <w:color w:val="000000"/>
          <w:spacing w:val="0"/>
          <w:w w:val="100"/>
          <w:position w:val="0"/>
        </w:rPr>
        <w:t>光伏</w:t>
      </w:r>
      <w:r>
        <w:rPr>
          <w:rFonts w:ascii="Times New Roman" w:eastAsia="Times New Roman" w:hAnsi="Times New Roman" w:cs="Times New Roman"/>
          <w:color w:val="000000"/>
          <w:spacing w:val="0"/>
          <w:w w:val="100"/>
          <w:position w:val="0"/>
        </w:rPr>
        <w:t>+</w:t>
      </w:r>
      <w:r>
        <w:rPr>
          <w:color w:val="000000"/>
          <w:spacing w:val="0"/>
          <w:w w:val="100"/>
          <w:position w:val="0"/>
        </w:rPr>
        <w:t>储能</w:t>
      </w:r>
      <w:r>
        <w:rPr>
          <w:rFonts w:ascii="Times New Roman" w:eastAsia="Times New Roman" w:hAnsi="Times New Roman" w:cs="Times New Roman"/>
          <w:color w:val="000000"/>
          <w:spacing w:val="0"/>
          <w:w w:val="100"/>
          <w:position w:val="0"/>
        </w:rPr>
        <w:t>”</w:t>
      </w:r>
      <w:r>
        <w:rPr>
          <w:color w:val="000000"/>
          <w:spacing w:val="0"/>
          <w:w w:val="100"/>
          <w:position w:val="0"/>
        </w:rPr>
        <w:t>综合集成技术，实现建筑用电负荷</w:t>
      </w:r>
      <w:r>
        <w:rPr>
          <w:rFonts w:ascii="Times New Roman" w:eastAsia="Times New Roman" w:hAnsi="Times New Roman" w:cs="Times New Roman"/>
          <w:color w:val="000000"/>
          <w:spacing w:val="0"/>
          <w:w w:val="100"/>
          <w:position w:val="0"/>
        </w:rPr>
        <w:t>“</w:t>
      </w:r>
      <w:r>
        <w:rPr>
          <w:color w:val="000000"/>
          <w:spacing w:val="0"/>
          <w:w w:val="100"/>
          <w:position w:val="0"/>
        </w:rPr>
        <w:t>柔性</w:t>
      </w:r>
      <w:r>
        <w:rPr>
          <w:rFonts w:ascii="Times New Roman" w:eastAsia="Times New Roman" w:hAnsi="Times New Roman" w:cs="Times New Roman"/>
          <w:color w:val="000000"/>
          <w:spacing w:val="0"/>
          <w:w w:val="100"/>
          <w:position w:val="0"/>
        </w:rPr>
        <w:t>”</w:t>
      </w:r>
      <w:r>
        <w:rPr>
          <w:color w:val="000000"/>
          <w:spacing w:val="0"/>
          <w:w w:val="100"/>
          <w:position w:val="0"/>
        </w:rPr>
        <w:t>调节，促进建筑领域可再生能源利用和消纳， 成为</w:t>
      </w:r>
      <w:r>
        <w:rPr>
          <w:rFonts w:ascii="Times New Roman" w:eastAsia="Times New Roman" w:hAnsi="Times New Roman" w:cs="Times New Roman"/>
          <w:color w:val="000000"/>
          <w:spacing w:val="0"/>
          <w:w w:val="100"/>
          <w:position w:val="0"/>
        </w:rPr>
        <w:t>“</w:t>
      </w:r>
      <w:r>
        <w:rPr>
          <w:color w:val="000000"/>
          <w:spacing w:val="0"/>
          <w:w w:val="100"/>
          <w:position w:val="0"/>
        </w:rPr>
        <w:t>光储直柔</w:t>
      </w:r>
      <w:r>
        <w:rPr>
          <w:rFonts w:ascii="Times New Roman" w:eastAsia="Times New Roman" w:hAnsi="Times New Roman" w:cs="Times New Roman"/>
          <w:color w:val="000000"/>
          <w:spacing w:val="0"/>
          <w:w w:val="100"/>
          <w:position w:val="0"/>
        </w:rPr>
        <w:t>”</w:t>
      </w:r>
      <w:r>
        <w:rPr>
          <w:color w:val="000000"/>
          <w:spacing w:val="0"/>
          <w:w w:val="100"/>
          <w:position w:val="0"/>
        </w:rPr>
        <w:t>国家级示范成果。</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月，未来大厦获国际主动房联盟十周年</w:t>
      </w:r>
      <w:r>
        <w:rPr>
          <w:rFonts w:ascii="Times New Roman" w:eastAsia="Times New Roman" w:hAnsi="Times New Roman" w:cs="Times New Roman"/>
          <w:color w:val="000000"/>
          <w:spacing w:val="0"/>
          <w:w w:val="100"/>
          <w:position w:val="0"/>
        </w:rPr>
        <w:t>“</w:t>
      </w:r>
      <w:r>
        <w:rPr>
          <w:color w:val="000000"/>
          <w:spacing w:val="0"/>
          <w:w w:val="100"/>
          <w:position w:val="0"/>
        </w:rPr>
        <w:t>最佳设计预见奖（建成类广'，全球仅</w:t>
      </w:r>
      <w:r>
        <w:rPr>
          <w:rFonts w:ascii="Times New Roman" w:eastAsia="Times New Roman" w:hAnsi="Times New Roman" w:cs="Times New Roman"/>
          <w:color w:val="000000"/>
          <w:spacing w:val="0"/>
          <w:w w:val="100"/>
          <w:position w:val="0"/>
        </w:rPr>
        <w:t>3</w:t>
      </w:r>
      <w:r>
        <w:rPr>
          <w:color w:val="000000"/>
          <w:spacing w:val="0"/>
          <w:w w:val="100"/>
          <w:position w:val="0"/>
        </w:rPr>
        <w:t>个 项目获奖。</w:t>
      </w:r>
    </w:p>
    <w:p>
      <w:pPr>
        <w:pStyle w:val="Style20"/>
        <w:keepNext w:val="0"/>
        <w:keepLines w:val="0"/>
        <w:widowControl w:val="0"/>
        <w:shd w:val="clear" w:color="auto" w:fill="auto"/>
        <w:bidi w:val="0"/>
        <w:spacing w:before="0" w:after="40" w:line="308" w:lineRule="exact"/>
        <w:ind w:left="0" w:right="0" w:firstLine="440"/>
        <w:jc w:val="both"/>
      </w:pPr>
      <w:r>
        <w:rPr>
          <w:color w:val="000000"/>
          <w:spacing w:val="0"/>
          <w:w w:val="100"/>
          <w:position w:val="0"/>
        </w:rPr>
        <w:t>未来大厦从一开始就通过国际设计竞赛、周边社区公众参与设计等多种方式体现绿色社区设计权共享，同时探索建筑 场景永远处于</w:t>
      </w:r>
      <w:r>
        <w:rPr>
          <w:rFonts w:ascii="Times New Roman" w:eastAsia="Times New Roman" w:hAnsi="Times New Roman" w:cs="Times New Roman"/>
          <w:color w:val="000000"/>
          <w:spacing w:val="0"/>
          <w:w w:val="100"/>
          <w:position w:val="0"/>
        </w:rPr>
        <w:t>“</w:t>
      </w:r>
      <w:r>
        <w:rPr>
          <w:color w:val="000000"/>
          <w:spacing w:val="0"/>
          <w:w w:val="100"/>
          <w:position w:val="0"/>
        </w:rPr>
        <w:t>半</w:t>
      </w:r>
      <w:r>
        <w:rPr>
          <w:rFonts w:ascii="Times New Roman" w:eastAsia="Times New Roman" w:hAnsi="Times New Roman" w:cs="Times New Roman"/>
          <w:color w:val="000000"/>
          <w:spacing w:val="0"/>
          <w:w w:val="100"/>
          <w:position w:val="0"/>
        </w:rPr>
        <w:t>”“</w:t>
      </w:r>
      <w:r>
        <w:rPr>
          <w:color w:val="000000"/>
          <w:spacing w:val="0"/>
          <w:w w:val="100"/>
          <w:position w:val="0"/>
        </w:rPr>
        <w:t>伴</w:t>
      </w:r>
      <w:r>
        <w:rPr>
          <w:rFonts w:ascii="Times New Roman" w:eastAsia="Times New Roman" w:hAnsi="Times New Roman" w:cs="Times New Roman"/>
          <w:color w:val="000000"/>
          <w:spacing w:val="0"/>
          <w:w w:val="100"/>
          <w:position w:val="0"/>
        </w:rPr>
        <w:t>”</w:t>
      </w:r>
      <w:r>
        <w:rPr>
          <w:color w:val="000000"/>
          <w:spacing w:val="0"/>
          <w:w w:val="100"/>
          <w:position w:val="0"/>
        </w:rPr>
        <w:t>（半成品、伴随式）适变过程中的设计建造运营全生命周期的互为反馈、关注人而不仅是建筑物的绿 色理念。</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月首次对外开放部分空间，承办了</w:t>
      </w:r>
      <w:r>
        <w:rPr>
          <w:rFonts w:ascii="Times New Roman" w:eastAsia="Times New Roman" w:hAnsi="Times New Roman" w:cs="Times New Roman"/>
          <w:color w:val="000000"/>
          <w:spacing w:val="0"/>
          <w:w w:val="100"/>
          <w:position w:val="0"/>
        </w:rPr>
        <w:t>2021</w:t>
      </w:r>
      <w:r>
        <w:rPr>
          <w:color w:val="000000"/>
          <w:spacing w:val="0"/>
          <w:w w:val="100"/>
          <w:position w:val="0"/>
        </w:rPr>
        <w:t>年碳达峰碳中和论坛暨第九届深圳国际低碳城论坛的绿色建筑分论 坛，采取了一会两展</w:t>
      </w:r>
      <w:r>
        <w:rPr>
          <w:rFonts w:ascii="Times New Roman" w:eastAsia="Times New Roman" w:hAnsi="Times New Roman" w:cs="Times New Roman"/>
          <w:color w:val="000000"/>
          <w:spacing w:val="0"/>
          <w:w w:val="100"/>
          <w:position w:val="0"/>
        </w:rPr>
        <w:t>+N</w:t>
      </w:r>
      <w:r>
        <w:rPr>
          <w:color w:val="000000"/>
          <w:spacing w:val="0"/>
          <w:w w:val="100"/>
          <w:position w:val="0"/>
        </w:rPr>
        <w:t>场体验活动的方式，共有</w:t>
      </w:r>
      <w:r>
        <w:rPr>
          <w:rFonts w:ascii="Times New Roman" w:eastAsia="Times New Roman" w:hAnsi="Times New Roman" w:cs="Times New Roman"/>
          <w:color w:val="000000"/>
          <w:spacing w:val="0"/>
          <w:w w:val="100"/>
          <w:position w:val="0"/>
        </w:rPr>
        <w:t>360</w:t>
      </w:r>
      <w:r>
        <w:rPr>
          <w:color w:val="000000"/>
          <w:spacing w:val="0"/>
          <w:w w:val="100"/>
          <w:position w:val="0"/>
        </w:rPr>
        <w:t>余位嘉宾到场参会，进行了为期一天的探讨与交流，同时网络在线人数 高达</w:t>
      </w:r>
      <w:r>
        <w:rPr>
          <w:rFonts w:ascii="Times New Roman" w:eastAsia="Times New Roman" w:hAnsi="Times New Roman" w:cs="Times New Roman"/>
          <w:color w:val="000000"/>
          <w:spacing w:val="0"/>
          <w:w w:val="100"/>
          <w:position w:val="0"/>
        </w:rPr>
        <w:t>15800</w:t>
      </w:r>
      <w:r>
        <w:rPr>
          <w:color w:val="000000"/>
          <w:spacing w:val="0"/>
          <w:w w:val="100"/>
          <w:position w:val="0"/>
        </w:rPr>
        <w:t>余人。</w:t>
      </w:r>
    </w:p>
    <w:p>
      <w:pPr>
        <w:pStyle w:val="Style20"/>
        <w:keepNext w:val="0"/>
        <w:keepLines w:val="0"/>
        <w:widowControl w:val="0"/>
        <w:numPr>
          <w:ilvl w:val="0"/>
          <w:numId w:val="29"/>
        </w:numPr>
        <w:shd w:val="clear" w:color="auto" w:fill="auto"/>
        <w:bidi w:val="0"/>
        <w:spacing w:before="0" w:after="40" w:line="312" w:lineRule="exact"/>
        <w:ind w:left="0" w:right="0" w:firstLine="380"/>
        <w:jc w:val="both"/>
      </w:pPr>
      <w:bookmarkStart w:id="335" w:name="bookmark335"/>
      <w:bookmarkEnd w:id="335"/>
      <w:r>
        <w:rPr>
          <w:b/>
          <w:bCs/>
          <w:color w:val="000000"/>
          <w:spacing w:val="0"/>
          <w:w w:val="100"/>
          <w:position w:val="0"/>
        </w:rPr>
        <w:t>雄安：绿舍街巷绿色改造及伊工社厂房绿色改造后租赁使用，分别作为办公住宿空间</w:t>
      </w:r>
    </w:p>
    <w:p>
      <w:pPr>
        <w:pStyle w:val="Style20"/>
        <w:keepNext w:val="0"/>
        <w:keepLines w:val="0"/>
        <w:widowControl w:val="0"/>
        <w:shd w:val="clear" w:color="auto" w:fill="auto"/>
        <w:bidi w:val="0"/>
        <w:spacing w:before="0" w:after="40" w:line="314"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年起，建科院积极参与国家雄安战略相关工作，开展雄安绿色发展研究、未来绿色社区模式研究，并积极利用现 场条件进行低成本改造在小尺度和小空间中实现了</w:t>
      </w:r>
      <w:r>
        <w:rPr>
          <w:rFonts w:ascii="Times New Roman" w:eastAsia="Times New Roman" w:hAnsi="Times New Roman" w:cs="Times New Roman"/>
          <w:color w:val="000000"/>
          <w:spacing w:val="0"/>
          <w:w w:val="100"/>
          <w:position w:val="0"/>
        </w:rPr>
        <w:t>“</w:t>
      </w:r>
      <w:r>
        <w:rPr>
          <w:color w:val="000000"/>
          <w:spacing w:val="0"/>
          <w:w w:val="100"/>
          <w:position w:val="0"/>
        </w:rPr>
        <w:t>绿色设计</w:t>
      </w:r>
      <w:r>
        <w:rPr>
          <w:rFonts w:ascii="Times New Roman" w:eastAsia="Times New Roman" w:hAnsi="Times New Roman" w:cs="Times New Roman"/>
          <w:color w:val="000000"/>
          <w:spacing w:val="0"/>
          <w:w w:val="100"/>
          <w:position w:val="0"/>
        </w:rPr>
        <w:t>+</w:t>
      </w:r>
      <w:r>
        <w:rPr>
          <w:color w:val="000000"/>
          <w:spacing w:val="0"/>
          <w:w w:val="100"/>
          <w:position w:val="0"/>
        </w:rPr>
        <w:t>复合功能</w:t>
      </w:r>
      <w:r>
        <w:rPr>
          <w:rFonts w:ascii="Times New Roman" w:eastAsia="Times New Roman" w:hAnsi="Times New Roman" w:cs="Times New Roman"/>
          <w:color w:val="000000"/>
          <w:spacing w:val="0"/>
          <w:w w:val="100"/>
          <w:position w:val="0"/>
        </w:rPr>
        <w:t>+</w:t>
      </w:r>
      <w:r>
        <w:rPr>
          <w:color w:val="000000"/>
          <w:spacing w:val="0"/>
          <w:w w:val="100"/>
          <w:position w:val="0"/>
        </w:rPr>
        <w:t>文化活动</w:t>
      </w:r>
      <w:r>
        <w:rPr>
          <w:rFonts w:ascii="Times New Roman" w:eastAsia="Times New Roman" w:hAnsi="Times New Roman" w:cs="Times New Roman"/>
          <w:color w:val="000000"/>
          <w:spacing w:val="0"/>
          <w:w w:val="100"/>
          <w:position w:val="0"/>
        </w:rPr>
        <w:t>”</w:t>
      </w:r>
      <w:r>
        <w:rPr>
          <w:color w:val="000000"/>
          <w:spacing w:val="0"/>
          <w:w w:val="100"/>
          <w:position w:val="0"/>
        </w:rPr>
        <w:t>的试点实验。已试点伊工社（混合更新的 工作社群）、伊美术馆（无界多元的艺术空间）、伊街坊（协同开放的绿色街区）、伊邻苑（生态转型的宜居邻里）、伊伙 伴（共享价值的合作伙伴）等多项微工程，形成了</w:t>
      </w:r>
      <w:r>
        <w:rPr>
          <w:rFonts w:ascii="Times New Roman" w:eastAsia="Times New Roman" w:hAnsi="Times New Roman" w:cs="Times New Roman"/>
          <w:color w:val="000000"/>
          <w:spacing w:val="0"/>
          <w:w w:val="100"/>
          <w:position w:val="0"/>
        </w:rPr>
        <w:t>4</w:t>
      </w:r>
      <w:r>
        <w:rPr>
          <w:color w:val="000000"/>
          <w:spacing w:val="0"/>
          <w:w w:val="100"/>
          <w:position w:val="0"/>
        </w:rPr>
        <w:t>小时展示体验路线，成为当地网红打卡点，罗萨大街改造</w:t>
      </w:r>
      <w:r>
        <w:rPr>
          <w:rFonts w:ascii="Times New Roman" w:eastAsia="Times New Roman" w:hAnsi="Times New Roman" w:cs="Times New Roman"/>
          <w:color w:val="000000"/>
          <w:spacing w:val="0"/>
          <w:w w:val="100"/>
          <w:position w:val="0"/>
        </w:rPr>
        <w:t>“</w:t>
      </w:r>
      <w:r>
        <w:rPr>
          <w:color w:val="000000"/>
          <w:spacing w:val="0"/>
          <w:w w:val="100"/>
          <w:position w:val="0"/>
        </w:rPr>
        <w:t>漫生活街区</w:t>
      </w:r>
      <w:r>
        <w:rPr>
          <w:rFonts w:ascii="Times New Roman" w:eastAsia="Times New Roman" w:hAnsi="Times New Roman" w:cs="Times New Roman"/>
          <w:color w:val="000000"/>
          <w:spacing w:val="0"/>
          <w:w w:val="100"/>
          <w:position w:val="0"/>
        </w:rPr>
        <w:t xml:space="preserve">” </w:t>
      </w:r>
      <w:r>
        <w:rPr>
          <w:color w:val="000000"/>
          <w:spacing w:val="0"/>
          <w:w w:val="100"/>
          <w:position w:val="0"/>
        </w:rPr>
        <w:t>作为雄安新区容城县主要的公共文化休闲场所，节假日日均活跃用户数高达</w:t>
      </w:r>
      <w:r>
        <w:rPr>
          <w:rFonts w:ascii="Times New Roman" w:eastAsia="Times New Roman" w:hAnsi="Times New Roman" w:cs="Times New Roman"/>
          <w:color w:val="000000"/>
          <w:spacing w:val="0"/>
          <w:w w:val="100"/>
          <w:position w:val="0"/>
        </w:rPr>
        <w:t>2200</w:t>
      </w:r>
      <w:r>
        <w:rPr>
          <w:color w:val="000000"/>
          <w:spacing w:val="0"/>
          <w:w w:val="100"/>
          <w:position w:val="0"/>
        </w:rPr>
        <w:t>人次、月均活跃用户数高达</w:t>
      </w:r>
      <w:r>
        <w:rPr>
          <w:rFonts w:ascii="Times New Roman" w:eastAsia="Times New Roman" w:hAnsi="Times New Roman" w:cs="Times New Roman"/>
          <w:color w:val="000000"/>
          <w:spacing w:val="0"/>
          <w:w w:val="100"/>
          <w:position w:val="0"/>
        </w:rPr>
        <w:t>33489</w:t>
      </w:r>
      <w:r>
        <w:rPr>
          <w:color w:val="000000"/>
          <w:spacing w:val="0"/>
          <w:w w:val="100"/>
          <w:position w:val="0"/>
        </w:rPr>
        <w:t>人次。中 国雄安官网和人民网对深圳建科院在雄安新区开展的各类活动进行了专项报道。新华网、中央广播电台、</w:t>
      </w:r>
      <w:r>
        <w:rPr>
          <w:rFonts w:ascii="Times New Roman" w:eastAsia="Times New Roman" w:hAnsi="Times New Roman" w:cs="Times New Roman"/>
          <w:color w:val="000000"/>
          <w:spacing w:val="0"/>
          <w:w w:val="100"/>
          <w:position w:val="0"/>
        </w:rPr>
        <w:t>CHINA DAILY</w:t>
      </w:r>
      <w:r>
        <w:rPr>
          <w:color w:val="000000"/>
          <w:spacing w:val="0"/>
          <w:w w:val="100"/>
          <w:position w:val="0"/>
        </w:rPr>
        <w:t xml:space="preserve">、 </w:t>
      </w:r>
      <w:r>
        <w:rPr>
          <w:color w:val="000000"/>
          <w:spacing w:val="0"/>
          <w:w w:val="100"/>
          <w:position w:val="0"/>
        </w:rPr>
        <w:t>深圳特区报、深圳卫视等共进行了上百次报道。</w:t>
      </w:r>
    </w:p>
    <w:p>
      <w:pPr>
        <w:pStyle w:val="Style20"/>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公司所有办公环境均按国家规定要求进行噪声污染和环境振动值控制，并采取相关措施减小对周边声环境的影响。在 固废物处理方面，公司与深圳环保集团签订工商业废物处理协议，制定《样品管理程序》《环境、废弃物与内务管理程序》 《单体燃烧净化装置操作规程》等多项文件，建立有效机制定期对固废物的转移过程进行监控及清单整理，有效保障固废物 的无害化、可持续资源再利用处理，减少对环境的影响。</w:t>
      </w:r>
    </w:p>
    <w:p>
      <w:pPr>
        <w:pStyle w:val="Style20"/>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公司开展规划或项目建设，严格履行相关规章制度，还制定了《室内空气质量预评价实施细则》《</w:t>
      </w:r>
      <w:r>
        <w:rPr>
          <w:rFonts w:ascii="Times New Roman" w:eastAsia="Times New Roman" w:hAnsi="Times New Roman" w:cs="Times New Roman"/>
          <w:color w:val="000000"/>
          <w:spacing w:val="0"/>
          <w:w w:val="100"/>
          <w:position w:val="0"/>
        </w:rPr>
        <w:t>IBR</w:t>
      </w:r>
      <w:r>
        <w:rPr>
          <w:color w:val="000000"/>
          <w:spacing w:val="0"/>
          <w:w w:val="100"/>
          <w:position w:val="0"/>
        </w:rPr>
        <w:t>室内空气健康监 制实施细则》等多项规章制度，持续加强并改进环境管理的实施。在可持续经营方面，公司践行可持续发展理论，制定《建 科大楼管理规定》，在办公、采购、装修、空调等电力使用多方面，实行绿色低碳措施。如倡导节约用水、用纸措施，打印 文件一般使用双面黑白，采用中水技术进行植物浇灌及洗手间用水，由于办公场所的绿色通风设计，空调使用年时长短于同 地区办公大楼</w:t>
      </w:r>
      <w:r>
        <w:rPr>
          <w:rFonts w:ascii="Times New Roman" w:eastAsia="Times New Roman" w:hAnsi="Times New Roman" w:cs="Times New Roman"/>
          <w:color w:val="000000"/>
          <w:spacing w:val="0"/>
          <w:w w:val="100"/>
          <w:position w:val="0"/>
        </w:rPr>
        <w:t>1-2</w:t>
      </w:r>
      <w:r>
        <w:rPr>
          <w:color w:val="000000"/>
          <w:spacing w:val="0"/>
          <w:w w:val="100"/>
          <w:position w:val="0"/>
        </w:rPr>
        <w:t>个月。公司积极参与各项环境事件讨论交流，近三年没有因环境违法违规事件而受到行政、刑事处罚，无 环境公益诉讼起诉情况。</w:t>
      </w:r>
    </w:p>
    <w:p>
      <w:pPr>
        <w:pStyle w:val="Style20"/>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公司雄安总部布局的战略成果在</w:t>
      </w:r>
      <w:r>
        <w:rPr>
          <w:rFonts w:ascii="Times New Roman" w:eastAsia="Times New Roman" w:hAnsi="Times New Roman" w:cs="Times New Roman"/>
          <w:color w:val="000000"/>
          <w:spacing w:val="0"/>
          <w:w w:val="100"/>
          <w:position w:val="0"/>
        </w:rPr>
        <w:t>2021</w:t>
      </w:r>
      <w:r>
        <w:rPr>
          <w:color w:val="000000"/>
          <w:spacing w:val="0"/>
          <w:w w:val="100"/>
          <w:position w:val="0"/>
        </w:rPr>
        <w:t>年进一步显现。雄安总部贡献的年度经营收入突破</w:t>
      </w:r>
      <w:r>
        <w:rPr>
          <w:rFonts w:ascii="Times New Roman" w:eastAsia="Times New Roman" w:hAnsi="Times New Roman" w:cs="Times New Roman"/>
          <w:color w:val="000000"/>
          <w:spacing w:val="0"/>
          <w:w w:val="100"/>
          <w:position w:val="0"/>
        </w:rPr>
        <w:t>1</w:t>
      </w:r>
      <w:r>
        <w:rPr>
          <w:color w:val="000000"/>
          <w:spacing w:val="0"/>
          <w:w w:val="100"/>
          <w:position w:val="0"/>
        </w:rPr>
        <w:t>亿元大关，本地化人员突破</w:t>
      </w:r>
      <w:r>
        <w:rPr>
          <w:rFonts w:ascii="Times New Roman" w:eastAsia="Times New Roman" w:hAnsi="Times New Roman" w:cs="Times New Roman"/>
          <w:color w:val="000000"/>
          <w:spacing w:val="0"/>
          <w:w w:val="100"/>
          <w:position w:val="0"/>
        </w:rPr>
        <w:t xml:space="preserve">100 </w:t>
      </w:r>
      <w:r>
        <w:rPr>
          <w:color w:val="000000"/>
          <w:spacing w:val="0"/>
          <w:w w:val="100"/>
          <w:position w:val="0"/>
        </w:rPr>
        <w:t>人。继续参与雄安绿色和</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规划顶层设计及重要活动、北京副中心规划设计等工作。经河北省科技厅批准，负责筹建河 北省绿色建筑人居环境技术创新中心，完成河北雄安勘察设计协会绿色人居分会的筹建工作。雄安商务服务中心项目作为雄 安新区首个开工建设的永久性建筑群，近</w:t>
      </w:r>
      <w:r>
        <w:rPr>
          <w:rFonts w:ascii="Times New Roman" w:eastAsia="Times New Roman" w:hAnsi="Times New Roman" w:cs="Times New Roman"/>
          <w:color w:val="000000"/>
          <w:spacing w:val="0"/>
          <w:w w:val="100"/>
          <w:position w:val="0"/>
        </w:rPr>
        <w:t>90</w:t>
      </w:r>
      <w:r>
        <w:rPr>
          <w:color w:val="000000"/>
          <w:spacing w:val="0"/>
          <w:w w:val="100"/>
          <w:position w:val="0"/>
        </w:rPr>
        <w:t>万平方米，部分楼栋已竣工交付，已逐渐成为雄安新区的新地标和打卡地。</w:t>
      </w:r>
    </w:p>
    <w:p>
      <w:pPr>
        <w:pStyle w:val="Style20"/>
        <w:keepNext w:val="0"/>
        <w:keepLines w:val="0"/>
        <w:widowControl w:val="0"/>
        <w:shd w:val="clear" w:color="auto" w:fill="auto"/>
        <w:bidi w:val="0"/>
        <w:spacing w:before="0" w:after="0" w:line="317" w:lineRule="exact"/>
        <w:ind w:left="0" w:right="0" w:firstLine="440"/>
        <w:jc w:val="both"/>
      </w:pPr>
      <w:bookmarkStart w:id="336" w:name="bookmark336"/>
      <w:r>
        <w:rPr>
          <w:b/>
          <w:bCs/>
          <w:color w:val="000000"/>
          <w:spacing w:val="0"/>
          <w:w w:val="100"/>
          <w:position w:val="0"/>
        </w:rPr>
        <w:t>二</w:t>
      </w:r>
      <w:bookmarkEnd w:id="336"/>
      <w:r>
        <w:rPr>
          <w:b/>
          <w:bCs/>
          <w:color w:val="000000"/>
          <w:spacing w:val="0"/>
          <w:w w:val="100"/>
          <w:position w:val="0"/>
        </w:rPr>
        <w:t>、公司业务持续聚焦绿色低碳可持续发展，为客户提供创新的“双碳”路径综合解决方案，共建幸福之城，为客户创 造价值</w:t>
      </w:r>
    </w:p>
    <w:p>
      <w:pPr>
        <w:pStyle w:val="Style20"/>
        <w:keepNext w:val="0"/>
        <w:keepLines w:val="0"/>
        <w:widowControl w:val="0"/>
        <w:shd w:val="clear" w:color="auto" w:fill="auto"/>
        <w:bidi w:val="0"/>
        <w:spacing w:before="0" w:after="140" w:line="313" w:lineRule="exact"/>
        <w:ind w:left="0" w:right="0" w:firstLine="440"/>
        <w:jc w:val="both"/>
      </w:pPr>
      <w:r>
        <w:rPr>
          <w:color w:val="000000"/>
          <w:spacing w:val="0"/>
          <w:w w:val="100"/>
          <w:position w:val="0"/>
        </w:rPr>
        <w:t>公司持续探索绿色生态转型、特别是</w:t>
      </w:r>
      <w:r>
        <w:rPr>
          <w:rFonts w:ascii="Times New Roman" w:eastAsia="Times New Roman" w:hAnsi="Times New Roman" w:cs="Times New Roman"/>
          <w:color w:val="000000"/>
          <w:spacing w:val="0"/>
          <w:w w:val="100"/>
          <w:position w:val="0"/>
        </w:rPr>
        <w:t>“</w:t>
      </w:r>
      <w:r>
        <w:rPr>
          <w:color w:val="000000"/>
          <w:spacing w:val="0"/>
          <w:w w:val="100"/>
          <w:position w:val="0"/>
        </w:rPr>
        <w:t>碳达峰</w:t>
      </w:r>
      <w:r>
        <w:rPr>
          <w:rFonts w:ascii="Times New Roman" w:eastAsia="Times New Roman" w:hAnsi="Times New Roman" w:cs="Times New Roman"/>
          <w:color w:val="000000"/>
          <w:spacing w:val="0"/>
          <w:w w:val="100"/>
          <w:position w:val="0"/>
        </w:rPr>
        <w:t>”“</w:t>
      </w:r>
      <w:r>
        <w:rPr>
          <w:color w:val="000000"/>
          <w:spacing w:val="0"/>
          <w:w w:val="100"/>
          <w:position w:val="0"/>
        </w:rPr>
        <w:t>碳中和</w:t>
      </w:r>
      <w:r>
        <w:rPr>
          <w:rFonts w:ascii="Times New Roman" w:eastAsia="Times New Roman" w:hAnsi="Times New Roman" w:cs="Times New Roman"/>
          <w:color w:val="000000"/>
          <w:spacing w:val="0"/>
          <w:w w:val="100"/>
          <w:position w:val="0"/>
        </w:rPr>
        <w:t>”</w:t>
      </w:r>
      <w:r>
        <w:rPr>
          <w:color w:val="000000"/>
          <w:spacing w:val="0"/>
          <w:w w:val="100"/>
          <w:position w:val="0"/>
        </w:rPr>
        <w:t>的实施路径，为生态文明建设贡献力量。坚持以习近平生态文明 思想为指导，牢固树立绿水青山就是金山银山的发展理念，经过多年精耕细作，在持续的研发创新、实验测试、项目实施基 础上，公司掌握了系统完整的城市和建筑绿色规划设计建设运营全过程的集成技术体系，能因地制宜地为不同区域、类型的 客户提供具有品质、特色、适宜、能较好实现绿色效益的综合技术服务，解决客户面临</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路径下的痛点问题，形成了系 统的技术服务品牌影响力。</w:t>
      </w:r>
    </w:p>
    <w:p>
      <w:pPr>
        <w:pStyle w:val="Style20"/>
        <w:keepNext w:val="0"/>
        <w:keepLines w:val="0"/>
        <w:widowControl w:val="0"/>
        <w:numPr>
          <w:ilvl w:val="0"/>
          <w:numId w:val="31"/>
        </w:numPr>
        <w:shd w:val="clear" w:color="auto" w:fill="auto"/>
        <w:bidi w:val="0"/>
        <w:spacing w:before="0" w:after="0" w:line="240" w:lineRule="auto"/>
        <w:ind w:left="0" w:right="0" w:firstLine="440"/>
        <w:jc w:val="both"/>
      </w:pPr>
      <w:bookmarkStart w:id="337" w:name="bookmark337"/>
      <w:bookmarkEnd w:id="337"/>
      <w:r>
        <w:rPr>
          <w:b/>
          <w:bCs/>
          <w:color w:val="000000"/>
          <w:spacing w:val="0"/>
          <w:w w:val="100"/>
          <w:position w:val="0"/>
        </w:rPr>
        <w:t>“</w:t>
      </w:r>
      <w:r>
        <w:rPr>
          <w:b/>
          <w:bCs/>
          <w:color w:val="000000"/>
          <w:spacing w:val="0"/>
          <w:w w:val="100"/>
          <w:position w:val="0"/>
        </w:rPr>
        <w:t>城市客户”市场战略，为不同类型特征的城市提供应对“双碳”挑战的全流程、综合、定制化的绿色科技创新服务</w:t>
      </w:r>
    </w:p>
    <w:p>
      <w:pPr>
        <w:pStyle w:val="Style2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公司将城市作为虚拟客户主体，以深圳总部为核心，辐射粤港澳大湾区；以雄安总部深度参与</w:t>
      </w:r>
      <w:r>
        <w:rPr>
          <w:rFonts w:ascii="Times New Roman" w:eastAsia="Times New Roman" w:hAnsi="Times New Roman" w:cs="Times New Roman"/>
          <w:color w:val="000000"/>
          <w:spacing w:val="0"/>
          <w:w w:val="100"/>
          <w:position w:val="0"/>
        </w:rPr>
        <w:t>“</w:t>
      </w:r>
      <w:r>
        <w:rPr>
          <w:color w:val="000000"/>
          <w:spacing w:val="0"/>
          <w:w w:val="100"/>
          <w:position w:val="0"/>
        </w:rPr>
        <w:t>绿色雄安</w:t>
      </w:r>
      <w:r>
        <w:rPr>
          <w:rFonts w:ascii="Times New Roman" w:eastAsia="Times New Roman" w:hAnsi="Times New Roman" w:cs="Times New Roman"/>
          <w:color w:val="000000"/>
          <w:spacing w:val="0"/>
          <w:w w:val="100"/>
          <w:position w:val="0"/>
        </w:rPr>
        <w:t>”</w:t>
      </w:r>
      <w:r>
        <w:rPr>
          <w:color w:val="000000"/>
          <w:spacing w:val="0"/>
          <w:w w:val="100"/>
          <w:position w:val="0"/>
        </w:rPr>
        <w:t>战略，推动雄 安新区绿色城市建设模式和技术体系创新，探索集团化发展的路径；以绿色技术总顾问单位核心参与城市设计，创新设置首 席绿色生态总师，突破传统的总规划师、总建筑师、总工程师的专业划分，创新整合业务模式，强化业务集中度，实施以城 市绿色发展为目的全过程业务和组合业务营销策略，满足不同城市发展阶段、生态</w:t>
      </w:r>
      <w:r>
        <w:rPr>
          <w:rFonts w:ascii="Times New Roman" w:eastAsia="Times New Roman" w:hAnsi="Times New Roman" w:cs="Times New Roman"/>
          <w:color w:val="000000"/>
          <w:spacing w:val="0"/>
          <w:w w:val="100"/>
          <w:position w:val="0"/>
        </w:rPr>
        <w:t>/</w:t>
      </w:r>
      <w:r>
        <w:rPr>
          <w:color w:val="000000"/>
          <w:spacing w:val="0"/>
          <w:w w:val="100"/>
          <w:position w:val="0"/>
        </w:rPr>
        <w:t>资源</w:t>
      </w:r>
      <w:r>
        <w:rPr>
          <w:rFonts w:ascii="Times New Roman" w:eastAsia="Times New Roman" w:hAnsi="Times New Roman" w:cs="Times New Roman"/>
          <w:color w:val="000000"/>
          <w:spacing w:val="0"/>
          <w:w w:val="100"/>
          <w:position w:val="0"/>
        </w:rPr>
        <w:t>/</w:t>
      </w:r>
      <w:r>
        <w:rPr>
          <w:color w:val="000000"/>
          <w:spacing w:val="0"/>
          <w:w w:val="100"/>
          <w:position w:val="0"/>
        </w:rPr>
        <w:t>产业本底、发展路径需求。</w:t>
      </w:r>
    </w:p>
    <w:p>
      <w:pPr>
        <w:pStyle w:val="Style20"/>
        <w:keepNext w:val="0"/>
        <w:keepLines w:val="0"/>
        <w:widowControl w:val="0"/>
        <w:numPr>
          <w:ilvl w:val="0"/>
          <w:numId w:val="31"/>
        </w:numPr>
        <w:shd w:val="clear" w:color="auto" w:fill="auto"/>
        <w:bidi w:val="0"/>
        <w:spacing w:before="0" w:after="0" w:line="322" w:lineRule="exact"/>
        <w:ind w:left="0" w:right="0" w:firstLine="380"/>
        <w:jc w:val="both"/>
      </w:pPr>
      <w:bookmarkStart w:id="338" w:name="bookmark338"/>
      <w:bookmarkEnd w:id="338"/>
      <w:r>
        <w:rPr>
          <w:b/>
          <w:bCs/>
          <w:color w:val="000000"/>
          <w:spacing w:val="0"/>
          <w:w w:val="100"/>
          <w:position w:val="0"/>
        </w:rPr>
        <w:t>通过“生态诊断、平衡规划、动态实施、智慧运营、持续评估”的全链条低碳规划技术服务产品创新体系，提供涵盖科 研、规划、设计、咨询、检测、项目管理以及运营等全过程所需综合解决方案</w:t>
      </w:r>
    </w:p>
    <w:p>
      <w:pPr>
        <w:pStyle w:val="Style2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一是生态诊断方面。在低碳研究部分，向城市、城区领域推广具有地区特性的低碳发展顶层规划和行之有效的方法论， 是落实好</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战略的重要支撑，更是技术单位创造服务价值、客户价值、社会价值的体现。</w:t>
      </w:r>
    </w:p>
    <w:p>
      <w:pPr>
        <w:pStyle w:val="Style20"/>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公司连续</w:t>
      </w:r>
      <w:r>
        <w:rPr>
          <w:rFonts w:ascii="Times New Roman" w:eastAsia="Times New Roman" w:hAnsi="Times New Roman" w:cs="Times New Roman"/>
          <w:color w:val="000000"/>
          <w:spacing w:val="0"/>
          <w:w w:val="100"/>
          <w:position w:val="0"/>
        </w:rPr>
        <w:t>11</w:t>
      </w:r>
      <w:r>
        <w:rPr>
          <w:color w:val="000000"/>
          <w:spacing w:val="0"/>
          <w:w w:val="100"/>
          <w:position w:val="0"/>
        </w:rPr>
        <w:t>年发布中国</w:t>
      </w:r>
      <w:r>
        <w:rPr>
          <w:rFonts w:ascii="Times New Roman" w:eastAsia="Times New Roman" w:hAnsi="Times New Roman" w:cs="Times New Roman"/>
          <w:color w:val="000000"/>
          <w:spacing w:val="0"/>
          <w:w w:val="100"/>
          <w:position w:val="0"/>
        </w:rPr>
        <w:t>287</w:t>
      </w:r>
      <w:r>
        <w:rPr>
          <w:color w:val="000000"/>
          <w:spacing w:val="0"/>
          <w:w w:val="100"/>
          <w:position w:val="0"/>
        </w:rPr>
        <w:t>个地级市的城市生态宜居发展指数（即</w:t>
      </w:r>
      <w:r>
        <w:rPr>
          <w:rFonts w:ascii="Times New Roman" w:eastAsia="Times New Roman" w:hAnsi="Times New Roman" w:cs="Times New Roman"/>
          <w:color w:val="000000"/>
          <w:spacing w:val="0"/>
          <w:w w:val="100"/>
          <w:position w:val="0"/>
        </w:rPr>
        <w:t>“</w:t>
      </w:r>
      <w:r>
        <w:rPr>
          <w:color w:val="000000"/>
          <w:spacing w:val="0"/>
          <w:w w:val="100"/>
          <w:position w:val="0"/>
        </w:rPr>
        <w:t>优地指数</w:t>
      </w:r>
      <w:r>
        <w:rPr>
          <w:rFonts w:ascii="Times New Roman" w:eastAsia="Times New Roman" w:hAnsi="Times New Roman" w:cs="Times New Roman"/>
          <w:color w:val="000000"/>
          <w:spacing w:val="0"/>
          <w:w w:val="100"/>
          <w:position w:val="0"/>
        </w:rPr>
        <w:t>”</w:t>
      </w:r>
      <w:r>
        <w:rPr>
          <w:color w:val="000000"/>
          <w:spacing w:val="0"/>
          <w:w w:val="100"/>
          <w:position w:val="0"/>
        </w:rPr>
        <w:t>）评估结果，同时结合第七次人口普查数 据分析不同类型城市的人口动态情况，分析各类城市的人口吸引力。此外，对能源、工业、建筑和交通板块中与碳排放直接 或间接关联的评估指标等进行专项评估，正在开发省市碳排放计算平台，已完成</w:t>
      </w:r>
      <w:r>
        <w:rPr>
          <w:rFonts w:ascii="Times New Roman" w:eastAsia="Times New Roman" w:hAnsi="Times New Roman" w:cs="Times New Roman"/>
          <w:color w:val="000000"/>
          <w:spacing w:val="0"/>
          <w:w w:val="100"/>
          <w:position w:val="0"/>
        </w:rPr>
        <w:t>30</w:t>
      </w:r>
      <w:r>
        <w:rPr>
          <w:color w:val="000000"/>
          <w:spacing w:val="0"/>
          <w:w w:val="100"/>
          <w:position w:val="0"/>
        </w:rPr>
        <w:t>个省</w:t>
      </w:r>
      <w:r>
        <w:rPr>
          <w:rFonts w:ascii="Times New Roman" w:eastAsia="Times New Roman" w:hAnsi="Times New Roman" w:cs="Times New Roman"/>
          <w:color w:val="000000"/>
          <w:spacing w:val="0"/>
          <w:w w:val="100"/>
          <w:position w:val="0"/>
        </w:rPr>
        <w:t>2010-2019</w:t>
      </w:r>
      <w:r>
        <w:rPr>
          <w:color w:val="000000"/>
          <w:spacing w:val="0"/>
          <w:w w:val="100"/>
          <w:position w:val="0"/>
        </w:rPr>
        <w:t>年碳排放数据。为地方政 府提供生态发展、实现</w:t>
      </w:r>
      <w:r>
        <w:rPr>
          <w:rFonts w:ascii="Times New Roman" w:eastAsia="Times New Roman" w:hAnsi="Times New Roman" w:cs="Times New Roman"/>
          <w:color w:val="000000"/>
          <w:spacing w:val="0"/>
          <w:w w:val="100"/>
          <w:position w:val="0"/>
        </w:rPr>
        <w:t>“</w:t>
      </w:r>
      <w:r>
        <w:rPr>
          <w:color w:val="000000"/>
          <w:spacing w:val="0"/>
          <w:w w:val="100"/>
          <w:position w:val="0"/>
        </w:rPr>
        <w:t>碳中和</w:t>
      </w:r>
      <w:r>
        <w:rPr>
          <w:rFonts w:ascii="Times New Roman" w:eastAsia="Times New Roman" w:hAnsi="Times New Roman" w:cs="Times New Roman"/>
          <w:color w:val="000000"/>
          <w:spacing w:val="0"/>
          <w:w w:val="100"/>
          <w:position w:val="0"/>
        </w:rPr>
        <w:t>”</w:t>
      </w:r>
      <w:r>
        <w:rPr>
          <w:color w:val="000000"/>
          <w:spacing w:val="0"/>
          <w:w w:val="100"/>
          <w:position w:val="0"/>
        </w:rPr>
        <w:t>目标及路径的科学决策依据，并通过结合部分城市的疫情发展数据，探讨城市生态宜居发展 水平与疫情防控的关联性。</w:t>
      </w:r>
    </w:p>
    <w:p>
      <w:pPr>
        <w:pStyle w:val="Style2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公司组建城市安全研究团队，研究结合建筑物安全构成要素、各类基础地理数据和生态安全格局数据，基于</w:t>
      </w:r>
      <w:r>
        <w:rPr>
          <w:rFonts w:ascii="Times New Roman" w:eastAsia="Times New Roman" w:hAnsi="Times New Roman" w:cs="Times New Roman"/>
          <w:color w:val="000000"/>
          <w:spacing w:val="0"/>
          <w:w w:val="100"/>
          <w:position w:val="0"/>
        </w:rPr>
        <w:t>GIS</w:t>
      </w:r>
      <w:r>
        <w:rPr>
          <w:color w:val="000000"/>
          <w:spacing w:val="0"/>
          <w:w w:val="100"/>
          <w:position w:val="0"/>
        </w:rPr>
        <w:t>平台搭 建生态安全格局数据库，建立建筑物安全数据库，旨在绘制城市、社区安全地图，为城市安全设计与防控提供专业技术咨询 服务。公司基于多项国家级、国际间合作项目成果，依托</w:t>
      </w:r>
      <w:r>
        <w:rPr>
          <w:rFonts w:ascii="Times New Roman" w:eastAsia="Times New Roman" w:hAnsi="Times New Roman" w:cs="Times New Roman"/>
          <w:color w:val="000000"/>
          <w:spacing w:val="0"/>
          <w:w w:val="100"/>
          <w:position w:val="0"/>
        </w:rPr>
        <w:t>“</w:t>
      </w:r>
      <w:r>
        <w:rPr>
          <w:color w:val="000000"/>
          <w:spacing w:val="0"/>
          <w:w w:val="100"/>
          <w:position w:val="0"/>
        </w:rPr>
        <w:t>城市客户</w:t>
      </w:r>
      <w:r>
        <w:rPr>
          <w:rFonts w:ascii="Times New Roman" w:eastAsia="Times New Roman" w:hAnsi="Times New Roman" w:cs="Times New Roman"/>
          <w:color w:val="000000"/>
          <w:spacing w:val="0"/>
          <w:w w:val="100"/>
          <w:position w:val="0"/>
        </w:rPr>
        <w:t>”</w:t>
      </w:r>
      <w:r>
        <w:rPr>
          <w:color w:val="000000"/>
          <w:spacing w:val="0"/>
          <w:w w:val="100"/>
          <w:position w:val="0"/>
        </w:rPr>
        <w:t>战略的推进，在粤港澳大湾区城市深圳、珠海、东莞以 及雄安新区、成都、无锡等城市核心片区开展低碳规划研究。在生态诊断规划方面，公司率先开展低碳、近零碳指标体系的 技术支持工作。</w:t>
      </w:r>
    </w:p>
    <w:p>
      <w:pPr>
        <w:pStyle w:val="Style20"/>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二是平衡规划方面。公司已完成数千平方公里绿色低碳生态规划。</w:t>
      </w:r>
      <w:r>
        <w:rPr>
          <w:rFonts w:ascii="Times New Roman" w:eastAsia="Times New Roman" w:hAnsi="Times New Roman" w:cs="Times New Roman"/>
          <w:color w:val="000000"/>
          <w:spacing w:val="0"/>
          <w:w w:val="100"/>
          <w:position w:val="0"/>
        </w:rPr>
        <w:t>2013</w:t>
      </w:r>
      <w:r>
        <w:rPr>
          <w:color w:val="000000"/>
          <w:spacing w:val="0"/>
          <w:w w:val="100"/>
          <w:position w:val="0"/>
        </w:rPr>
        <w:t>年开展的深圳国际低碳城规划</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月获得 中国国际经济交流中心与保尔森基金会可持续发展规划项目奖，推动了低碳城区的全面示范。</w:t>
      </w:r>
      <w:r>
        <w:rPr>
          <w:rFonts w:ascii="Times New Roman" w:eastAsia="Times New Roman" w:hAnsi="Times New Roman" w:cs="Times New Roman"/>
          <w:color w:val="000000"/>
          <w:spacing w:val="0"/>
          <w:w w:val="100"/>
          <w:position w:val="0"/>
        </w:rPr>
        <w:t>2021</w:t>
      </w:r>
      <w:r>
        <w:rPr>
          <w:color w:val="000000"/>
          <w:spacing w:val="0"/>
          <w:w w:val="100"/>
          <w:position w:val="0"/>
        </w:rPr>
        <w:t>年公司主持国内多个城市 的绿色、低碳、生态类规划编制研究工作，包括《珠海市国土空间生态修复规划</w:t>
      </w:r>
      <w:r>
        <w:rPr>
          <w:color w:val="000000"/>
          <w:spacing w:val="0"/>
          <w:w w:val="100"/>
          <w:position w:val="0"/>
        </w:rPr>
        <w:t>（</w:t>
      </w:r>
      <w:r>
        <w:rPr>
          <w:rFonts w:ascii="Times New Roman" w:eastAsia="Times New Roman" w:hAnsi="Times New Roman" w:cs="Times New Roman"/>
          <w:color w:val="000000"/>
          <w:spacing w:val="0"/>
          <w:w w:val="100"/>
          <w:position w:val="0"/>
        </w:rPr>
        <w:t>2020-2035</w:t>
      </w:r>
      <w:r>
        <w:rPr>
          <w:color w:val="000000"/>
          <w:spacing w:val="0"/>
          <w:w w:val="100"/>
          <w:position w:val="0"/>
        </w:rPr>
        <w:t>年）》、河北张家口市张北县国 土空间总体规划、东莞国际商务区绿色低碳建筑专项规划等。</w:t>
      </w:r>
    </w:p>
    <w:p>
      <w:pPr>
        <w:pStyle w:val="Style2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三是动态实施方面。围绕</w:t>
      </w:r>
      <w:r>
        <w:rPr>
          <w:rFonts w:ascii="Times New Roman" w:eastAsia="Times New Roman" w:hAnsi="Times New Roman" w:cs="Times New Roman"/>
          <w:color w:val="000000"/>
          <w:spacing w:val="0"/>
          <w:w w:val="100"/>
          <w:position w:val="0"/>
        </w:rPr>
        <w:t>“</w:t>
      </w:r>
      <w:r>
        <w:rPr>
          <w:color w:val="000000"/>
          <w:spacing w:val="0"/>
          <w:w w:val="100"/>
          <w:position w:val="0"/>
        </w:rPr>
        <w:t>安全韧性</w:t>
      </w:r>
      <w:r>
        <w:rPr>
          <w:rFonts w:ascii="Times New Roman" w:eastAsia="Times New Roman" w:hAnsi="Times New Roman" w:cs="Times New Roman"/>
          <w:color w:val="000000"/>
          <w:spacing w:val="0"/>
          <w:w w:val="100"/>
          <w:position w:val="0"/>
        </w:rPr>
        <w:t>”“</w:t>
      </w:r>
      <w:r>
        <w:rPr>
          <w:color w:val="000000"/>
          <w:spacing w:val="0"/>
          <w:w w:val="100"/>
          <w:position w:val="0"/>
        </w:rPr>
        <w:t>绿色低碳</w:t>
      </w:r>
      <w:r>
        <w:rPr>
          <w:rFonts w:ascii="Times New Roman" w:eastAsia="Times New Roman" w:hAnsi="Times New Roman" w:cs="Times New Roman"/>
          <w:color w:val="000000"/>
          <w:spacing w:val="0"/>
          <w:w w:val="100"/>
          <w:position w:val="0"/>
        </w:rPr>
        <w:t>”“</w:t>
      </w:r>
      <w:r>
        <w:rPr>
          <w:color w:val="000000"/>
          <w:spacing w:val="0"/>
          <w:w w:val="100"/>
          <w:position w:val="0"/>
        </w:rPr>
        <w:t>品质提升</w:t>
      </w:r>
      <w:r>
        <w:rPr>
          <w:rFonts w:ascii="Times New Roman" w:eastAsia="Times New Roman" w:hAnsi="Times New Roman" w:cs="Times New Roman"/>
          <w:color w:val="000000"/>
          <w:spacing w:val="0"/>
          <w:w w:val="100"/>
          <w:position w:val="0"/>
        </w:rPr>
        <w:t>”</w:t>
      </w:r>
      <w:r>
        <w:rPr>
          <w:color w:val="000000"/>
          <w:spacing w:val="0"/>
          <w:w w:val="100"/>
          <w:position w:val="0"/>
        </w:rPr>
        <w:t>三大核心特色，贯彻执行</w:t>
      </w:r>
      <w:r>
        <w:rPr>
          <w:rFonts w:ascii="Times New Roman" w:eastAsia="Times New Roman" w:hAnsi="Times New Roman" w:cs="Times New Roman"/>
          <w:color w:val="000000"/>
          <w:spacing w:val="0"/>
          <w:w w:val="100"/>
          <w:position w:val="0"/>
        </w:rPr>
        <w:t>“</w:t>
      </w:r>
      <w:r>
        <w:rPr>
          <w:color w:val="000000"/>
          <w:spacing w:val="0"/>
          <w:w w:val="100"/>
          <w:position w:val="0"/>
        </w:rPr>
        <w:t>城市客户</w:t>
      </w:r>
      <w:r>
        <w:rPr>
          <w:rFonts w:ascii="Times New Roman" w:eastAsia="Times New Roman" w:hAnsi="Times New Roman" w:cs="Times New Roman"/>
          <w:color w:val="000000"/>
          <w:spacing w:val="0"/>
          <w:w w:val="100"/>
          <w:position w:val="0"/>
        </w:rPr>
        <w:t>”</w:t>
      </w:r>
      <w:r>
        <w:rPr>
          <w:color w:val="000000"/>
          <w:spacing w:val="0"/>
          <w:w w:val="100"/>
          <w:position w:val="0"/>
        </w:rPr>
        <w:t>市场战略，试点以技术 总顾问身份，为政府部门提供</w:t>
      </w:r>
      <w:r>
        <w:rPr>
          <w:rFonts w:ascii="Times New Roman" w:eastAsia="Times New Roman" w:hAnsi="Times New Roman" w:cs="Times New Roman"/>
          <w:color w:val="000000"/>
          <w:spacing w:val="0"/>
          <w:w w:val="100"/>
          <w:position w:val="0"/>
        </w:rPr>
        <w:t>“</w:t>
      </w:r>
      <w:r>
        <w:rPr>
          <w:color w:val="000000"/>
          <w:spacing w:val="0"/>
          <w:w w:val="100"/>
          <w:position w:val="0"/>
        </w:rPr>
        <w:t>科学的绿色低碳目标研究，合理的路线图制定，系统的安全韧性、绿色低碳、品质提升技术 咨询服务</w:t>
      </w:r>
      <w:r>
        <w:rPr>
          <w:rFonts w:ascii="Times New Roman" w:eastAsia="Times New Roman" w:hAnsi="Times New Roman" w:cs="Times New Roman"/>
          <w:color w:val="000000"/>
          <w:spacing w:val="0"/>
          <w:w w:val="100"/>
          <w:position w:val="0"/>
        </w:rPr>
        <w:t>”</w:t>
      </w:r>
      <w:r>
        <w:rPr>
          <w:color w:val="000000"/>
          <w:spacing w:val="0"/>
          <w:w w:val="100"/>
          <w:position w:val="0"/>
        </w:rPr>
        <w:t>公司技术总顾问业务模式。并以此引导规划设计、建设管理、检测认证及绿色运营等业务更好形成协同甚至整合 效应，提升公司业务综合竞争力。其中：</w:t>
      </w:r>
    </w:p>
    <w:p>
      <w:pPr>
        <w:pStyle w:val="Style20"/>
        <w:keepNext w:val="0"/>
        <w:keepLines w:val="0"/>
        <w:widowControl w:val="0"/>
        <w:shd w:val="clear" w:color="auto" w:fill="auto"/>
        <w:bidi w:val="0"/>
        <w:spacing w:before="0" w:after="0" w:line="319" w:lineRule="exact"/>
        <w:ind w:left="0" w:right="0" w:firstLine="440"/>
        <w:jc w:val="both"/>
      </w:pPr>
      <w:r>
        <w:rPr>
          <w:color w:val="000000"/>
          <w:spacing w:val="0"/>
          <w:w w:val="100"/>
          <w:position w:val="0"/>
        </w:rPr>
        <w:t>在海绵城市方面，</w:t>
      </w:r>
      <w:r>
        <w:rPr>
          <w:rFonts w:ascii="Times New Roman" w:eastAsia="Times New Roman" w:hAnsi="Times New Roman" w:cs="Times New Roman"/>
          <w:color w:val="000000"/>
          <w:spacing w:val="0"/>
          <w:w w:val="100"/>
          <w:position w:val="0"/>
        </w:rPr>
        <w:t>2021</w:t>
      </w:r>
      <w:r>
        <w:rPr>
          <w:color w:val="000000"/>
          <w:spacing w:val="0"/>
          <w:w w:val="100"/>
          <w:position w:val="0"/>
        </w:rPr>
        <w:t>年新增海绵城市咨询面积</w:t>
      </w:r>
      <w:r>
        <w:rPr>
          <w:rFonts w:ascii="Times New Roman" w:eastAsia="Times New Roman" w:hAnsi="Times New Roman" w:cs="Times New Roman"/>
          <w:color w:val="000000"/>
          <w:spacing w:val="0"/>
          <w:w w:val="100"/>
          <w:position w:val="0"/>
        </w:rPr>
        <w:t>98</w:t>
      </w:r>
      <w:r>
        <w:rPr>
          <w:color w:val="000000"/>
          <w:spacing w:val="0"/>
          <w:w w:val="100"/>
          <w:position w:val="0"/>
        </w:rPr>
        <w:t>万平方米，咨询项目包括华润湖北城市更新头筹片区项目</w:t>
      </w:r>
      <w:r>
        <w:rPr>
          <w:rFonts w:ascii="Times New Roman" w:eastAsia="Times New Roman" w:hAnsi="Times New Roman" w:cs="Times New Roman"/>
          <w:color w:val="000000"/>
          <w:spacing w:val="0"/>
          <w:w w:val="100"/>
          <w:position w:val="0"/>
        </w:rPr>
        <w:t>A1-A3</w:t>
      </w:r>
      <w:r>
        <w:rPr>
          <w:color w:val="000000"/>
          <w:spacing w:val="0"/>
          <w:w w:val="100"/>
          <w:position w:val="0"/>
        </w:rPr>
        <w:t>地 块，华润置地华南大区雪花啤酒小镇项目、腾讯大铲湾项目。公司自主设计、建设的办公研发大楼建科院未来大厦项目正在 打造成为引领未来建筑设计的海绵型社区。</w:t>
      </w:r>
    </w:p>
    <w:p>
      <w:pPr>
        <w:pStyle w:val="Style20"/>
        <w:keepNext w:val="0"/>
        <w:keepLines w:val="0"/>
        <w:widowControl w:val="0"/>
        <w:shd w:val="clear" w:color="auto" w:fill="auto"/>
        <w:bidi w:val="0"/>
        <w:spacing w:before="0" w:after="0" w:line="313" w:lineRule="exact"/>
        <w:ind w:left="0" w:right="0" w:firstLine="800"/>
        <w:jc w:val="both"/>
      </w:pPr>
      <w:r>
        <w:rPr>
          <w:color w:val="000000"/>
          <w:spacing w:val="0"/>
          <w:w w:val="100"/>
          <w:position w:val="0"/>
        </w:rPr>
        <w:t>在绿色建筑咨询方面，</w:t>
      </w:r>
      <w:r>
        <w:rPr>
          <w:rFonts w:ascii="Times New Roman" w:eastAsia="Times New Roman" w:hAnsi="Times New Roman" w:cs="Times New Roman"/>
          <w:color w:val="000000"/>
          <w:spacing w:val="0"/>
          <w:w w:val="100"/>
          <w:position w:val="0"/>
        </w:rPr>
        <w:t>2021</w:t>
      </w:r>
      <w:r>
        <w:rPr>
          <w:color w:val="000000"/>
          <w:spacing w:val="0"/>
          <w:w w:val="100"/>
          <w:position w:val="0"/>
        </w:rPr>
        <w:t>年公司为全国近</w:t>
      </w:r>
      <w:r>
        <w:rPr>
          <w:rFonts w:ascii="Times New Roman" w:eastAsia="Times New Roman" w:hAnsi="Times New Roman" w:cs="Times New Roman"/>
          <w:color w:val="000000"/>
          <w:spacing w:val="0"/>
          <w:w w:val="100"/>
          <w:position w:val="0"/>
        </w:rPr>
        <w:t>1000</w:t>
      </w:r>
      <w:r>
        <w:rPr>
          <w:color w:val="000000"/>
          <w:spacing w:val="0"/>
          <w:w w:val="100"/>
          <w:position w:val="0"/>
        </w:rPr>
        <w:t>万平方米的项目提供绿色建筑及环境咨询服务，通过专业技术力 量实现项目运营阶段的年碳排放减少量近</w:t>
      </w:r>
      <w:r>
        <w:rPr>
          <w:rFonts w:ascii="Times New Roman" w:eastAsia="Times New Roman" w:hAnsi="Times New Roman" w:cs="Times New Roman"/>
          <w:color w:val="000000"/>
          <w:spacing w:val="0"/>
          <w:w w:val="100"/>
          <w:position w:val="0"/>
        </w:rPr>
        <w:t>1</w:t>
      </w:r>
      <w:r>
        <w:rPr>
          <w:color w:val="000000"/>
          <w:spacing w:val="0"/>
          <w:w w:val="100"/>
          <w:position w:val="0"/>
        </w:rPr>
        <w:t>万吨。</w:t>
      </w:r>
      <w:r>
        <w:rPr>
          <w:rFonts w:ascii="Times New Roman" w:eastAsia="Times New Roman" w:hAnsi="Times New Roman" w:cs="Times New Roman"/>
          <w:color w:val="000000"/>
          <w:spacing w:val="0"/>
          <w:w w:val="100"/>
          <w:position w:val="0"/>
        </w:rPr>
        <w:t>2021</w:t>
      </w:r>
      <w:r>
        <w:rPr>
          <w:color w:val="000000"/>
          <w:spacing w:val="0"/>
          <w:w w:val="100"/>
          <w:position w:val="0"/>
        </w:rPr>
        <w:t>年，公司共有</w:t>
      </w:r>
      <w:r>
        <w:rPr>
          <w:rFonts w:ascii="Times New Roman" w:eastAsia="Times New Roman" w:hAnsi="Times New Roman" w:cs="Times New Roman"/>
          <w:color w:val="000000"/>
          <w:spacing w:val="0"/>
          <w:w w:val="100"/>
          <w:position w:val="0"/>
        </w:rPr>
        <w:t>24</w:t>
      </w:r>
      <w:r>
        <w:rPr>
          <w:color w:val="000000"/>
          <w:spacing w:val="0"/>
          <w:w w:val="100"/>
          <w:position w:val="0"/>
        </w:rPr>
        <w:t>个、约</w:t>
      </w:r>
      <w:r>
        <w:rPr>
          <w:rFonts w:ascii="Times New Roman" w:eastAsia="Times New Roman" w:hAnsi="Times New Roman" w:cs="Times New Roman"/>
          <w:color w:val="000000"/>
          <w:spacing w:val="0"/>
          <w:w w:val="100"/>
          <w:position w:val="0"/>
        </w:rPr>
        <w:t>200</w:t>
      </w:r>
      <w:r>
        <w:rPr>
          <w:color w:val="000000"/>
          <w:spacing w:val="0"/>
          <w:w w:val="100"/>
          <w:position w:val="0"/>
        </w:rPr>
        <w:t>万平方米的绿色建筑咨询服务项目获得国家 绿色建筑评价标识认证，其中公共建筑项目</w:t>
      </w:r>
      <w:r>
        <w:rPr>
          <w:rFonts w:ascii="Times New Roman" w:eastAsia="Times New Roman" w:hAnsi="Times New Roman" w:cs="Times New Roman"/>
          <w:color w:val="000000"/>
          <w:spacing w:val="0"/>
          <w:w w:val="100"/>
          <w:position w:val="0"/>
        </w:rPr>
        <w:t>23</w:t>
      </w:r>
      <w:r>
        <w:rPr>
          <w:color w:val="000000"/>
          <w:spacing w:val="0"/>
          <w:w w:val="100"/>
          <w:position w:val="0"/>
        </w:rPr>
        <w:t>个，居住建筑项目</w:t>
      </w:r>
      <w:r>
        <w:rPr>
          <w:rFonts w:ascii="Times New Roman" w:eastAsia="Times New Roman" w:hAnsi="Times New Roman" w:cs="Times New Roman"/>
          <w:color w:val="000000"/>
          <w:spacing w:val="0"/>
          <w:w w:val="100"/>
          <w:position w:val="0"/>
        </w:rPr>
        <w:t>1</w:t>
      </w:r>
      <w:r>
        <w:rPr>
          <w:color w:val="000000"/>
          <w:spacing w:val="0"/>
          <w:w w:val="100"/>
          <w:position w:val="0"/>
        </w:rPr>
        <w:t>个，其中包括绿色建筑三星级认证项目</w:t>
      </w:r>
      <w:r>
        <w:rPr>
          <w:rFonts w:ascii="Times New Roman" w:eastAsia="Times New Roman" w:hAnsi="Times New Roman" w:cs="Times New Roman"/>
          <w:color w:val="000000"/>
          <w:spacing w:val="0"/>
          <w:w w:val="100"/>
          <w:position w:val="0"/>
        </w:rPr>
        <w:t>10</w:t>
      </w:r>
      <w:r>
        <w:rPr>
          <w:color w:val="000000"/>
          <w:spacing w:val="0"/>
          <w:w w:val="100"/>
          <w:position w:val="0"/>
        </w:rPr>
        <w:t>个。公司承接的 雄安商务服务中心全过程咨询项目</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年已有部分建筑竣工，从前期的技术研发到项目落地，共集成了 </w:t>
      </w:r>
      <w:r>
        <w:rPr>
          <w:rFonts w:ascii="Times New Roman" w:eastAsia="Times New Roman" w:hAnsi="Times New Roman" w:cs="Times New Roman"/>
          <w:color w:val="000000"/>
          <w:spacing w:val="0"/>
          <w:w w:val="100"/>
          <w:position w:val="0"/>
        </w:rPr>
        <w:t>200</w:t>
      </w:r>
      <w:r>
        <w:rPr>
          <w:color w:val="000000"/>
          <w:spacing w:val="0"/>
          <w:w w:val="100"/>
          <w:position w:val="0"/>
        </w:rPr>
        <w:t>多项在绿色建筑 和生态城市方面的新技术，助力雄安新区绿色发展。未来大厦项目于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月获得</w:t>
      </w:r>
      <w:r>
        <w:rPr>
          <w:rFonts w:ascii="Times New Roman" w:eastAsia="Times New Roman" w:hAnsi="Times New Roman" w:cs="Times New Roman"/>
          <w:color w:val="000000"/>
          <w:spacing w:val="0"/>
          <w:w w:val="100"/>
          <w:position w:val="0"/>
        </w:rPr>
        <w:t xml:space="preserve">Active House </w:t>
      </w:r>
      <w:r>
        <w:rPr>
          <w:rFonts w:ascii="Times New Roman" w:eastAsia="Times New Roman" w:hAnsi="Times New Roman" w:cs="Times New Roman"/>
          <w:color w:val="000000"/>
          <w:spacing w:val="0"/>
          <w:w w:val="100"/>
          <w:position w:val="0"/>
        </w:rPr>
        <w:t>10</w:t>
      </w:r>
      <w:r>
        <w:rPr>
          <w:color w:val="000000"/>
          <w:spacing w:val="0"/>
          <w:w w:val="100"/>
          <w:position w:val="0"/>
        </w:rPr>
        <w:t>周年</w:t>
      </w:r>
      <w:r>
        <w:rPr>
          <w:rFonts w:ascii="Times New Roman" w:eastAsia="Times New Roman" w:hAnsi="Times New Roman" w:cs="Times New Roman"/>
          <w:color w:val="000000"/>
          <w:spacing w:val="0"/>
          <w:w w:val="100"/>
          <w:position w:val="0"/>
        </w:rPr>
        <w:t>“</w:t>
      </w:r>
      <w:r>
        <w:rPr>
          <w:color w:val="000000"/>
          <w:spacing w:val="0"/>
          <w:w w:val="100"/>
          <w:position w:val="0"/>
        </w:rPr>
        <w:t>建成类最具远见 项目奖</w:t>
      </w:r>
      <w:r>
        <w:rPr>
          <w:rFonts w:ascii="Times New Roman" w:eastAsia="Times New Roman" w:hAnsi="Times New Roman" w:cs="Times New Roman"/>
          <w:color w:val="000000"/>
          <w:spacing w:val="0"/>
          <w:w w:val="100"/>
          <w:position w:val="0"/>
        </w:rPr>
        <w:t>”</w:t>
      </w:r>
      <w:r>
        <w:rPr>
          <w:color w:val="000000"/>
          <w:spacing w:val="0"/>
          <w:w w:val="100"/>
          <w:position w:val="0"/>
        </w:rPr>
        <w:t>国际大奖（全球仅三席）；公司承担的国际</w:t>
      </w:r>
      <w:r>
        <w:rPr>
          <w:rFonts w:ascii="Times New Roman" w:eastAsia="Times New Roman" w:hAnsi="Times New Roman" w:cs="Times New Roman"/>
          <w:color w:val="000000"/>
          <w:spacing w:val="0"/>
          <w:w w:val="100"/>
          <w:position w:val="0"/>
        </w:rPr>
        <w:t>WELL</w:t>
      </w:r>
      <w:r>
        <w:rPr>
          <w:color w:val="000000"/>
          <w:spacing w:val="0"/>
          <w:w w:val="100"/>
          <w:position w:val="0"/>
        </w:rPr>
        <w:t>健康建筑认证项目——无锡愉樾雅居顺利获得全球第</w:t>
      </w:r>
      <w:r>
        <w:rPr>
          <w:rFonts w:ascii="Times New Roman" w:eastAsia="Times New Roman" w:hAnsi="Times New Roman" w:cs="Times New Roman"/>
          <w:color w:val="000000"/>
          <w:spacing w:val="0"/>
          <w:w w:val="100"/>
          <w:position w:val="0"/>
        </w:rPr>
        <w:t>12</w:t>
      </w:r>
      <w:r>
        <w:rPr>
          <w:color w:val="000000"/>
          <w:spacing w:val="0"/>
          <w:w w:val="100"/>
          <w:position w:val="0"/>
        </w:rPr>
        <w:t>个</w:t>
      </w:r>
      <w:r>
        <w:rPr>
          <w:rFonts w:ascii="Times New Roman" w:eastAsia="Times New Roman" w:hAnsi="Times New Roman" w:cs="Times New Roman"/>
          <w:color w:val="000000"/>
          <w:spacing w:val="0"/>
          <w:w w:val="100"/>
          <w:position w:val="0"/>
        </w:rPr>
        <w:t>WELL</w:t>
      </w:r>
      <w:r>
        <w:rPr>
          <w:color w:val="000000"/>
          <w:spacing w:val="0"/>
          <w:w w:val="100"/>
          <w:position w:val="0"/>
        </w:rPr>
        <w:t>健</w:t>
      </w:r>
    </w:p>
    <w:p>
      <w:pPr>
        <w:pStyle w:val="Style20"/>
        <w:keepNext w:val="0"/>
        <w:keepLines w:val="0"/>
        <w:widowControl w:val="0"/>
        <w:shd w:val="clear" w:color="auto" w:fill="auto"/>
        <w:tabs>
          <w:tab w:pos="9202" w:val="left"/>
        </w:tabs>
        <w:bidi w:val="0"/>
        <w:spacing w:before="0" w:after="40" w:line="240" w:lineRule="auto"/>
        <w:ind w:left="0" w:right="0" w:firstLine="0"/>
        <w:jc w:val="left"/>
      </w:pPr>
      <w:r>
        <w:rPr>
          <w:color w:val="000000"/>
          <w:spacing w:val="0"/>
          <w:w w:val="100"/>
          <w:position w:val="0"/>
        </w:rPr>
        <w:t>康社区中期认证（全国首例获此殊誉的</w:t>
      </w:r>
      <w:r>
        <w:rPr>
          <w:rFonts w:ascii="Times New Roman" w:eastAsia="Times New Roman" w:hAnsi="Times New Roman" w:cs="Times New Roman"/>
          <w:color w:val="000000"/>
          <w:spacing w:val="0"/>
          <w:w w:val="100"/>
          <w:position w:val="0"/>
        </w:rPr>
        <w:t>TOD</w:t>
      </w:r>
      <w:r>
        <w:rPr>
          <w:color w:val="000000"/>
          <w:spacing w:val="0"/>
          <w:w w:val="100"/>
          <w:position w:val="0"/>
        </w:rPr>
        <w:t>项目），无锡麓鸣</w:t>
        <w:tab/>
        <w:t>一</w:t>
      </w:r>
    </w:p>
    <w:p>
      <w:pPr>
        <w:pStyle w:val="Style20"/>
        <w:keepNext w:val="0"/>
        <w:keepLines w:val="0"/>
        <w:widowControl w:val="0"/>
        <w:shd w:val="clear" w:color="auto" w:fill="auto"/>
        <w:bidi w:val="0"/>
        <w:spacing w:before="0" w:after="40" w:line="316" w:lineRule="exact"/>
        <w:ind w:left="0" w:right="0" w:firstLine="440"/>
        <w:jc w:val="both"/>
      </w:pPr>
      <w:r>
        <w:rPr>
          <w:color w:val="000000"/>
          <w:spacing w:val="0"/>
          <w:w w:val="100"/>
          <w:position w:val="0"/>
        </w:rPr>
        <w:t>四是智慧运营方面。</w:t>
      </w:r>
      <w:r>
        <w:rPr>
          <w:rFonts w:ascii="Times New Roman" w:eastAsia="Times New Roman" w:hAnsi="Times New Roman" w:cs="Times New Roman"/>
          <w:color w:val="000000"/>
          <w:spacing w:val="0"/>
          <w:w w:val="100"/>
          <w:position w:val="0"/>
        </w:rPr>
        <w:t>2009</w:t>
      </w:r>
      <w:r>
        <w:rPr>
          <w:color w:val="000000"/>
          <w:spacing w:val="0"/>
          <w:w w:val="100"/>
          <w:position w:val="0"/>
        </w:rPr>
        <w:t>年建成的三星级绿色建筑典范、公司总部</w:t>
      </w:r>
      <w:r>
        <w:rPr>
          <w:rFonts w:ascii="Times New Roman" w:eastAsia="Times New Roman" w:hAnsi="Times New Roman" w:cs="Times New Roman"/>
          <w:color w:val="000000"/>
          <w:spacing w:val="0"/>
          <w:w w:val="100"/>
          <w:position w:val="0"/>
        </w:rPr>
        <w:t>“</w:t>
      </w:r>
      <w:r>
        <w:rPr>
          <w:color w:val="000000"/>
          <w:spacing w:val="0"/>
          <w:w w:val="100"/>
          <w:position w:val="0"/>
        </w:rPr>
        <w:t>建科大楼</w:t>
      </w:r>
      <w:r>
        <w:rPr>
          <w:rFonts w:ascii="Times New Roman" w:eastAsia="Times New Roman" w:hAnsi="Times New Roman" w:cs="Times New Roman"/>
          <w:color w:val="000000"/>
          <w:spacing w:val="0"/>
          <w:w w:val="100"/>
          <w:position w:val="0"/>
        </w:rPr>
        <w:t>”2021</w:t>
      </w:r>
      <w:r>
        <w:rPr>
          <w:color w:val="000000"/>
          <w:spacing w:val="0"/>
          <w:w w:val="100"/>
          <w:position w:val="0"/>
        </w:rPr>
        <w:t>年作为</w:t>
      </w:r>
      <w:r>
        <w:rPr>
          <w:rFonts w:ascii="Times New Roman" w:eastAsia="Times New Roman" w:hAnsi="Times New Roman" w:cs="Times New Roman"/>
          <w:color w:val="000000"/>
          <w:spacing w:val="0"/>
          <w:w w:val="100"/>
          <w:position w:val="0"/>
        </w:rPr>
        <w:t>“</w:t>
      </w:r>
      <w:r>
        <w:rPr>
          <w:color w:val="000000"/>
          <w:spacing w:val="0"/>
          <w:w w:val="100"/>
          <w:position w:val="0"/>
        </w:rPr>
        <w:t>建筑绿色低碳运行管理典型 案例</w:t>
      </w:r>
      <w:r>
        <w:rPr>
          <w:rFonts w:ascii="Times New Roman" w:eastAsia="Times New Roman" w:hAnsi="Times New Roman" w:cs="Times New Roman"/>
          <w:color w:val="000000"/>
          <w:spacing w:val="0"/>
          <w:w w:val="100"/>
          <w:position w:val="0"/>
        </w:rPr>
        <w:t>”</w:t>
      </w:r>
      <w:r>
        <w:rPr>
          <w:color w:val="000000"/>
          <w:spacing w:val="0"/>
          <w:w w:val="100"/>
          <w:position w:val="0"/>
        </w:rPr>
        <w:t>成功申报城乡建设领域碳达峰碳中和先进案例。公司最新绿色社区案例</w:t>
      </w:r>
      <w:r>
        <w:rPr>
          <w:rFonts w:ascii="Times New Roman" w:eastAsia="Times New Roman" w:hAnsi="Times New Roman" w:cs="Times New Roman"/>
          <w:color w:val="000000"/>
          <w:spacing w:val="0"/>
          <w:w w:val="100"/>
          <w:position w:val="0"/>
        </w:rPr>
        <w:t>“</w:t>
      </w:r>
      <w:r>
        <w:rPr>
          <w:color w:val="000000"/>
          <w:spacing w:val="0"/>
          <w:w w:val="100"/>
          <w:position w:val="0"/>
        </w:rPr>
        <w:t>未来大厦</w:t>
      </w:r>
      <w:r>
        <w:rPr>
          <w:rFonts w:ascii="Times New Roman" w:eastAsia="Times New Roman" w:hAnsi="Times New Roman" w:cs="Times New Roman"/>
          <w:color w:val="000000"/>
          <w:spacing w:val="0"/>
          <w:w w:val="100"/>
          <w:position w:val="0"/>
        </w:rPr>
        <w:t>”</w:t>
      </w:r>
      <w:r>
        <w:rPr>
          <w:color w:val="000000"/>
          <w:spacing w:val="0"/>
          <w:w w:val="100"/>
          <w:position w:val="0"/>
        </w:rPr>
        <w:t>探索智慧运营模式取得突破，搭建 了去中心化（边缘计算）的</w:t>
      </w:r>
      <w:r>
        <w:rPr>
          <w:rFonts w:ascii="Times New Roman" w:eastAsia="Times New Roman" w:hAnsi="Times New Roman" w:cs="Times New Roman"/>
          <w:color w:val="000000"/>
          <w:spacing w:val="0"/>
          <w:w w:val="100"/>
          <w:position w:val="0"/>
        </w:rPr>
        <w:t>“</w:t>
      </w:r>
      <w:r>
        <w:rPr>
          <w:color w:val="000000"/>
          <w:spacing w:val="0"/>
          <w:w w:val="100"/>
          <w:position w:val="0"/>
        </w:rPr>
        <w:t>群智能</w:t>
      </w:r>
      <w:r>
        <w:rPr>
          <w:rFonts w:ascii="Times New Roman" w:eastAsia="Times New Roman" w:hAnsi="Times New Roman" w:cs="Times New Roman"/>
          <w:color w:val="000000"/>
          <w:spacing w:val="0"/>
          <w:w w:val="100"/>
          <w:position w:val="0"/>
        </w:rPr>
        <w:t>”</w:t>
      </w:r>
      <w:r>
        <w:rPr>
          <w:color w:val="000000"/>
          <w:spacing w:val="0"/>
          <w:w w:val="100"/>
          <w:position w:val="0"/>
        </w:rPr>
        <w:t>控制系统。目标是实现在不同建筑中</w:t>
      </w:r>
      <w:r>
        <w:rPr>
          <w:rFonts w:ascii="Times New Roman" w:eastAsia="Times New Roman" w:hAnsi="Times New Roman" w:cs="Times New Roman"/>
          <w:color w:val="000000"/>
          <w:spacing w:val="0"/>
          <w:w w:val="100"/>
          <w:position w:val="0"/>
        </w:rPr>
        <w:t>“</w:t>
      </w:r>
      <w:r>
        <w:rPr>
          <w:color w:val="000000"/>
          <w:spacing w:val="0"/>
          <w:w w:val="100"/>
          <w:position w:val="0"/>
        </w:rPr>
        <w:t>复制</w:t>
      </w:r>
      <w:r>
        <w:rPr>
          <w:rFonts w:ascii="Times New Roman" w:eastAsia="Times New Roman" w:hAnsi="Times New Roman" w:cs="Times New Roman"/>
          <w:color w:val="000000"/>
          <w:spacing w:val="0"/>
          <w:w w:val="100"/>
          <w:position w:val="0"/>
        </w:rPr>
        <w:t>”</w:t>
      </w:r>
      <w:r>
        <w:rPr>
          <w:color w:val="000000"/>
          <w:spacing w:val="0"/>
          <w:w w:val="100"/>
          <w:position w:val="0"/>
        </w:rPr>
        <w:t>最大标准单元智能系统，实现智能本地控制， 拥有标准化的信息模型，实现本身单元的参数监测、安全运行、调节控制、能耗监测和故障报警并与相邻单元协作，最后完 成全局控制。</w:t>
      </w:r>
    </w:p>
    <w:p>
      <w:pPr>
        <w:pStyle w:val="Style20"/>
        <w:keepNext w:val="0"/>
        <w:keepLines w:val="0"/>
        <w:widowControl w:val="0"/>
        <w:shd w:val="clear" w:color="auto" w:fill="auto"/>
        <w:bidi w:val="0"/>
        <w:spacing w:before="0" w:after="40" w:line="313" w:lineRule="exact"/>
        <w:ind w:left="0" w:right="0" w:firstLine="440"/>
        <w:jc w:val="both"/>
      </w:pPr>
      <w:r>
        <w:rPr>
          <w:color w:val="000000"/>
          <w:spacing w:val="0"/>
          <w:w w:val="100"/>
          <w:position w:val="0"/>
        </w:rPr>
        <w:t>五是持续评估方面。公司从事建设工程检测业务超过</w:t>
      </w:r>
      <w:r>
        <w:rPr>
          <w:rFonts w:ascii="Times New Roman" w:eastAsia="Times New Roman" w:hAnsi="Times New Roman" w:cs="Times New Roman"/>
          <w:color w:val="000000"/>
          <w:spacing w:val="0"/>
          <w:w w:val="100"/>
          <w:position w:val="0"/>
        </w:rPr>
        <w:t>20</w:t>
      </w:r>
      <w:r>
        <w:rPr>
          <w:color w:val="000000"/>
          <w:spacing w:val="0"/>
          <w:w w:val="100"/>
          <w:position w:val="0"/>
        </w:rPr>
        <w:t>年，全资子公司建研检测可提供城市建设领域的检测项目</w:t>
      </w:r>
      <w:r>
        <w:rPr>
          <w:rFonts w:ascii="Times New Roman" w:eastAsia="Times New Roman" w:hAnsi="Times New Roman" w:cs="Times New Roman"/>
          <w:color w:val="000000"/>
          <w:spacing w:val="0"/>
          <w:w w:val="100"/>
          <w:position w:val="0"/>
        </w:rPr>
        <w:t>/</w:t>
      </w:r>
      <w:r>
        <w:rPr>
          <w:color w:val="000000"/>
          <w:spacing w:val="0"/>
          <w:w w:val="100"/>
          <w:position w:val="0"/>
        </w:rPr>
        <w:t xml:space="preserve">参数 </w:t>
      </w:r>
      <w:r>
        <w:rPr>
          <w:rFonts w:ascii="Times New Roman" w:eastAsia="Times New Roman" w:hAnsi="Times New Roman" w:cs="Times New Roman"/>
          <w:color w:val="000000"/>
          <w:spacing w:val="0"/>
          <w:w w:val="100"/>
          <w:position w:val="0"/>
        </w:rPr>
        <w:t>3,917</w:t>
      </w:r>
      <w:r>
        <w:rPr>
          <w:color w:val="000000"/>
          <w:spacing w:val="0"/>
          <w:w w:val="100"/>
          <w:position w:val="0"/>
        </w:rPr>
        <w:t>项（截至本年度报告披露日，已增加至</w:t>
      </w:r>
      <w:r>
        <w:rPr>
          <w:rFonts w:ascii="Times New Roman" w:eastAsia="Times New Roman" w:hAnsi="Times New Roman" w:cs="Times New Roman"/>
          <w:color w:val="000000"/>
          <w:spacing w:val="0"/>
          <w:w w:val="100"/>
          <w:position w:val="0"/>
        </w:rPr>
        <w:t>4319</w:t>
      </w:r>
      <w:r>
        <w:rPr>
          <w:color w:val="000000"/>
          <w:spacing w:val="0"/>
          <w:w w:val="100"/>
          <w:position w:val="0"/>
        </w:rPr>
        <w:t>项）；</w:t>
      </w:r>
      <w:r>
        <w:rPr>
          <w:rFonts w:ascii="Times New Roman" w:eastAsia="Times New Roman" w:hAnsi="Times New Roman" w:cs="Times New Roman"/>
          <w:color w:val="000000"/>
          <w:spacing w:val="0"/>
          <w:w w:val="100"/>
          <w:position w:val="0"/>
        </w:rPr>
        <w:t>2017</w:t>
      </w:r>
      <w:r>
        <w:rPr>
          <w:color w:val="000000"/>
          <w:spacing w:val="0"/>
          <w:w w:val="100"/>
          <w:position w:val="0"/>
        </w:rPr>
        <w:t>年设立的全资子公司绿研检验可提供城市建设领域的检测项目</w:t>
      </w:r>
      <w:r>
        <w:rPr>
          <w:rFonts w:ascii="Times New Roman" w:eastAsia="Times New Roman" w:hAnsi="Times New Roman" w:cs="Times New Roman"/>
          <w:color w:val="000000"/>
          <w:spacing w:val="0"/>
          <w:w w:val="100"/>
          <w:position w:val="0"/>
        </w:rPr>
        <w:t xml:space="preserve">/ </w:t>
      </w:r>
      <w:r>
        <w:rPr>
          <w:color w:val="000000"/>
          <w:spacing w:val="0"/>
          <w:w w:val="100"/>
          <w:position w:val="0"/>
        </w:rPr>
        <w:t>参数</w:t>
      </w:r>
      <w:r>
        <w:rPr>
          <w:rFonts w:ascii="Times New Roman" w:eastAsia="Times New Roman" w:hAnsi="Times New Roman" w:cs="Times New Roman"/>
          <w:color w:val="000000"/>
          <w:spacing w:val="0"/>
          <w:w w:val="100"/>
          <w:position w:val="0"/>
        </w:rPr>
        <w:t>650</w:t>
      </w:r>
      <w:r>
        <w:rPr>
          <w:color w:val="000000"/>
          <w:spacing w:val="0"/>
          <w:w w:val="100"/>
          <w:position w:val="0"/>
        </w:rPr>
        <w:t>项（截至本年度报告披露日，已增加至</w:t>
      </w:r>
      <w:r>
        <w:rPr>
          <w:rFonts w:ascii="Times New Roman" w:eastAsia="Times New Roman" w:hAnsi="Times New Roman" w:cs="Times New Roman"/>
          <w:color w:val="000000"/>
          <w:spacing w:val="0"/>
          <w:w w:val="100"/>
          <w:position w:val="0"/>
        </w:rPr>
        <w:t>792</w:t>
      </w:r>
      <w:r>
        <w:rPr>
          <w:color w:val="000000"/>
          <w:spacing w:val="0"/>
          <w:w w:val="100"/>
          <w:position w:val="0"/>
        </w:rPr>
        <w:t>项）。公司通过多年工程及材料检测、能耗监测以及绿色建筑、生态城市 技术服务业务和研发实验，建立了庞大的涉及城市气候、空气质量、水文、资源、地质、能耗、碳排放、自然植被、交通等 城市基底、建筑性能相关的数据库，并建有具备自有知识产权的热岛、能源、碳排放、植物生态等维度的生态城市评估软件 平台。</w:t>
      </w:r>
    </w:p>
    <w:p>
      <w:pPr>
        <w:pStyle w:val="Style20"/>
        <w:keepNext w:val="0"/>
        <w:keepLines w:val="0"/>
        <w:widowControl w:val="0"/>
        <w:shd w:val="clear" w:color="auto" w:fill="auto"/>
        <w:bidi w:val="0"/>
        <w:spacing w:before="0" w:after="40" w:line="317" w:lineRule="exact"/>
        <w:ind w:left="0" w:right="0" w:firstLine="440"/>
        <w:jc w:val="both"/>
      </w:pPr>
      <w:r>
        <w:rPr>
          <w:color w:val="000000"/>
          <w:spacing w:val="0"/>
          <w:w w:val="100"/>
          <w:position w:val="0"/>
        </w:rPr>
        <w:t>全资子公司绿研检验于</w:t>
      </w:r>
      <w:r>
        <w:rPr>
          <w:rFonts w:ascii="Times New Roman" w:eastAsia="Times New Roman" w:hAnsi="Times New Roman" w:cs="Times New Roman"/>
          <w:color w:val="000000"/>
          <w:spacing w:val="0"/>
          <w:w w:val="100"/>
          <w:position w:val="0"/>
        </w:rPr>
        <w:t>2021</w:t>
      </w:r>
      <w:r>
        <w:rPr>
          <w:color w:val="000000"/>
          <w:spacing w:val="0"/>
          <w:w w:val="100"/>
          <w:position w:val="0"/>
        </w:rPr>
        <w:t>年获河北省科学技术厅批准筹建的</w:t>
      </w:r>
      <w:r>
        <w:rPr>
          <w:rFonts w:ascii="Times New Roman" w:eastAsia="Times New Roman" w:hAnsi="Times New Roman" w:cs="Times New Roman"/>
          <w:color w:val="000000"/>
          <w:spacing w:val="0"/>
          <w:w w:val="100"/>
          <w:position w:val="0"/>
        </w:rPr>
        <w:t>“</w:t>
      </w:r>
      <w:r>
        <w:rPr>
          <w:color w:val="000000"/>
          <w:spacing w:val="0"/>
          <w:w w:val="100"/>
          <w:position w:val="0"/>
        </w:rPr>
        <w:t>河北省绿色建筑人居环境技术创新中心</w:t>
      </w:r>
      <w:r>
        <w:rPr>
          <w:rFonts w:ascii="Times New Roman" w:eastAsia="Times New Roman" w:hAnsi="Times New Roman" w:cs="Times New Roman"/>
          <w:color w:val="000000"/>
          <w:spacing w:val="0"/>
          <w:w w:val="100"/>
          <w:position w:val="0"/>
        </w:rPr>
        <w:t>”</w:t>
      </w:r>
      <w:r>
        <w:rPr>
          <w:color w:val="000000"/>
          <w:spacing w:val="0"/>
          <w:w w:val="100"/>
          <w:position w:val="0"/>
        </w:rPr>
        <w:t>，是公司在北 方区域成立的第一个省级研发平台，亦是雄安新区唯一以</w:t>
      </w:r>
      <w:r>
        <w:rPr>
          <w:rFonts w:ascii="Times New Roman" w:eastAsia="Times New Roman" w:hAnsi="Times New Roman" w:cs="Times New Roman"/>
          <w:color w:val="000000"/>
          <w:spacing w:val="0"/>
          <w:w w:val="100"/>
          <w:position w:val="0"/>
        </w:rPr>
        <w:t>“</w:t>
      </w:r>
      <w:r>
        <w:rPr>
          <w:color w:val="000000"/>
          <w:spacing w:val="0"/>
          <w:w w:val="100"/>
          <w:position w:val="0"/>
        </w:rPr>
        <w:t>绿色建筑和人居环境</w:t>
      </w:r>
      <w:r>
        <w:rPr>
          <w:rFonts w:ascii="Times New Roman" w:eastAsia="Times New Roman" w:hAnsi="Times New Roman" w:cs="Times New Roman"/>
          <w:color w:val="000000"/>
          <w:spacing w:val="0"/>
          <w:w w:val="100"/>
          <w:position w:val="0"/>
        </w:rPr>
        <w:t>”</w:t>
      </w:r>
      <w:r>
        <w:rPr>
          <w:color w:val="000000"/>
          <w:spacing w:val="0"/>
          <w:w w:val="100"/>
          <w:position w:val="0"/>
        </w:rPr>
        <w:t>为主题的研究中心；该平台的成立是公司数 十年实证能力在我国北方区域获得行业认可的重要里程。</w:t>
      </w:r>
    </w:p>
    <w:p>
      <w:pPr>
        <w:pStyle w:val="Style20"/>
        <w:keepNext w:val="0"/>
        <w:keepLines w:val="0"/>
        <w:widowControl w:val="0"/>
        <w:shd w:val="clear" w:color="auto" w:fill="auto"/>
        <w:bidi w:val="0"/>
        <w:spacing w:before="0" w:after="40" w:line="317"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年推动福田区开展</w:t>
      </w:r>
      <w:r>
        <w:rPr>
          <w:rFonts w:ascii="Times New Roman" w:eastAsia="Times New Roman" w:hAnsi="Times New Roman" w:cs="Times New Roman"/>
          <w:color w:val="000000"/>
          <w:spacing w:val="0"/>
          <w:w w:val="100"/>
          <w:position w:val="0"/>
        </w:rPr>
        <w:t>“</w:t>
      </w:r>
      <w:r>
        <w:rPr>
          <w:color w:val="000000"/>
          <w:spacing w:val="0"/>
          <w:w w:val="100"/>
          <w:position w:val="0"/>
        </w:rPr>
        <w:t>公共建筑卓越绿装降污减碳</w:t>
      </w:r>
      <w:r>
        <w:rPr>
          <w:rFonts w:ascii="Times New Roman" w:eastAsia="Times New Roman" w:hAnsi="Times New Roman" w:cs="Times New Roman"/>
          <w:color w:val="000000"/>
          <w:spacing w:val="0"/>
          <w:w w:val="100"/>
          <w:position w:val="0"/>
        </w:rPr>
        <w:t>”</w:t>
      </w:r>
      <w:r>
        <w:rPr>
          <w:color w:val="000000"/>
          <w:spacing w:val="0"/>
          <w:w w:val="100"/>
          <w:position w:val="0"/>
        </w:rPr>
        <w:t>行动，实施装修污染全过程管控技术，选取重点民生公共项目建 设工程</w:t>
      </w:r>
      <w:r>
        <w:rPr>
          <w:rFonts w:ascii="Times New Roman" w:eastAsia="Times New Roman" w:hAnsi="Times New Roman" w:cs="Times New Roman"/>
          <w:color w:val="000000"/>
          <w:spacing w:val="0"/>
          <w:w w:val="100"/>
          <w:position w:val="0"/>
        </w:rPr>
        <w:t>28</w:t>
      </w:r>
      <w:r>
        <w:rPr>
          <w:color w:val="000000"/>
          <w:spacing w:val="0"/>
          <w:w w:val="100"/>
          <w:position w:val="0"/>
        </w:rPr>
        <w:t>个试点，大力提高新装修公共项目室内空气质量，着力为市民提供更多放心呼吸的公共环境，是深入开展</w:t>
      </w:r>
      <w:r>
        <w:rPr>
          <w:rFonts w:ascii="Times New Roman" w:eastAsia="Times New Roman" w:hAnsi="Times New Roman" w:cs="Times New Roman"/>
          <w:color w:val="000000"/>
          <w:spacing w:val="0"/>
          <w:w w:val="100"/>
          <w:position w:val="0"/>
        </w:rPr>
        <w:t>“</w:t>
      </w:r>
      <w:r>
        <w:rPr>
          <w:color w:val="000000"/>
          <w:spacing w:val="0"/>
          <w:w w:val="100"/>
          <w:position w:val="0"/>
        </w:rPr>
        <w:t>我为群 众办实事</w:t>
      </w:r>
      <w:r>
        <w:rPr>
          <w:rFonts w:ascii="Times New Roman" w:eastAsia="Times New Roman" w:hAnsi="Times New Roman" w:cs="Times New Roman"/>
          <w:color w:val="000000"/>
          <w:spacing w:val="0"/>
          <w:w w:val="100"/>
          <w:position w:val="0"/>
        </w:rPr>
        <w:t>”</w:t>
      </w:r>
      <w:r>
        <w:rPr>
          <w:color w:val="000000"/>
          <w:spacing w:val="0"/>
          <w:w w:val="100"/>
          <w:position w:val="0"/>
        </w:rPr>
        <w:t>的具体实践。已完工项目</w:t>
      </w:r>
      <w:r>
        <w:rPr>
          <w:rFonts w:ascii="Times New Roman" w:eastAsia="Times New Roman" w:hAnsi="Times New Roman" w:cs="Times New Roman"/>
          <w:color w:val="000000"/>
          <w:spacing w:val="0"/>
          <w:w w:val="100"/>
          <w:position w:val="0"/>
        </w:rPr>
        <w:t>6</w:t>
      </w:r>
      <w:r>
        <w:rPr>
          <w:color w:val="000000"/>
          <w:spacing w:val="0"/>
          <w:w w:val="100"/>
          <w:position w:val="0"/>
        </w:rPr>
        <w:t>项，效果显著。相关科研成果</w:t>
      </w:r>
      <w:r>
        <w:rPr>
          <w:rFonts w:ascii="Times New Roman" w:eastAsia="Times New Roman" w:hAnsi="Times New Roman" w:cs="Times New Roman"/>
          <w:color w:val="000000"/>
          <w:spacing w:val="0"/>
          <w:w w:val="100"/>
          <w:position w:val="0"/>
        </w:rPr>
        <w:t>“</w:t>
      </w:r>
      <w:r>
        <w:rPr>
          <w:color w:val="000000"/>
          <w:spacing w:val="0"/>
          <w:w w:val="100"/>
          <w:position w:val="0"/>
        </w:rPr>
        <w:t>室内装修污染防控理论、关键技术及应用</w:t>
      </w:r>
      <w:r>
        <w:rPr>
          <w:rFonts w:ascii="Times New Roman" w:eastAsia="Times New Roman" w:hAnsi="Times New Roman" w:cs="Times New Roman"/>
          <w:color w:val="000000"/>
          <w:spacing w:val="0"/>
          <w:w w:val="100"/>
          <w:position w:val="0"/>
        </w:rPr>
        <w:t>”</w:t>
      </w:r>
      <w:r>
        <w:rPr>
          <w:color w:val="000000"/>
          <w:spacing w:val="0"/>
          <w:w w:val="100"/>
          <w:position w:val="0"/>
        </w:rPr>
        <w:t>被评为</w:t>
      </w:r>
      <w:r>
        <w:rPr>
          <w:rFonts w:ascii="Times New Roman" w:eastAsia="Times New Roman" w:hAnsi="Times New Roman" w:cs="Times New Roman"/>
          <w:color w:val="000000"/>
          <w:spacing w:val="0"/>
          <w:w w:val="100"/>
          <w:position w:val="0"/>
        </w:rPr>
        <w:t>2021</w:t>
      </w:r>
      <w:r>
        <w:rPr>
          <w:color w:val="000000"/>
          <w:spacing w:val="0"/>
          <w:w w:val="100"/>
          <w:position w:val="0"/>
        </w:rPr>
        <w:t>年 度深圳市科技进步奖二等奖，是建筑行业在当年该奖中唯一获奖项目。</w:t>
      </w:r>
    </w:p>
    <w:p>
      <w:pPr>
        <w:pStyle w:val="Style20"/>
        <w:keepNext w:val="0"/>
        <w:keepLines w:val="0"/>
        <w:widowControl w:val="0"/>
        <w:shd w:val="clear" w:color="auto" w:fill="auto"/>
        <w:bidi w:val="0"/>
        <w:spacing w:before="0" w:after="40" w:line="317" w:lineRule="exact"/>
        <w:ind w:left="0" w:right="0" w:firstLine="440"/>
        <w:jc w:val="both"/>
      </w:pPr>
      <w:bookmarkStart w:id="339" w:name="bookmark339"/>
      <w:r>
        <w:rPr>
          <w:b/>
          <w:bCs/>
          <w:color w:val="000000"/>
          <w:spacing w:val="0"/>
          <w:w w:val="100"/>
          <w:position w:val="0"/>
        </w:rPr>
        <w:t>三</w:t>
      </w:r>
      <w:bookmarkEnd w:id="339"/>
      <w:r>
        <w:rPr>
          <w:b/>
          <w:bCs/>
          <w:color w:val="000000"/>
          <w:spacing w:val="0"/>
          <w:w w:val="100"/>
          <w:position w:val="0"/>
        </w:rPr>
        <w:t>、公司坚持探索科技型企业、知识型员工的自组织管理模式，以文化认同为核心，以数字化为手段，人性化为本， 提升职场自驱力和幸福感</w:t>
      </w:r>
    </w:p>
    <w:p>
      <w:pPr>
        <w:pStyle w:val="Style20"/>
        <w:keepNext w:val="0"/>
        <w:keepLines w:val="0"/>
        <w:widowControl w:val="0"/>
        <w:numPr>
          <w:ilvl w:val="0"/>
          <w:numId w:val="33"/>
        </w:numPr>
        <w:shd w:val="clear" w:color="auto" w:fill="auto"/>
        <w:bidi w:val="0"/>
        <w:spacing w:before="0" w:after="40" w:line="322" w:lineRule="exact"/>
        <w:ind w:left="0" w:right="0" w:firstLine="440"/>
        <w:jc w:val="both"/>
      </w:pPr>
      <w:bookmarkStart w:id="340" w:name="bookmark340"/>
      <w:bookmarkEnd w:id="340"/>
      <w:r>
        <w:rPr>
          <w:b/>
          <w:bCs/>
          <w:color w:val="000000"/>
          <w:spacing w:val="0"/>
          <w:w w:val="100"/>
          <w:position w:val="0"/>
        </w:rPr>
        <w:t>推进适应“双碳”背景下建设行业科技创新服务所需的组织机构变革，探索科技型企业的人、岗、职级动态匹配新机 制</w:t>
      </w:r>
    </w:p>
    <w:p>
      <w:pPr>
        <w:pStyle w:val="Style20"/>
        <w:keepNext w:val="0"/>
        <w:keepLines w:val="0"/>
        <w:widowControl w:val="0"/>
        <w:shd w:val="clear" w:color="auto" w:fill="auto"/>
        <w:bidi w:val="0"/>
        <w:spacing w:before="0" w:after="40" w:line="314" w:lineRule="exact"/>
        <w:ind w:left="0" w:right="0" w:firstLine="380"/>
        <w:jc w:val="both"/>
      </w:pPr>
      <w:r>
        <w:rPr>
          <w:color w:val="000000"/>
          <w:spacing w:val="0"/>
          <w:w w:val="100"/>
          <w:position w:val="0"/>
        </w:rPr>
        <w:t>根据</w:t>
      </w:r>
      <w:r>
        <w:rPr>
          <w:rFonts w:ascii="Times New Roman" w:eastAsia="Times New Roman" w:hAnsi="Times New Roman" w:cs="Times New Roman"/>
          <w:color w:val="000000"/>
          <w:spacing w:val="0"/>
          <w:w w:val="100"/>
          <w:position w:val="0"/>
        </w:rPr>
        <w:t>“</w:t>
      </w:r>
      <w:r>
        <w:rPr>
          <w:color w:val="000000"/>
          <w:spacing w:val="0"/>
          <w:w w:val="100"/>
          <w:position w:val="0"/>
        </w:rPr>
        <w:t>科改</w:t>
      </w:r>
      <w:r>
        <w:rPr>
          <w:rFonts w:ascii="Times New Roman" w:eastAsia="Times New Roman" w:hAnsi="Times New Roman" w:cs="Times New Roman"/>
          <w:color w:val="000000"/>
          <w:spacing w:val="0"/>
          <w:w w:val="100"/>
          <w:position w:val="0"/>
        </w:rPr>
        <w:t>”</w:t>
      </w:r>
      <w:r>
        <w:rPr>
          <w:color w:val="000000"/>
          <w:spacing w:val="0"/>
          <w:w w:val="100"/>
          <w:position w:val="0"/>
        </w:rPr>
        <w:t>要求，在公司本级完成任期制和契约化改革、全面实施经营班子的职业经理人制度的基础上，</w:t>
      </w:r>
      <w:r>
        <w:rPr>
          <w:rFonts w:ascii="Times New Roman" w:eastAsia="Times New Roman" w:hAnsi="Times New Roman" w:cs="Times New Roman"/>
          <w:color w:val="000000"/>
          <w:spacing w:val="0"/>
          <w:w w:val="100"/>
          <w:position w:val="0"/>
        </w:rPr>
        <w:t>2021</w:t>
      </w:r>
      <w:r>
        <w:rPr>
          <w:color w:val="000000"/>
          <w:spacing w:val="0"/>
          <w:w w:val="100"/>
          <w:position w:val="0"/>
        </w:rPr>
        <w:t>年推动一 级部门负责人、要子公司管理团队（市政中心、湖北建胜）近</w:t>
      </w:r>
      <w:r>
        <w:rPr>
          <w:rFonts w:ascii="Times New Roman" w:eastAsia="Times New Roman" w:hAnsi="Times New Roman" w:cs="Times New Roman"/>
          <w:color w:val="000000"/>
          <w:spacing w:val="0"/>
          <w:w w:val="100"/>
          <w:position w:val="0"/>
        </w:rPr>
        <w:t>30</w:t>
      </w:r>
      <w:r>
        <w:rPr>
          <w:color w:val="000000"/>
          <w:spacing w:val="0"/>
          <w:w w:val="100"/>
          <w:position w:val="0"/>
        </w:rPr>
        <w:t>个岗位的竞聘和市场化选聘工作，持续开展高端管理和技术 人员的市场化引进工作。</w:t>
      </w:r>
    </w:p>
    <w:p>
      <w:pPr>
        <w:pStyle w:val="Style20"/>
        <w:keepNext w:val="0"/>
        <w:keepLines w:val="0"/>
        <w:widowControl w:val="0"/>
        <w:shd w:val="clear" w:color="auto" w:fill="auto"/>
        <w:bidi w:val="0"/>
        <w:spacing w:before="0" w:after="40" w:line="310" w:lineRule="exact"/>
        <w:ind w:left="0" w:right="0" w:firstLine="440"/>
        <w:jc w:val="both"/>
      </w:pPr>
      <w:r>
        <w:rPr>
          <w:color w:val="000000"/>
          <w:spacing w:val="0"/>
          <w:w w:val="100"/>
          <w:position w:val="0"/>
        </w:rPr>
        <w:t>根据最新组织机构设置，一级部门管理团队全部竞聘及评估后重新任命，特别是针对城市业务板块，创新以市场、产 品、交付</w:t>
      </w:r>
      <w:r>
        <w:rPr>
          <w:rFonts w:ascii="Times New Roman" w:eastAsia="Times New Roman" w:hAnsi="Times New Roman" w:cs="Times New Roman"/>
          <w:color w:val="000000"/>
          <w:spacing w:val="0"/>
          <w:w w:val="100"/>
          <w:position w:val="0"/>
        </w:rPr>
        <w:t>“</w:t>
      </w:r>
      <w:r>
        <w:rPr>
          <w:color w:val="000000"/>
          <w:spacing w:val="0"/>
          <w:w w:val="100"/>
          <w:position w:val="0"/>
        </w:rPr>
        <w:t>铁三角</w:t>
      </w:r>
      <w:r>
        <w:rPr>
          <w:rFonts w:ascii="Times New Roman" w:eastAsia="Times New Roman" w:hAnsi="Times New Roman" w:cs="Times New Roman"/>
          <w:color w:val="000000"/>
          <w:spacing w:val="0"/>
          <w:w w:val="100"/>
          <w:position w:val="0"/>
        </w:rPr>
        <w:t>”</w:t>
      </w:r>
      <w:r>
        <w:rPr>
          <w:color w:val="000000"/>
          <w:spacing w:val="0"/>
          <w:w w:val="100"/>
          <w:position w:val="0"/>
        </w:rPr>
        <w:t>管理团队方式竞聘；随后开展全员</w:t>
      </w:r>
      <w:r>
        <w:rPr>
          <w:rFonts w:ascii="Times New Roman" w:eastAsia="Times New Roman" w:hAnsi="Times New Roman" w:cs="Times New Roman"/>
          <w:color w:val="000000"/>
          <w:spacing w:val="0"/>
          <w:w w:val="100"/>
          <w:position w:val="0"/>
        </w:rPr>
        <w:t>“</w:t>
      </w:r>
      <w:r>
        <w:rPr>
          <w:color w:val="000000"/>
          <w:spacing w:val="0"/>
          <w:w w:val="100"/>
          <w:position w:val="0"/>
        </w:rPr>
        <w:t>双选</w:t>
      </w:r>
      <w:r>
        <w:rPr>
          <w:rFonts w:ascii="Times New Roman" w:eastAsia="Times New Roman" w:hAnsi="Times New Roman" w:cs="Times New Roman"/>
          <w:color w:val="000000"/>
          <w:spacing w:val="0"/>
          <w:w w:val="100"/>
          <w:position w:val="0"/>
        </w:rPr>
        <w:t>”</w:t>
      </w:r>
      <w:r>
        <w:rPr>
          <w:color w:val="000000"/>
          <w:spacing w:val="0"/>
          <w:w w:val="100"/>
          <w:position w:val="0"/>
        </w:rPr>
        <w:t>，充分体现自组织管理。围绕共同目标、基于规则自主创造、平 台化运作的生态系，各团队可用自己擅长的不同策略路径，重点关注结果和可持续竞争力，共生共长。</w:t>
      </w:r>
    </w:p>
    <w:p>
      <w:pPr>
        <w:pStyle w:val="Style20"/>
        <w:keepNext w:val="0"/>
        <w:keepLines w:val="0"/>
        <w:widowControl w:val="0"/>
        <w:shd w:val="clear" w:color="auto" w:fill="auto"/>
        <w:bidi w:val="0"/>
        <w:spacing w:before="0" w:after="40" w:line="310" w:lineRule="exact"/>
        <w:ind w:left="0" w:right="0" w:firstLine="440"/>
        <w:jc w:val="both"/>
      </w:pPr>
      <w:r>
        <w:rPr>
          <w:color w:val="000000"/>
          <w:spacing w:val="0"/>
          <w:w w:val="100"/>
          <w:position w:val="0"/>
        </w:rPr>
        <w:t>结合</w:t>
      </w:r>
      <w:r>
        <w:rPr>
          <w:rFonts w:ascii="Times New Roman" w:eastAsia="Times New Roman" w:hAnsi="Times New Roman" w:cs="Times New Roman"/>
          <w:color w:val="000000"/>
          <w:spacing w:val="0"/>
          <w:w w:val="100"/>
          <w:position w:val="0"/>
        </w:rPr>
        <w:t>“</w:t>
      </w:r>
      <w:r>
        <w:rPr>
          <w:color w:val="000000"/>
          <w:spacing w:val="0"/>
          <w:w w:val="100"/>
          <w:position w:val="0"/>
        </w:rPr>
        <w:t>双赢协议</w:t>
      </w:r>
      <w:r>
        <w:rPr>
          <w:rFonts w:ascii="Times New Roman" w:eastAsia="Times New Roman" w:hAnsi="Times New Roman" w:cs="Times New Roman"/>
          <w:color w:val="000000"/>
          <w:spacing w:val="0"/>
          <w:w w:val="100"/>
          <w:position w:val="0"/>
        </w:rPr>
        <w:t>”</w:t>
      </w:r>
      <w:r>
        <w:rPr>
          <w:color w:val="000000"/>
          <w:spacing w:val="0"/>
          <w:w w:val="100"/>
          <w:position w:val="0"/>
        </w:rPr>
        <w:t>制度实施，开展公司人力资源盘点、科技人才、创新人才和骨干人才识别工作。探索建立项目主任认 证、制度建设和管理的常态化工作机制。</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月完成首轮人才盘点，输出《</w:t>
      </w:r>
      <w:r>
        <w:rPr>
          <w:rFonts w:ascii="Times New Roman" w:eastAsia="Times New Roman" w:hAnsi="Times New Roman" w:cs="Times New Roman"/>
          <w:color w:val="000000"/>
          <w:spacing w:val="0"/>
          <w:w w:val="100"/>
          <w:position w:val="0"/>
        </w:rPr>
        <w:t>IBR</w:t>
      </w:r>
      <w:r>
        <w:rPr>
          <w:color w:val="000000"/>
          <w:spacing w:val="0"/>
          <w:w w:val="100"/>
          <w:position w:val="0"/>
        </w:rPr>
        <w:t>人才成长评估报告》。</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月完成项 目主任试点认证工作，并结合试点效果，完善《项目主任认证试点工作方案》。以创新管理试点与制度共建并行模式，完善 员工职业发展体系，畅通员工晋升与退出渠道。</w:t>
      </w:r>
    </w:p>
    <w:p>
      <w:pPr>
        <w:pStyle w:val="Style20"/>
        <w:keepNext w:val="0"/>
        <w:keepLines w:val="0"/>
        <w:widowControl w:val="0"/>
        <w:numPr>
          <w:ilvl w:val="0"/>
          <w:numId w:val="33"/>
        </w:numPr>
        <w:shd w:val="clear" w:color="auto" w:fill="auto"/>
        <w:tabs>
          <w:tab w:pos="640" w:val="left"/>
        </w:tabs>
        <w:bidi w:val="0"/>
        <w:spacing w:before="0" w:after="40" w:line="314" w:lineRule="exact"/>
        <w:ind w:left="0" w:right="0" w:firstLine="380"/>
        <w:jc w:val="both"/>
      </w:pPr>
      <w:bookmarkStart w:id="341" w:name="bookmark341"/>
      <w:bookmarkEnd w:id="341"/>
      <w:r>
        <w:rPr>
          <w:b/>
          <w:bCs/>
          <w:color w:val="000000"/>
          <w:spacing w:val="0"/>
          <w:w w:val="100"/>
          <w:position w:val="0"/>
        </w:rPr>
        <w:t>坚持数字化管理创新，牵引员工“自组织”管理</w:t>
      </w:r>
    </w:p>
    <w:p>
      <w:pPr>
        <w:pStyle w:val="Style20"/>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近二十年来，公司率先在行业内突破既有管理模式，跨界学习引进世界先进管理体系，用市场价值链、扁平化、流程制 等现代公司管理知识和观念牵引突破。坚持不依靠人员和组织规模的简单增加实现公司业务增长，</w:t>
      </w:r>
      <w:r>
        <w:rPr>
          <w:rFonts w:ascii="Times New Roman" w:eastAsia="Times New Roman" w:hAnsi="Times New Roman" w:cs="Times New Roman"/>
          <w:color w:val="000000"/>
          <w:spacing w:val="0"/>
          <w:w w:val="100"/>
          <w:position w:val="0"/>
        </w:rPr>
        <w:t>2021</w:t>
      </w:r>
      <w:r>
        <w:rPr>
          <w:color w:val="000000"/>
          <w:spacing w:val="0"/>
          <w:w w:val="100"/>
          <w:position w:val="0"/>
        </w:rPr>
        <w:t>年取得重大进展包 括：以大数据、区块链为主要工具，以岗位要求、人岗匹配的员工行为要素数据形成</w:t>
      </w:r>
      <w:r>
        <w:rPr>
          <w:rFonts w:ascii="Times New Roman" w:eastAsia="Times New Roman" w:hAnsi="Times New Roman" w:cs="Times New Roman"/>
          <w:color w:val="000000"/>
          <w:spacing w:val="0"/>
          <w:w w:val="100"/>
          <w:position w:val="0"/>
        </w:rPr>
        <w:t>“</w:t>
      </w:r>
      <w:r>
        <w:rPr>
          <w:color w:val="000000"/>
          <w:spacing w:val="0"/>
          <w:w w:val="100"/>
          <w:position w:val="0"/>
        </w:rPr>
        <w:t>员工画像</w:t>
      </w:r>
      <w:r>
        <w:rPr>
          <w:rFonts w:ascii="Times New Roman" w:eastAsia="Times New Roman" w:hAnsi="Times New Roman" w:cs="Times New Roman"/>
          <w:color w:val="000000"/>
          <w:spacing w:val="0"/>
          <w:w w:val="100"/>
          <w:position w:val="0"/>
        </w:rPr>
        <w:t>”“</w:t>
      </w:r>
      <w:r>
        <w:rPr>
          <w:color w:val="000000"/>
          <w:spacing w:val="0"/>
          <w:w w:val="100"/>
          <w:position w:val="0"/>
        </w:rPr>
        <w:t>党员画像</w:t>
      </w:r>
      <w:r>
        <w:rPr>
          <w:rFonts w:ascii="Times New Roman" w:eastAsia="Times New Roman" w:hAnsi="Times New Roman" w:cs="Times New Roman"/>
          <w:color w:val="000000"/>
          <w:spacing w:val="0"/>
          <w:w w:val="100"/>
          <w:position w:val="0"/>
        </w:rPr>
        <w:t>”</w:t>
      </w:r>
      <w:r>
        <w:rPr>
          <w:color w:val="000000"/>
          <w:spacing w:val="0"/>
          <w:w w:val="100"/>
          <w:position w:val="0"/>
        </w:rPr>
        <w:t>，持续加大数字 化的</w:t>
      </w:r>
      <w:r>
        <w:rPr>
          <w:rFonts w:ascii="Times New Roman" w:eastAsia="Times New Roman" w:hAnsi="Times New Roman" w:cs="Times New Roman"/>
          <w:color w:val="000000"/>
          <w:spacing w:val="0"/>
          <w:w w:val="100"/>
          <w:position w:val="0"/>
        </w:rPr>
        <w:t>“</w:t>
      </w:r>
      <w:r>
        <w:rPr>
          <w:color w:val="000000"/>
          <w:spacing w:val="0"/>
          <w:w w:val="100"/>
          <w:position w:val="0"/>
        </w:rPr>
        <w:t>乐活工社</w:t>
      </w:r>
      <w:r>
        <w:rPr>
          <w:rFonts w:ascii="Times New Roman" w:eastAsia="Times New Roman" w:hAnsi="Times New Roman" w:cs="Times New Roman"/>
          <w:color w:val="000000"/>
          <w:spacing w:val="0"/>
          <w:w w:val="100"/>
          <w:position w:val="0"/>
        </w:rPr>
        <w:t>”</w:t>
      </w:r>
      <w:r>
        <w:rPr>
          <w:color w:val="000000"/>
          <w:spacing w:val="0"/>
          <w:w w:val="100"/>
          <w:position w:val="0"/>
        </w:rPr>
        <w:t>（健康生活，快乐工作）平台投入，牵引全员管理从以</w:t>
      </w:r>
      <w:r>
        <w:rPr>
          <w:rFonts w:ascii="Times New Roman" w:eastAsia="Times New Roman" w:hAnsi="Times New Roman" w:cs="Times New Roman"/>
          <w:color w:val="000000"/>
          <w:spacing w:val="0"/>
          <w:w w:val="100"/>
          <w:position w:val="0"/>
        </w:rPr>
        <w:t>KPI</w:t>
      </w:r>
      <w:r>
        <w:rPr>
          <w:color w:val="000000"/>
          <w:spacing w:val="0"/>
          <w:w w:val="100"/>
          <w:position w:val="0"/>
        </w:rPr>
        <w:t>为中心的</w:t>
      </w:r>
      <w:r>
        <w:rPr>
          <w:rFonts w:ascii="Times New Roman" w:eastAsia="Times New Roman" w:hAnsi="Times New Roman" w:cs="Times New Roman"/>
          <w:color w:val="000000"/>
          <w:spacing w:val="0"/>
          <w:w w:val="100"/>
          <w:position w:val="0"/>
        </w:rPr>
        <w:t>“</w:t>
      </w:r>
      <w:r>
        <w:rPr>
          <w:color w:val="000000"/>
          <w:spacing w:val="0"/>
          <w:w w:val="100"/>
          <w:position w:val="0"/>
        </w:rPr>
        <w:t>他组织</w:t>
      </w:r>
      <w:r>
        <w:rPr>
          <w:rFonts w:ascii="Times New Roman" w:eastAsia="Times New Roman" w:hAnsi="Times New Roman" w:cs="Times New Roman"/>
          <w:color w:val="000000"/>
          <w:spacing w:val="0"/>
          <w:w w:val="100"/>
          <w:position w:val="0"/>
        </w:rPr>
        <w:t>”</w:t>
      </w:r>
      <w:r>
        <w:rPr>
          <w:color w:val="000000"/>
          <w:spacing w:val="0"/>
          <w:w w:val="100"/>
          <w:position w:val="0"/>
        </w:rPr>
        <w:t>模式转变为以</w:t>
      </w:r>
      <w:r>
        <w:rPr>
          <w:rFonts w:ascii="Times New Roman" w:eastAsia="Times New Roman" w:hAnsi="Times New Roman" w:cs="Times New Roman"/>
          <w:color w:val="000000"/>
          <w:spacing w:val="0"/>
          <w:w w:val="100"/>
          <w:position w:val="0"/>
        </w:rPr>
        <w:t>“</w:t>
      </w:r>
      <w:r>
        <w:rPr>
          <w:color w:val="000000"/>
          <w:spacing w:val="0"/>
          <w:w w:val="100"/>
          <w:position w:val="0"/>
        </w:rPr>
        <w:t>公司赢、员工赢</w:t>
      </w:r>
      <w:r>
        <w:rPr>
          <w:rFonts w:ascii="Times New Roman" w:eastAsia="Times New Roman" w:hAnsi="Times New Roman" w:cs="Times New Roman"/>
          <w:color w:val="000000"/>
          <w:spacing w:val="0"/>
          <w:w w:val="100"/>
          <w:position w:val="0"/>
        </w:rPr>
        <w:t xml:space="preserve">” </w:t>
      </w:r>
      <w:r>
        <w:rPr>
          <w:color w:val="000000"/>
          <w:spacing w:val="0"/>
          <w:w w:val="100"/>
          <w:position w:val="0"/>
        </w:rPr>
        <w:t>自驱力为特征的</w:t>
      </w:r>
      <w:r>
        <w:rPr>
          <w:rFonts w:ascii="Times New Roman" w:eastAsia="Times New Roman" w:hAnsi="Times New Roman" w:cs="Times New Roman"/>
          <w:color w:val="000000"/>
          <w:spacing w:val="0"/>
          <w:w w:val="100"/>
          <w:position w:val="0"/>
        </w:rPr>
        <w:t>“</w:t>
      </w:r>
      <w:r>
        <w:rPr>
          <w:color w:val="000000"/>
          <w:spacing w:val="0"/>
          <w:w w:val="100"/>
          <w:position w:val="0"/>
        </w:rPr>
        <w:t>双赢协议</w:t>
      </w:r>
      <w:r>
        <w:rPr>
          <w:rFonts w:ascii="Times New Roman" w:eastAsia="Times New Roman" w:hAnsi="Times New Roman" w:cs="Times New Roman"/>
          <w:color w:val="000000"/>
          <w:spacing w:val="0"/>
          <w:w w:val="100"/>
          <w:position w:val="0"/>
        </w:rPr>
        <w:t>”</w:t>
      </w:r>
      <w:r>
        <w:rPr>
          <w:color w:val="000000"/>
          <w:spacing w:val="0"/>
          <w:w w:val="100"/>
          <w:position w:val="0"/>
        </w:rPr>
        <w:t>承诺及以</w:t>
      </w:r>
      <w:r>
        <w:rPr>
          <w:rFonts w:ascii="Times New Roman" w:eastAsia="Times New Roman" w:hAnsi="Times New Roman" w:cs="Times New Roman"/>
          <w:color w:val="000000"/>
          <w:spacing w:val="0"/>
          <w:w w:val="100"/>
          <w:position w:val="0"/>
        </w:rPr>
        <w:t>“</w:t>
      </w:r>
      <w:r>
        <w:rPr>
          <w:color w:val="000000"/>
          <w:spacing w:val="0"/>
          <w:w w:val="100"/>
          <w:position w:val="0"/>
        </w:rPr>
        <w:t>岗位竞聘、干部员工岗位及工作任务双向选择</w:t>
      </w:r>
      <w:r>
        <w:rPr>
          <w:rFonts w:ascii="Times New Roman" w:eastAsia="Times New Roman" w:hAnsi="Times New Roman" w:cs="Times New Roman"/>
          <w:color w:val="000000"/>
          <w:spacing w:val="0"/>
          <w:w w:val="100"/>
          <w:position w:val="0"/>
        </w:rPr>
        <w:t>”</w:t>
      </w:r>
      <w:r>
        <w:rPr>
          <w:color w:val="000000"/>
          <w:spacing w:val="0"/>
          <w:w w:val="100"/>
          <w:position w:val="0"/>
        </w:rPr>
        <w:t>为表现形式的</w:t>
      </w:r>
      <w:r>
        <w:rPr>
          <w:rFonts w:ascii="Times New Roman" w:eastAsia="Times New Roman" w:hAnsi="Times New Roman" w:cs="Times New Roman"/>
          <w:color w:val="000000"/>
          <w:spacing w:val="0"/>
          <w:w w:val="100"/>
          <w:position w:val="0"/>
        </w:rPr>
        <w:t>“</w:t>
      </w:r>
      <w:r>
        <w:rPr>
          <w:color w:val="000000"/>
          <w:spacing w:val="0"/>
          <w:w w:val="100"/>
          <w:position w:val="0"/>
        </w:rPr>
        <w:t>自组织</w:t>
      </w:r>
      <w:r>
        <w:rPr>
          <w:rFonts w:ascii="Times New Roman" w:eastAsia="Times New Roman" w:hAnsi="Times New Roman" w:cs="Times New Roman"/>
          <w:color w:val="000000"/>
          <w:spacing w:val="0"/>
          <w:w w:val="100"/>
          <w:position w:val="0"/>
        </w:rPr>
        <w:t>”</w:t>
      </w:r>
      <w:r>
        <w:rPr>
          <w:color w:val="000000"/>
          <w:spacing w:val="0"/>
          <w:w w:val="100"/>
          <w:position w:val="0"/>
        </w:rPr>
        <w:t>模式，并完善自 组织授权、人才成长体系创新，激发企业和员工的自我变革与创新能力。</w:t>
      </w:r>
    </w:p>
    <w:p>
      <w:pPr>
        <w:pStyle w:val="Style20"/>
        <w:keepNext w:val="0"/>
        <w:keepLines w:val="0"/>
        <w:widowControl w:val="0"/>
        <w:numPr>
          <w:ilvl w:val="0"/>
          <w:numId w:val="33"/>
        </w:numPr>
        <w:shd w:val="clear" w:color="auto" w:fill="auto"/>
        <w:tabs>
          <w:tab w:pos="640" w:val="left"/>
        </w:tabs>
        <w:bidi w:val="0"/>
        <w:spacing w:before="0" w:after="40" w:line="314" w:lineRule="exact"/>
        <w:ind w:left="0" w:right="0" w:firstLine="380"/>
        <w:jc w:val="both"/>
      </w:pPr>
      <w:bookmarkStart w:id="342" w:name="bookmark342"/>
      <w:bookmarkEnd w:id="342"/>
      <w:r>
        <w:rPr>
          <w:b/>
          <w:bCs/>
          <w:color w:val="000000"/>
          <w:spacing w:val="0"/>
          <w:w w:val="100"/>
          <w:position w:val="0"/>
        </w:rPr>
        <w:t>强调综合激励模型，提高人才成长自驱力</w:t>
      </w:r>
    </w:p>
    <w:p>
      <w:pPr>
        <w:pStyle w:val="Style20"/>
        <w:keepNext w:val="0"/>
        <w:keepLines w:val="0"/>
        <w:widowControl w:val="0"/>
        <w:shd w:val="clear" w:color="auto" w:fill="auto"/>
        <w:bidi w:val="0"/>
        <w:spacing w:before="0" w:after="40" w:line="326" w:lineRule="exact"/>
        <w:ind w:left="0" w:right="0" w:firstLine="440"/>
        <w:jc w:val="both"/>
      </w:pPr>
      <w:r>
        <w:rPr>
          <w:color w:val="000000"/>
          <w:spacing w:val="0"/>
          <w:w w:val="100"/>
          <w:position w:val="0"/>
        </w:rPr>
        <w:t>试点实施</w:t>
      </w:r>
      <w:r>
        <w:rPr>
          <w:rFonts w:ascii="Times New Roman" w:eastAsia="Times New Roman" w:hAnsi="Times New Roman" w:cs="Times New Roman"/>
          <w:color w:val="000000"/>
          <w:spacing w:val="0"/>
          <w:w w:val="100"/>
          <w:position w:val="0"/>
        </w:rPr>
        <w:t>“IBR</w:t>
      </w:r>
      <w:r>
        <w:rPr>
          <w:color w:val="000000"/>
          <w:spacing w:val="0"/>
          <w:w w:val="100"/>
          <w:position w:val="0"/>
        </w:rPr>
        <w:t>蜜蜂激励模型</w:t>
      </w:r>
      <w:r>
        <w:rPr>
          <w:rFonts w:ascii="Times New Roman" w:eastAsia="Times New Roman" w:hAnsi="Times New Roman" w:cs="Times New Roman"/>
          <w:color w:val="000000"/>
          <w:spacing w:val="0"/>
          <w:w w:val="100"/>
          <w:position w:val="0"/>
        </w:rPr>
        <w:t>”</w:t>
      </w:r>
      <w:r>
        <w:rPr>
          <w:color w:val="000000"/>
          <w:spacing w:val="0"/>
          <w:w w:val="100"/>
          <w:position w:val="0"/>
        </w:rPr>
        <w:t>绩效与薪酬制度，包含岗位工资、绩效奖金、超额激励奖、创新红利奖、股权激励。岗位 绩效以硬指标为主，体现当下作战力。职级绩效以带领团队能力建设、构建机制流程、创新长远竞争力、培养后备人才等软</w:t>
      </w:r>
    </w:p>
    <w:p>
      <w:pPr>
        <w:pStyle w:val="Style20"/>
        <w:keepNext w:val="0"/>
        <w:keepLines w:val="0"/>
        <w:widowControl w:val="0"/>
        <w:shd w:val="clear" w:color="auto" w:fill="auto"/>
        <w:bidi w:val="0"/>
        <w:spacing w:before="0" w:after="40" w:line="310" w:lineRule="exact"/>
        <w:ind w:left="0" w:right="0" w:firstLine="4940"/>
        <w:jc w:val="left"/>
      </w:pPr>
      <w:r>
        <w:rPr>
          <w:color w:val="000000"/>
          <w:spacing w:val="0"/>
          <w:w w:val="100"/>
          <w:position w:val="0"/>
          <w:u w:val="single"/>
        </w:rPr>
        <w:t>深圳市建筑科学研究院股份有限公司</w:t>
      </w:r>
      <w:r>
        <w:rPr>
          <w:rFonts w:ascii="Times New Roman" w:eastAsia="Times New Roman" w:hAnsi="Times New Roman" w:cs="Times New Roman"/>
          <w:color w:val="000000"/>
          <w:spacing w:val="0"/>
          <w:w w:val="100"/>
          <w:position w:val="0"/>
          <w:u w:val="single"/>
        </w:rPr>
        <w:t>2021</w:t>
      </w:r>
      <w:r>
        <w:rPr>
          <w:color w:val="000000"/>
          <w:spacing w:val="0"/>
          <w:w w:val="100"/>
          <w:position w:val="0"/>
          <w:u w:val="single"/>
        </w:rPr>
        <w:t xml:space="preserve">年年度报告全文 </w:t>
      </w:r>
      <w:r>
        <w:rPr>
          <w:color w:val="000000"/>
          <w:spacing w:val="0"/>
          <w:w w:val="100"/>
          <w:position w:val="0"/>
        </w:rPr>
        <w:t>性指标为主，体现可持续竞争力贡献及发展潜力。中长效激励则将探索研究结合资本运作同步推进，提升激励效应。根据试 点效果，继续完善蜜蜂模型，有效激励不同类型人才，提高薪酬投入产出效率。</w:t>
      </w:r>
    </w:p>
    <w:p>
      <w:pPr>
        <w:pStyle w:val="Style20"/>
        <w:keepNext w:val="0"/>
        <w:keepLines w:val="0"/>
        <w:widowControl w:val="0"/>
        <w:numPr>
          <w:ilvl w:val="0"/>
          <w:numId w:val="33"/>
        </w:numPr>
        <w:shd w:val="clear" w:color="auto" w:fill="auto"/>
        <w:bidi w:val="0"/>
        <w:spacing w:before="0" w:after="40" w:line="322" w:lineRule="exact"/>
        <w:ind w:left="0" w:right="0" w:firstLine="380"/>
        <w:jc w:val="both"/>
      </w:pPr>
      <w:bookmarkStart w:id="343" w:name="bookmark343"/>
      <w:bookmarkEnd w:id="343"/>
      <w:r>
        <w:rPr>
          <w:b/>
          <w:bCs/>
          <w:color w:val="000000"/>
          <w:spacing w:val="0"/>
          <w:w w:val="100"/>
          <w:position w:val="0"/>
        </w:rPr>
        <w:t>公司长期秉承着“以人为本”的理念，高度关注员工的幸福感及获得感，将办公环境与自然环境、人居环境相结合，强 调人与自然、文化、城市的共享共生，加强团队赋能与培养，促进内生业务做优做强，传承公司企业文化和价值导向</w:t>
      </w:r>
    </w:p>
    <w:p>
      <w:pPr>
        <w:pStyle w:val="Style20"/>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一是用</w:t>
      </w:r>
      <w:r>
        <w:rPr>
          <w:rFonts w:ascii="Times New Roman" w:eastAsia="Times New Roman" w:hAnsi="Times New Roman" w:cs="Times New Roman"/>
          <w:color w:val="000000"/>
          <w:spacing w:val="0"/>
          <w:w w:val="100"/>
          <w:position w:val="0"/>
        </w:rPr>
        <w:t>“</w:t>
      </w:r>
      <w:r>
        <w:rPr>
          <w:color w:val="000000"/>
          <w:spacing w:val="0"/>
          <w:w w:val="100"/>
          <w:position w:val="0"/>
        </w:rPr>
        <w:t>开诚共享，明德向善</w:t>
      </w:r>
      <w:r>
        <w:rPr>
          <w:rFonts w:ascii="Times New Roman" w:eastAsia="Times New Roman" w:hAnsi="Times New Roman" w:cs="Times New Roman"/>
          <w:color w:val="000000"/>
          <w:spacing w:val="0"/>
          <w:w w:val="100"/>
          <w:position w:val="0"/>
        </w:rPr>
        <w:t>”</w:t>
      </w:r>
      <w:r>
        <w:rPr>
          <w:color w:val="000000"/>
          <w:spacing w:val="0"/>
          <w:w w:val="100"/>
          <w:position w:val="0"/>
        </w:rPr>
        <w:t>理念进行思想赋能。推动员工自我认知、自我突破、自我设计、自我适应、自我实现、自 我负责、自我约束、自我发光。</w:t>
      </w:r>
    </w:p>
    <w:p>
      <w:pPr>
        <w:pStyle w:val="Style20"/>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将员工的安全、健康及职业发展放在首位，严格遵守《中华人民共和国劳动法》等相关法律法规，为全体员工缴纳五 险一金，遵守同工同酬的原则，不论性别，根据职工的技能、价值、经验或工作本身的要求等因素合理确定报酬，实行八小 时工作制，明确规定休假方式并写入公司相关章程制度文件，保障职工休息时间，积极承担社会责任，共建幸福之城。</w:t>
      </w:r>
    </w:p>
    <w:p>
      <w:pPr>
        <w:pStyle w:val="Style20"/>
        <w:keepNext w:val="0"/>
        <w:keepLines w:val="0"/>
        <w:widowControl w:val="0"/>
        <w:shd w:val="clear" w:color="auto" w:fill="auto"/>
        <w:bidi w:val="0"/>
        <w:spacing w:before="0" w:after="40" w:line="305" w:lineRule="exact"/>
        <w:ind w:left="0" w:right="0" w:firstLine="440"/>
        <w:jc w:val="both"/>
      </w:pPr>
      <w:r>
        <w:rPr>
          <w:color w:val="000000"/>
          <w:spacing w:val="0"/>
          <w:w w:val="100"/>
          <w:position w:val="0"/>
        </w:rPr>
        <w:t>在劳动者就业机会方面，重视平等权益，树立多元化就业观念。通过校园招聘、社会招聘、内部竞聘等多渠道开展招 聘活动。招聘流程秉承</w:t>
      </w:r>
      <w:r>
        <w:rPr>
          <w:rFonts w:ascii="Times New Roman" w:eastAsia="Times New Roman" w:hAnsi="Times New Roman" w:cs="Times New Roman"/>
          <w:color w:val="000000"/>
          <w:spacing w:val="0"/>
          <w:w w:val="100"/>
          <w:position w:val="0"/>
        </w:rPr>
        <w:t>“</w:t>
      </w:r>
      <w:r>
        <w:rPr>
          <w:color w:val="000000"/>
          <w:spacing w:val="0"/>
          <w:w w:val="100"/>
          <w:position w:val="0"/>
        </w:rPr>
        <w:t>公平、公正、公开</w:t>
      </w:r>
      <w:r>
        <w:rPr>
          <w:rFonts w:ascii="Times New Roman" w:eastAsia="Times New Roman" w:hAnsi="Times New Roman" w:cs="Times New Roman"/>
          <w:color w:val="000000"/>
          <w:spacing w:val="0"/>
          <w:w w:val="100"/>
          <w:position w:val="0"/>
        </w:rPr>
        <w:t>”</w:t>
      </w:r>
      <w:r>
        <w:rPr>
          <w:color w:val="000000"/>
          <w:spacing w:val="0"/>
          <w:w w:val="100"/>
          <w:position w:val="0"/>
        </w:rPr>
        <w:t>的原则，确保不因性别、年龄、残疾、宗教、民族等因素而区别对待。公司现有 总人数</w:t>
      </w:r>
      <w:r>
        <w:rPr>
          <w:rFonts w:ascii="Times New Roman" w:eastAsia="Times New Roman" w:hAnsi="Times New Roman" w:cs="Times New Roman"/>
          <w:color w:val="000000"/>
          <w:spacing w:val="0"/>
          <w:w w:val="100"/>
          <w:position w:val="0"/>
        </w:rPr>
        <w:t>907</w:t>
      </w:r>
      <w:r>
        <w:rPr>
          <w:color w:val="000000"/>
          <w:spacing w:val="0"/>
          <w:w w:val="100"/>
          <w:position w:val="0"/>
        </w:rPr>
        <w:t>人。</w:t>
      </w:r>
      <w:r>
        <w:rPr>
          <w:rFonts w:ascii="Times New Roman" w:eastAsia="Times New Roman" w:hAnsi="Times New Roman" w:cs="Times New Roman"/>
          <w:color w:val="000000"/>
          <w:spacing w:val="0"/>
          <w:w w:val="100"/>
          <w:position w:val="0"/>
        </w:rPr>
        <w:t>2021</w:t>
      </w:r>
      <w:r>
        <w:rPr>
          <w:color w:val="000000"/>
          <w:spacing w:val="0"/>
          <w:w w:val="100"/>
          <w:position w:val="0"/>
        </w:rPr>
        <w:t>年，人员流失率为</w:t>
      </w:r>
      <w:r>
        <w:rPr>
          <w:rFonts w:ascii="Times New Roman" w:eastAsia="Times New Roman" w:hAnsi="Times New Roman" w:cs="Times New Roman"/>
          <w:color w:val="000000"/>
          <w:spacing w:val="0"/>
          <w:w w:val="100"/>
          <w:position w:val="0"/>
        </w:rPr>
        <w:t>14.6%</w:t>
      </w:r>
      <w:r>
        <w:rPr>
          <w:color w:val="000000"/>
          <w:spacing w:val="0"/>
          <w:w w:val="100"/>
          <w:position w:val="0"/>
        </w:rPr>
        <w:t>，劳动合同签订率为</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20"/>
        <w:keepNext w:val="0"/>
        <w:keepLines w:val="0"/>
        <w:widowControl w:val="0"/>
        <w:shd w:val="clear" w:color="auto" w:fill="auto"/>
        <w:bidi w:val="0"/>
        <w:spacing w:before="0" w:after="40" w:line="309" w:lineRule="exact"/>
        <w:ind w:left="0" w:right="0" w:firstLine="440"/>
        <w:jc w:val="both"/>
      </w:pPr>
      <w:r>
        <w:rPr>
          <w:color w:val="000000"/>
          <w:spacing w:val="0"/>
          <w:w w:val="100"/>
          <w:position w:val="0"/>
        </w:rPr>
        <w:t>在福利保障方面，公司在保障员工职业活动中的身心健康和社会福利方面做出了积极努力。从办公环境及设施来看， 设置有健身房、空中花园、健身步道等。社会福利方面，对于符合要求的在职员工，安排有定期体检、健身俱乐部等福利， 关心员工身心健康，提供平等的健康与安全保护。每月组织全体员工大会，定期汇报公司整体经营情况及动态。以工会、部 门、党组织等为单位，定期汇报思想、工作动态，确保信息对接及时，营造良好企业文化氛围、提升企业凝聚力。</w:t>
      </w:r>
    </w:p>
    <w:p>
      <w:pPr>
        <w:pStyle w:val="Style20"/>
        <w:keepNext w:val="0"/>
        <w:keepLines w:val="0"/>
        <w:widowControl w:val="0"/>
        <w:shd w:val="clear" w:color="auto" w:fill="auto"/>
        <w:bidi w:val="0"/>
        <w:spacing w:before="0" w:after="40" w:line="315" w:lineRule="exact"/>
        <w:ind w:left="0" w:right="0" w:firstLine="440"/>
        <w:jc w:val="both"/>
      </w:pPr>
      <w:r>
        <w:rPr>
          <w:color w:val="000000"/>
          <w:spacing w:val="0"/>
          <w:w w:val="100"/>
          <w:position w:val="0"/>
        </w:rPr>
        <w:t>二是用好</w:t>
      </w:r>
      <w:r>
        <w:rPr>
          <w:rFonts w:ascii="Times New Roman" w:eastAsia="Times New Roman" w:hAnsi="Times New Roman" w:cs="Times New Roman"/>
          <w:color w:val="000000"/>
          <w:spacing w:val="0"/>
          <w:w w:val="100"/>
          <w:position w:val="0"/>
        </w:rPr>
        <w:t>“</w:t>
      </w:r>
      <w:r>
        <w:rPr>
          <w:color w:val="000000"/>
          <w:spacing w:val="0"/>
          <w:w w:val="100"/>
          <w:position w:val="0"/>
        </w:rPr>
        <w:t>科改</w:t>
      </w:r>
      <w:r>
        <w:rPr>
          <w:rFonts w:ascii="Times New Roman" w:eastAsia="Times New Roman" w:hAnsi="Times New Roman" w:cs="Times New Roman"/>
          <w:color w:val="000000"/>
          <w:spacing w:val="0"/>
          <w:w w:val="100"/>
          <w:position w:val="0"/>
        </w:rPr>
        <w:t>”</w:t>
      </w:r>
      <w:r>
        <w:rPr>
          <w:color w:val="000000"/>
          <w:spacing w:val="0"/>
          <w:w w:val="100"/>
          <w:position w:val="0"/>
        </w:rPr>
        <w:t>形成的管理工具箱进行机制赋能。包括实施</w:t>
      </w:r>
      <w:r>
        <w:rPr>
          <w:rFonts w:ascii="Times New Roman" w:eastAsia="Times New Roman" w:hAnsi="Times New Roman" w:cs="Times New Roman"/>
          <w:color w:val="000000"/>
          <w:spacing w:val="0"/>
          <w:w w:val="100"/>
          <w:position w:val="0"/>
        </w:rPr>
        <w:t>“IBR</w:t>
      </w:r>
      <w:r>
        <w:rPr>
          <w:color w:val="000000"/>
          <w:spacing w:val="0"/>
          <w:w w:val="100"/>
          <w:position w:val="0"/>
        </w:rPr>
        <w:t>蜜蜂激励模型</w:t>
      </w:r>
      <w:r>
        <w:rPr>
          <w:rFonts w:ascii="Times New Roman" w:eastAsia="Times New Roman" w:hAnsi="Times New Roman" w:cs="Times New Roman"/>
          <w:color w:val="000000"/>
          <w:spacing w:val="0"/>
          <w:w w:val="100"/>
          <w:position w:val="0"/>
        </w:rPr>
        <w:t>”</w:t>
      </w:r>
      <w:r>
        <w:rPr>
          <w:color w:val="000000"/>
          <w:spacing w:val="0"/>
          <w:w w:val="100"/>
          <w:position w:val="0"/>
        </w:rPr>
        <w:t>的各项中长期激励计划等。同时，用好 各种政策，吸引更多专业领域具备创新思维的优秀团队加入绿色城市和</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事业。用大数据、人工智能、区块链等数字化 技术来记录员工自组织管理，行为留痕，并探索</w:t>
      </w:r>
      <w:r>
        <w:rPr>
          <w:rFonts w:ascii="Times New Roman" w:eastAsia="Times New Roman" w:hAnsi="Times New Roman" w:cs="Times New Roman"/>
          <w:color w:val="000000"/>
          <w:spacing w:val="0"/>
          <w:w w:val="100"/>
          <w:position w:val="0"/>
        </w:rPr>
        <w:t>“</w:t>
      </w:r>
      <w:r>
        <w:rPr>
          <w:color w:val="000000"/>
          <w:spacing w:val="0"/>
          <w:w w:val="100"/>
          <w:position w:val="0"/>
        </w:rPr>
        <w:t>行为画像</w:t>
      </w:r>
      <w:r>
        <w:rPr>
          <w:rFonts w:ascii="Times New Roman" w:eastAsia="Times New Roman" w:hAnsi="Times New Roman" w:cs="Times New Roman"/>
          <w:color w:val="000000"/>
          <w:spacing w:val="0"/>
          <w:w w:val="100"/>
          <w:position w:val="0"/>
        </w:rPr>
        <w:t>”</w:t>
      </w:r>
      <w:r>
        <w:rPr>
          <w:color w:val="000000"/>
          <w:spacing w:val="0"/>
          <w:w w:val="100"/>
          <w:position w:val="0"/>
        </w:rPr>
        <w:t>对管理、监督的价值和实现路径，推动员工评价机制的自主化、 信用化、数据化，客观量化评价人岗匹配度。</w:t>
      </w:r>
    </w:p>
    <w:p>
      <w:pPr>
        <w:pStyle w:val="Style20"/>
        <w:keepNext w:val="0"/>
        <w:keepLines w:val="0"/>
        <w:widowControl w:val="0"/>
        <w:shd w:val="clear" w:color="auto" w:fill="auto"/>
        <w:bidi w:val="0"/>
        <w:spacing w:before="0" w:after="40" w:line="307" w:lineRule="exact"/>
        <w:ind w:left="0" w:right="0" w:firstLine="440"/>
        <w:jc w:val="both"/>
      </w:pPr>
      <w:r>
        <w:rPr>
          <w:color w:val="000000"/>
          <w:spacing w:val="0"/>
          <w:w w:val="100"/>
          <w:position w:val="0"/>
        </w:rPr>
        <w:t>三是用好各领域顾问团队等行业资源进行专业赋能。包括市场、管理、技术等领域，通过评估、教练式辅导、培训、调 研、研讨等多种方式开展。</w:t>
      </w:r>
      <w:r>
        <w:rPr>
          <w:rFonts w:ascii="Times New Roman" w:eastAsia="Times New Roman" w:hAnsi="Times New Roman" w:cs="Times New Roman"/>
          <w:color w:val="000000"/>
          <w:spacing w:val="0"/>
          <w:w w:val="100"/>
          <w:position w:val="0"/>
        </w:rPr>
        <w:t>2021</w:t>
      </w:r>
      <w:r>
        <w:rPr>
          <w:color w:val="000000"/>
          <w:spacing w:val="0"/>
          <w:w w:val="100"/>
          <w:position w:val="0"/>
        </w:rPr>
        <w:t>年完成培训共两百余次，其中技术类培训占比过半，累计签到人次</w:t>
      </w:r>
      <w:r>
        <w:rPr>
          <w:rFonts w:ascii="Times New Roman" w:eastAsia="Times New Roman" w:hAnsi="Times New Roman" w:cs="Times New Roman"/>
          <w:color w:val="000000"/>
          <w:spacing w:val="0"/>
          <w:w w:val="100"/>
          <w:position w:val="0"/>
        </w:rPr>
        <w:t>6000</w:t>
      </w:r>
      <w:r>
        <w:rPr>
          <w:color w:val="000000"/>
          <w:spacing w:val="0"/>
          <w:w w:val="100"/>
          <w:position w:val="0"/>
        </w:rPr>
        <w:t xml:space="preserve">余次，培训时长总计 </w:t>
      </w:r>
      <w:r>
        <w:rPr>
          <w:rFonts w:ascii="Times New Roman" w:eastAsia="Times New Roman" w:hAnsi="Times New Roman" w:cs="Times New Roman"/>
          <w:color w:val="000000"/>
          <w:spacing w:val="0"/>
          <w:w w:val="100"/>
          <w:position w:val="0"/>
        </w:rPr>
        <w:t>2000</w:t>
      </w:r>
      <w:r>
        <w:rPr>
          <w:color w:val="000000"/>
          <w:spacing w:val="0"/>
          <w:w w:val="100"/>
          <w:position w:val="0"/>
        </w:rPr>
        <w:t>多小时。</w:t>
      </w:r>
    </w:p>
    <w:p>
      <w:pPr>
        <w:pStyle w:val="Style20"/>
        <w:keepNext w:val="0"/>
        <w:keepLines w:val="0"/>
        <w:widowControl w:val="0"/>
        <w:shd w:val="clear" w:color="auto" w:fill="auto"/>
        <w:bidi w:val="0"/>
        <w:spacing w:before="0" w:after="140" w:line="313" w:lineRule="exact"/>
        <w:ind w:left="0" w:right="0" w:firstLine="440"/>
        <w:jc w:val="both"/>
      </w:pPr>
      <w:bookmarkStart w:id="344" w:name="bookmark344"/>
      <w:r>
        <w:rPr>
          <w:b/>
          <w:bCs/>
          <w:color w:val="000000"/>
          <w:spacing w:val="0"/>
          <w:w w:val="100"/>
          <w:position w:val="0"/>
        </w:rPr>
        <w:t>四</w:t>
      </w:r>
      <w:bookmarkEnd w:id="344"/>
      <w:r>
        <w:rPr>
          <w:b/>
          <w:bCs/>
          <w:color w:val="000000"/>
          <w:spacing w:val="0"/>
          <w:w w:val="100"/>
          <w:position w:val="0"/>
        </w:rPr>
        <w:t>、不忘“绿色青山”初心，传播绿色发展理念</w:t>
      </w:r>
    </w:p>
    <w:p>
      <w:pPr>
        <w:pStyle w:val="Style20"/>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2000</w:t>
      </w:r>
      <w:r>
        <w:rPr>
          <w:color w:val="000000"/>
          <w:spacing w:val="0"/>
          <w:w w:val="100"/>
          <w:position w:val="0"/>
        </w:rPr>
        <w:t>年以来公司专注于持续探索中国特色绿色生态转型之路，坚持创新科技赋能的可持续发展。公司累计获奖近</w:t>
      </w:r>
      <w:r>
        <w:rPr>
          <w:rFonts w:ascii="Times New Roman" w:eastAsia="Times New Roman" w:hAnsi="Times New Roman" w:cs="Times New Roman"/>
          <w:color w:val="000000"/>
          <w:spacing w:val="0"/>
          <w:w w:val="100"/>
          <w:position w:val="0"/>
        </w:rPr>
        <w:t>300</w:t>
      </w:r>
      <w:r>
        <w:rPr>
          <w:color w:val="000000"/>
          <w:spacing w:val="0"/>
          <w:w w:val="100"/>
          <w:position w:val="0"/>
        </w:rPr>
        <w:t>项。</w:t>
      </w:r>
    </w:p>
    <w:p>
      <w:pPr>
        <w:pStyle w:val="Style20"/>
        <w:keepNext w:val="0"/>
        <w:keepLines w:val="0"/>
        <w:widowControl w:val="0"/>
        <w:numPr>
          <w:ilvl w:val="0"/>
          <w:numId w:val="35"/>
        </w:numPr>
        <w:shd w:val="clear" w:color="auto" w:fill="auto"/>
        <w:tabs>
          <w:tab w:pos="626" w:val="left"/>
        </w:tabs>
        <w:bidi w:val="0"/>
        <w:spacing w:before="0" w:after="40" w:line="313" w:lineRule="exact"/>
        <w:ind w:left="0" w:right="0" w:firstLine="380"/>
        <w:jc w:val="both"/>
      </w:pPr>
      <w:bookmarkStart w:id="345" w:name="bookmark345"/>
      <w:bookmarkEnd w:id="345"/>
      <w:r>
        <w:rPr>
          <w:b/>
          <w:bCs/>
          <w:color w:val="000000"/>
          <w:spacing w:val="0"/>
          <w:w w:val="100"/>
          <w:position w:val="0"/>
        </w:rPr>
        <w:t>主动探索“双碳”目标对行业和企业估值标准的评价方式</w:t>
      </w:r>
    </w:p>
    <w:p>
      <w:pPr>
        <w:pStyle w:val="Style20"/>
        <w:keepNext w:val="0"/>
        <w:keepLines w:val="0"/>
        <w:widowControl w:val="0"/>
        <w:shd w:val="clear" w:color="auto" w:fill="auto"/>
        <w:bidi w:val="0"/>
        <w:spacing w:before="0" w:after="40" w:line="310" w:lineRule="exact"/>
        <w:ind w:left="0" w:right="0" w:firstLine="440"/>
        <w:jc w:val="both"/>
      </w:pPr>
      <w:r>
        <w:rPr>
          <w:color w:val="000000"/>
          <w:spacing w:val="0"/>
          <w:w w:val="100"/>
          <w:position w:val="0"/>
        </w:rPr>
        <w:t>公司关注和探索</w:t>
      </w:r>
      <w:r>
        <w:rPr>
          <w:rFonts w:ascii="Times New Roman" w:eastAsia="Times New Roman" w:hAnsi="Times New Roman" w:cs="Times New Roman"/>
          <w:color w:val="000000"/>
          <w:spacing w:val="0"/>
          <w:w w:val="100"/>
          <w:position w:val="0"/>
        </w:rPr>
        <w:t xml:space="preserve">GEP </w:t>
      </w:r>
      <w:r>
        <w:rPr>
          <w:color w:val="000000"/>
          <w:spacing w:val="0"/>
          <w:w w:val="100"/>
          <w:position w:val="0"/>
        </w:rPr>
        <w:t>（生态系统生产总值）和</w:t>
      </w:r>
      <w:r>
        <w:rPr>
          <w:rFonts w:ascii="Times New Roman" w:eastAsia="Times New Roman" w:hAnsi="Times New Roman" w:cs="Times New Roman"/>
          <w:color w:val="000000"/>
          <w:spacing w:val="0"/>
          <w:w w:val="100"/>
          <w:position w:val="0"/>
        </w:rPr>
        <w:t xml:space="preserve">ESG </w:t>
      </w:r>
      <w:r>
        <w:rPr>
          <w:color w:val="000000"/>
          <w:spacing w:val="0"/>
          <w:w w:val="100"/>
          <w:position w:val="0"/>
        </w:rPr>
        <w:t>（环境、社会、治理）的价值评估体系的实现方式及量化标准研究， 将公司业务绿色低碳对社会的贡献价值呈现形式、重新审视公司品牌和价值内涵的显现化，制订碳达峰行动方案、建立</w:t>
      </w:r>
      <w:r>
        <w:rPr>
          <w:rFonts w:ascii="Times New Roman" w:eastAsia="Times New Roman" w:hAnsi="Times New Roman" w:cs="Times New Roman"/>
          <w:color w:val="000000"/>
          <w:spacing w:val="0"/>
          <w:w w:val="100"/>
          <w:position w:val="0"/>
        </w:rPr>
        <w:t xml:space="preserve">IBR </w:t>
      </w:r>
      <w:r>
        <w:rPr>
          <w:color w:val="000000"/>
          <w:spacing w:val="0"/>
          <w:w w:val="100"/>
          <w:position w:val="0"/>
        </w:rPr>
        <w:t>的</w:t>
      </w:r>
      <w:r>
        <w:rPr>
          <w:rFonts w:ascii="Times New Roman" w:eastAsia="Times New Roman" w:hAnsi="Times New Roman" w:cs="Times New Roman"/>
          <w:color w:val="000000"/>
          <w:spacing w:val="0"/>
          <w:w w:val="100"/>
          <w:position w:val="0"/>
        </w:rPr>
        <w:t>ESG</w:t>
      </w:r>
      <w:r>
        <w:rPr>
          <w:color w:val="000000"/>
          <w:spacing w:val="0"/>
          <w:w w:val="100"/>
          <w:position w:val="0"/>
        </w:rPr>
        <w:t>评估模型以及其他更好履行企业社会责任担当。</w:t>
      </w:r>
    </w:p>
    <w:p>
      <w:pPr>
        <w:pStyle w:val="Style20"/>
        <w:keepNext w:val="0"/>
        <w:keepLines w:val="0"/>
        <w:widowControl w:val="0"/>
        <w:numPr>
          <w:ilvl w:val="0"/>
          <w:numId w:val="35"/>
        </w:numPr>
        <w:shd w:val="clear" w:color="auto" w:fill="auto"/>
        <w:bidi w:val="0"/>
        <w:spacing w:before="0" w:after="40" w:line="313" w:lineRule="exact"/>
        <w:ind w:left="0" w:right="0" w:firstLine="380"/>
        <w:jc w:val="both"/>
      </w:pPr>
      <w:bookmarkStart w:id="346" w:name="bookmark346"/>
      <w:bookmarkEnd w:id="346"/>
      <w:r>
        <w:rPr>
          <w:b/>
          <w:bCs/>
          <w:color w:val="000000"/>
          <w:spacing w:val="0"/>
          <w:w w:val="100"/>
          <w:position w:val="0"/>
        </w:rPr>
        <w:t xml:space="preserve"> 长期推动绿色、“双碳”的公共领域法规、政策、标准</w:t>
      </w:r>
    </w:p>
    <w:p>
      <w:pPr>
        <w:pStyle w:val="Style20"/>
        <w:keepNext w:val="0"/>
        <w:keepLines w:val="0"/>
        <w:widowControl w:val="0"/>
        <w:shd w:val="clear" w:color="auto" w:fill="auto"/>
        <w:bidi w:val="0"/>
        <w:spacing w:before="0" w:after="40" w:line="313" w:lineRule="exact"/>
        <w:ind w:left="0" w:right="0" w:firstLine="440"/>
        <w:jc w:val="both"/>
      </w:pPr>
      <w:r>
        <w:rPr>
          <w:color w:val="000000"/>
          <w:spacing w:val="0"/>
          <w:w w:val="100"/>
          <w:position w:val="0"/>
        </w:rPr>
        <w:t>公司多年来推动和参与国家和地方建筑节能、绿色建筑、减排等领域</w:t>
      </w:r>
      <w:r>
        <w:rPr>
          <w:rFonts w:ascii="Times New Roman" w:eastAsia="Times New Roman" w:hAnsi="Times New Roman" w:cs="Times New Roman"/>
          <w:color w:val="000000"/>
          <w:spacing w:val="0"/>
          <w:w w:val="100"/>
          <w:position w:val="0"/>
        </w:rPr>
        <w:t>80%</w:t>
      </w:r>
      <w:r>
        <w:rPr>
          <w:color w:val="000000"/>
          <w:spacing w:val="0"/>
          <w:w w:val="100"/>
          <w:position w:val="0"/>
        </w:rPr>
        <w:t>以上的法规、政策、标准出台。</w:t>
      </w:r>
    </w:p>
    <w:p>
      <w:pPr>
        <w:pStyle w:val="Style20"/>
        <w:keepNext w:val="0"/>
        <w:keepLines w:val="0"/>
        <w:widowControl w:val="0"/>
        <w:shd w:val="clear" w:color="auto" w:fill="auto"/>
        <w:bidi w:val="0"/>
        <w:spacing w:before="0" w:after="40" w:line="317"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年推动启动《深圳经济特区绿色建筑条例》的立法，全过程参与条例编制的讨论及条款制定，推动建筑行业的高 质量绿色建筑发展。它将为深圳地区绿色建筑的高质量设计、施工、验收全过程落地实施提供法律保障。推动《深圳经济特 区数据条例》的立法，旨在提升公共数据质量、促进公共数据共享开放，促进数据要素价值实现，深化数据在市场监管、公 共服务、生态环境保护中应用。</w:t>
      </w:r>
    </w:p>
    <w:p>
      <w:pPr>
        <w:pStyle w:val="Style20"/>
        <w:keepNext w:val="0"/>
        <w:keepLines w:val="0"/>
        <w:widowControl w:val="0"/>
        <w:shd w:val="clear" w:color="auto" w:fill="auto"/>
        <w:bidi w:val="0"/>
        <w:spacing w:before="0" w:after="40" w:line="314"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月，未来大厦策划之初确定的</w:t>
      </w:r>
      <w:r>
        <w:rPr>
          <w:rFonts w:ascii="Times New Roman" w:eastAsia="Times New Roman" w:hAnsi="Times New Roman" w:cs="Times New Roman"/>
          <w:color w:val="000000"/>
          <w:spacing w:val="0"/>
          <w:w w:val="100"/>
          <w:position w:val="0"/>
        </w:rPr>
        <w:t>“</w:t>
      </w:r>
      <w:r>
        <w:rPr>
          <w:color w:val="000000"/>
          <w:spacing w:val="0"/>
          <w:w w:val="100"/>
          <w:position w:val="0"/>
        </w:rPr>
        <w:t>光储直柔</w:t>
      </w:r>
      <w:r>
        <w:rPr>
          <w:rFonts w:ascii="Times New Roman" w:eastAsia="Times New Roman" w:hAnsi="Times New Roman" w:cs="Times New Roman"/>
          <w:color w:val="000000"/>
          <w:spacing w:val="0"/>
          <w:w w:val="100"/>
          <w:position w:val="0"/>
        </w:rPr>
        <w:t>”</w:t>
      </w:r>
      <w:r>
        <w:rPr>
          <w:color w:val="000000"/>
          <w:spacing w:val="0"/>
          <w:w w:val="100"/>
          <w:position w:val="0"/>
        </w:rPr>
        <w:t>技术路线被正式写入国务院印发的《</w:t>
      </w:r>
      <w:r>
        <w:rPr>
          <w:rFonts w:ascii="Times New Roman" w:eastAsia="Times New Roman" w:hAnsi="Times New Roman" w:cs="Times New Roman"/>
          <w:color w:val="000000"/>
          <w:spacing w:val="0"/>
          <w:w w:val="100"/>
          <w:position w:val="0"/>
        </w:rPr>
        <w:t>2030</w:t>
      </w:r>
      <w:r>
        <w:rPr>
          <w:color w:val="000000"/>
          <w:spacing w:val="0"/>
          <w:w w:val="100"/>
          <w:position w:val="0"/>
        </w:rPr>
        <w:t>年前碳达峰行动方案》。深 度参与深圳市碳达峰碳中和行动方案和规划编制工作，作为技术总顾问协助深圳市出台《深圳市近零碳排放区试点建设实施 方案》（深环〔</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212</w:t>
      </w:r>
      <w:r>
        <w:rPr>
          <w:color w:val="000000"/>
          <w:spacing w:val="0"/>
          <w:w w:val="100"/>
          <w:position w:val="0"/>
        </w:rPr>
        <w:t>号），参与《深圳市</w:t>
      </w:r>
      <w:r>
        <w:rPr>
          <w:rFonts w:ascii="Times New Roman" w:eastAsia="Times New Roman" w:hAnsi="Times New Roman" w:cs="Times New Roman"/>
          <w:color w:val="000000"/>
          <w:spacing w:val="0"/>
          <w:w w:val="100"/>
          <w:position w:val="0"/>
        </w:rPr>
        <w:t>2019-2020</w:t>
      </w:r>
      <w:r>
        <w:rPr>
          <w:color w:val="000000"/>
          <w:spacing w:val="0"/>
          <w:w w:val="100"/>
          <w:position w:val="0"/>
        </w:rPr>
        <w:t>年市区两级温室气体清单编制工作方案》，并牵头组织深圳市南山 区</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前期研究和规划，深圳市罗湖区建筑领域碳达峰行动方案规划等工作。</w:t>
      </w:r>
      <w:r>
        <w:rPr>
          <w:rFonts w:ascii="Times New Roman" w:eastAsia="Times New Roman" w:hAnsi="Times New Roman" w:cs="Times New Roman"/>
          <w:color w:val="000000"/>
          <w:spacing w:val="0"/>
          <w:w w:val="100"/>
          <w:position w:val="0"/>
        </w:rPr>
        <w:t>2021</w:t>
      </w:r>
      <w:r>
        <w:rPr>
          <w:color w:val="000000"/>
          <w:spacing w:val="0"/>
          <w:w w:val="100"/>
          <w:position w:val="0"/>
        </w:rPr>
        <w:t>年推动福田区开展</w:t>
      </w:r>
      <w:r>
        <w:rPr>
          <w:rFonts w:ascii="Times New Roman" w:eastAsia="Times New Roman" w:hAnsi="Times New Roman" w:cs="Times New Roman"/>
          <w:color w:val="000000"/>
          <w:spacing w:val="0"/>
          <w:w w:val="100"/>
          <w:position w:val="0"/>
        </w:rPr>
        <w:t>“</w:t>
      </w:r>
      <w:r>
        <w:rPr>
          <w:color w:val="000000"/>
          <w:spacing w:val="0"/>
          <w:w w:val="100"/>
          <w:position w:val="0"/>
        </w:rPr>
        <w:t>公共建筑卓越绿装 降污减碳</w:t>
      </w:r>
      <w:r>
        <w:rPr>
          <w:rFonts w:ascii="Times New Roman" w:eastAsia="Times New Roman" w:hAnsi="Times New Roman" w:cs="Times New Roman"/>
          <w:color w:val="000000"/>
          <w:spacing w:val="0"/>
          <w:w w:val="100"/>
          <w:position w:val="0"/>
        </w:rPr>
        <w:t>”</w:t>
      </w:r>
      <w:r>
        <w:rPr>
          <w:color w:val="000000"/>
          <w:spacing w:val="0"/>
          <w:w w:val="100"/>
          <w:position w:val="0"/>
        </w:rPr>
        <w:t>行动，实施装修污染全过程管控技术，选取重点民生公共项目建设工程</w:t>
      </w:r>
      <w:r>
        <w:rPr>
          <w:rFonts w:ascii="Times New Roman" w:eastAsia="Times New Roman" w:hAnsi="Times New Roman" w:cs="Times New Roman"/>
          <w:color w:val="000000"/>
          <w:spacing w:val="0"/>
          <w:w w:val="100"/>
          <w:position w:val="0"/>
        </w:rPr>
        <w:t>28</w:t>
      </w:r>
      <w:r>
        <w:rPr>
          <w:color w:val="000000"/>
          <w:spacing w:val="0"/>
          <w:w w:val="100"/>
          <w:position w:val="0"/>
        </w:rPr>
        <w:t>个试点，大力提高新装修公共项目室内 空气质量，着力为市民提供更多放心呼吸的公共环境，是深入开展</w:t>
      </w:r>
      <w:r>
        <w:rPr>
          <w:rFonts w:ascii="Times New Roman" w:eastAsia="Times New Roman" w:hAnsi="Times New Roman" w:cs="Times New Roman"/>
          <w:color w:val="000000"/>
          <w:spacing w:val="0"/>
          <w:w w:val="100"/>
          <w:position w:val="0"/>
        </w:rPr>
        <w:t>“</w:t>
      </w:r>
      <w:r>
        <w:rPr>
          <w:color w:val="000000"/>
          <w:spacing w:val="0"/>
          <w:w w:val="100"/>
          <w:position w:val="0"/>
        </w:rPr>
        <w:t>我为群众办实事</w:t>
      </w:r>
      <w:r>
        <w:rPr>
          <w:rFonts w:ascii="Times New Roman" w:eastAsia="Times New Roman" w:hAnsi="Times New Roman" w:cs="Times New Roman"/>
          <w:color w:val="000000"/>
          <w:spacing w:val="0"/>
          <w:w w:val="100"/>
          <w:position w:val="0"/>
        </w:rPr>
        <w:t>”</w:t>
      </w:r>
      <w:r>
        <w:rPr>
          <w:color w:val="000000"/>
          <w:spacing w:val="0"/>
          <w:w w:val="100"/>
          <w:position w:val="0"/>
        </w:rPr>
        <w:t>的具体实践。已完工项目</w:t>
      </w:r>
      <w:r>
        <w:rPr>
          <w:rFonts w:ascii="Times New Roman" w:eastAsia="Times New Roman" w:hAnsi="Times New Roman" w:cs="Times New Roman"/>
          <w:color w:val="000000"/>
          <w:spacing w:val="0"/>
          <w:w w:val="100"/>
          <w:position w:val="0"/>
        </w:rPr>
        <w:t>6</w:t>
      </w:r>
      <w:r>
        <w:rPr>
          <w:color w:val="000000"/>
          <w:spacing w:val="0"/>
          <w:w w:val="100"/>
          <w:position w:val="0"/>
        </w:rPr>
        <w:t>项，效果显 著。</w:t>
      </w:r>
    </w:p>
    <w:p>
      <w:pPr>
        <w:pStyle w:val="Style20"/>
        <w:keepNext w:val="0"/>
        <w:keepLines w:val="0"/>
        <w:widowControl w:val="0"/>
        <w:shd w:val="clear" w:color="auto" w:fill="auto"/>
        <w:bidi w:val="0"/>
        <w:spacing w:before="0" w:after="120" w:line="317"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月，公司主编的《民用建筑直流配电设计标准》通过专家审查并获得</w:t>
      </w:r>
      <w:r>
        <w:rPr>
          <w:rFonts w:ascii="Times New Roman" w:eastAsia="Times New Roman" w:hAnsi="Times New Roman" w:cs="Times New Roman"/>
          <w:color w:val="000000"/>
          <w:spacing w:val="0"/>
          <w:w w:val="100"/>
          <w:position w:val="0"/>
        </w:rPr>
        <w:t>“</w:t>
      </w:r>
      <w:r>
        <w:rPr>
          <w:color w:val="000000"/>
          <w:spacing w:val="0"/>
          <w:w w:val="100"/>
          <w:position w:val="0"/>
        </w:rPr>
        <w:t>国际领先水平</w:t>
      </w:r>
      <w:r>
        <w:rPr>
          <w:rFonts w:ascii="Times New Roman" w:eastAsia="Times New Roman" w:hAnsi="Times New Roman" w:cs="Times New Roman"/>
          <w:color w:val="000000"/>
          <w:spacing w:val="0"/>
          <w:w w:val="100"/>
          <w:position w:val="0"/>
        </w:rPr>
        <w:t>”</w:t>
      </w:r>
      <w:r>
        <w:rPr>
          <w:color w:val="000000"/>
          <w:spacing w:val="0"/>
          <w:w w:val="100"/>
          <w:position w:val="0"/>
        </w:rPr>
        <w:t>评价，将于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 实施。本标准创新性地提出了建筑</w:t>
      </w:r>
      <w:r>
        <w:rPr>
          <w:rFonts w:ascii="Times New Roman" w:eastAsia="Times New Roman" w:hAnsi="Times New Roman" w:cs="Times New Roman"/>
          <w:color w:val="000000"/>
          <w:spacing w:val="0"/>
          <w:w w:val="100"/>
          <w:position w:val="0"/>
        </w:rPr>
        <w:t>“</w:t>
      </w:r>
      <w:r>
        <w:rPr>
          <w:color w:val="000000"/>
          <w:spacing w:val="0"/>
          <w:w w:val="100"/>
          <w:position w:val="0"/>
        </w:rPr>
        <w:t>光储直柔</w:t>
      </w:r>
      <w:r>
        <w:rPr>
          <w:rFonts w:ascii="Times New Roman" w:eastAsia="Times New Roman" w:hAnsi="Times New Roman" w:cs="Times New Roman"/>
          <w:color w:val="000000"/>
          <w:spacing w:val="0"/>
          <w:w w:val="100"/>
          <w:position w:val="0"/>
        </w:rPr>
        <w:t>”</w:t>
      </w:r>
      <w:r>
        <w:rPr>
          <w:color w:val="000000"/>
          <w:spacing w:val="0"/>
          <w:w w:val="100"/>
          <w:position w:val="0"/>
        </w:rPr>
        <w:t>配电概念和具体实施方法，确定了建筑直流配电系统的设计要求和量化指标， 填补了民用建筑直流配电领域标准的空白。标准编制历时三年，聚合了近</w:t>
      </w:r>
      <w:r>
        <w:rPr>
          <w:rFonts w:ascii="Times New Roman" w:eastAsia="Times New Roman" w:hAnsi="Times New Roman" w:cs="Times New Roman"/>
          <w:color w:val="000000"/>
          <w:spacing w:val="0"/>
          <w:w w:val="100"/>
          <w:position w:val="0"/>
        </w:rPr>
        <w:t>40</w:t>
      </w:r>
      <w:r>
        <w:rPr>
          <w:color w:val="000000"/>
          <w:spacing w:val="0"/>
          <w:w w:val="100"/>
          <w:position w:val="0"/>
        </w:rPr>
        <w:t>家行业上下游的相关产业资源参与，对直流配电 技术和</w:t>
      </w:r>
      <w:r>
        <w:rPr>
          <w:rFonts w:ascii="Times New Roman" w:eastAsia="Times New Roman" w:hAnsi="Times New Roman" w:cs="Times New Roman"/>
          <w:color w:val="000000"/>
          <w:spacing w:val="0"/>
          <w:w w:val="100"/>
          <w:position w:val="0"/>
        </w:rPr>
        <w:t>“</w:t>
      </w:r>
      <w:r>
        <w:rPr>
          <w:color w:val="000000"/>
          <w:spacing w:val="0"/>
          <w:w w:val="100"/>
          <w:position w:val="0"/>
        </w:rPr>
        <w:t>光储直柔</w:t>
      </w:r>
      <w:r>
        <w:rPr>
          <w:rFonts w:ascii="Times New Roman" w:eastAsia="Times New Roman" w:hAnsi="Times New Roman" w:cs="Times New Roman"/>
          <w:color w:val="000000"/>
          <w:spacing w:val="0"/>
          <w:w w:val="100"/>
          <w:position w:val="0"/>
        </w:rPr>
        <w:t>”</w:t>
      </w:r>
      <w:r>
        <w:rPr>
          <w:color w:val="000000"/>
          <w:spacing w:val="0"/>
          <w:w w:val="100"/>
          <w:position w:val="0"/>
        </w:rPr>
        <w:t>技术在建筑中的推广应用具有重要的指导和促进作用。</w:t>
      </w:r>
    </w:p>
    <w:p>
      <w:pPr>
        <w:pStyle w:val="Style20"/>
        <w:keepNext w:val="0"/>
        <w:keepLines w:val="0"/>
        <w:widowControl w:val="0"/>
        <w:numPr>
          <w:ilvl w:val="0"/>
          <w:numId w:val="35"/>
        </w:numPr>
        <w:shd w:val="clear" w:color="auto" w:fill="auto"/>
        <w:bidi w:val="0"/>
        <w:spacing w:before="0" w:after="40" w:line="240" w:lineRule="auto"/>
        <w:ind w:left="0" w:right="0" w:firstLine="380"/>
        <w:jc w:val="both"/>
      </w:pPr>
      <w:bookmarkStart w:id="347" w:name="bookmark347"/>
      <w:bookmarkEnd w:id="347"/>
      <w:r>
        <w:rPr>
          <w:b/>
          <w:bCs/>
          <w:color w:val="000000"/>
          <w:spacing w:val="0"/>
          <w:w w:val="100"/>
          <w:position w:val="0"/>
        </w:rPr>
        <w:t>长期宣传行业的绿色变革及公众的绿色文化意识</w:t>
      </w:r>
    </w:p>
    <w:p>
      <w:pPr>
        <w:pStyle w:val="Style20"/>
        <w:keepNext w:val="0"/>
        <w:keepLines w:val="0"/>
        <w:widowControl w:val="0"/>
        <w:shd w:val="clear" w:color="auto" w:fill="auto"/>
        <w:bidi w:val="0"/>
        <w:spacing w:before="0" w:after="40" w:line="310" w:lineRule="exact"/>
        <w:ind w:left="0" w:right="0" w:firstLine="440"/>
        <w:jc w:val="both"/>
      </w:pPr>
      <w:r>
        <w:rPr>
          <w:color w:val="000000"/>
          <w:spacing w:val="0"/>
          <w:w w:val="100"/>
          <w:position w:val="0"/>
        </w:rPr>
        <w:t>公司十多年前就成立了技术文化传播中心（目前并入到价值中心即</w:t>
      </w:r>
      <w:r>
        <w:rPr>
          <w:rFonts w:ascii="Times New Roman" w:eastAsia="Times New Roman" w:hAnsi="Times New Roman" w:cs="Times New Roman"/>
          <w:color w:val="000000"/>
          <w:spacing w:val="0"/>
          <w:w w:val="100"/>
          <w:position w:val="0"/>
        </w:rPr>
        <w:t>ESG</w:t>
      </w:r>
      <w:r>
        <w:rPr>
          <w:color w:val="000000"/>
          <w:spacing w:val="0"/>
          <w:w w:val="100"/>
          <w:position w:val="0"/>
        </w:rPr>
        <w:t>中心），通过月刊长期对行业进行绿色意识、理 念、技术的启蒙。</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-2011</w:t>
      </w:r>
      <w:r>
        <w:rPr>
          <w:color w:val="000000"/>
          <w:spacing w:val="0"/>
          <w:w w:val="100"/>
          <w:position w:val="0"/>
        </w:rPr>
        <w:t>年出版了《共享设计》《共享建造》《共享运营》丛书，由中国建筑工业出版社出版，系统总 结宣传了绿色建筑理论与技术系统实践方法。</w:t>
      </w:r>
      <w:r>
        <w:rPr>
          <w:rFonts w:ascii="Times New Roman" w:eastAsia="Times New Roman" w:hAnsi="Times New Roman" w:cs="Times New Roman"/>
          <w:color w:val="000000"/>
          <w:spacing w:val="0"/>
          <w:w w:val="100"/>
          <w:position w:val="0"/>
        </w:rPr>
        <w:t>2017</w:t>
      </w:r>
      <w:r>
        <w:rPr>
          <w:color w:val="000000"/>
          <w:spacing w:val="0"/>
          <w:w w:val="100"/>
          <w:position w:val="0"/>
        </w:rPr>
        <w:t>年成立公共艺术中心推动建筑的活化。</w:t>
      </w:r>
    </w:p>
    <w:p>
      <w:pPr>
        <w:pStyle w:val="Style20"/>
        <w:keepNext w:val="0"/>
        <w:keepLines w:val="0"/>
        <w:widowControl w:val="0"/>
        <w:shd w:val="clear" w:color="auto" w:fill="auto"/>
        <w:bidi w:val="0"/>
        <w:spacing w:before="0" w:after="40" w:line="319" w:lineRule="exact"/>
        <w:ind w:left="0" w:right="0" w:firstLine="440"/>
        <w:jc w:val="both"/>
      </w:pPr>
      <w:r>
        <w:rPr>
          <w:color w:val="000000"/>
          <w:spacing w:val="0"/>
          <w:w w:val="100"/>
          <w:position w:val="0"/>
        </w:rPr>
        <w:t>公司董事长叶青女士先后荣获深圳市工程勘察设计大师、深圳经济特区建立</w:t>
      </w:r>
      <w:r>
        <w:rPr>
          <w:rFonts w:ascii="Times New Roman" w:eastAsia="Times New Roman" w:hAnsi="Times New Roman" w:cs="Times New Roman"/>
          <w:color w:val="000000"/>
          <w:spacing w:val="0"/>
          <w:w w:val="100"/>
          <w:position w:val="0"/>
        </w:rPr>
        <w:t>40</w:t>
      </w:r>
      <w:r>
        <w:rPr>
          <w:color w:val="000000"/>
          <w:spacing w:val="0"/>
          <w:w w:val="100"/>
          <w:position w:val="0"/>
        </w:rPr>
        <w:t>周年创新创业人物和先进模范人物之杰 出创新人才（</w:t>
      </w:r>
      <w:r>
        <w:rPr>
          <w:rFonts w:ascii="Times New Roman" w:eastAsia="Times New Roman" w:hAnsi="Times New Roman" w:cs="Times New Roman"/>
          <w:color w:val="000000"/>
          <w:spacing w:val="0"/>
          <w:w w:val="100"/>
          <w:position w:val="0"/>
        </w:rPr>
        <w:t>“40</w:t>
      </w:r>
      <w:r>
        <w:rPr>
          <w:color w:val="000000"/>
          <w:spacing w:val="0"/>
          <w:w w:val="100"/>
          <w:position w:val="0"/>
        </w:rPr>
        <w:t>周年</w:t>
      </w:r>
      <w:r>
        <w:rPr>
          <w:rFonts w:ascii="Times New Roman" w:eastAsia="Times New Roman" w:hAnsi="Times New Roman" w:cs="Times New Roman"/>
          <w:color w:val="000000"/>
          <w:spacing w:val="0"/>
          <w:w w:val="100"/>
          <w:position w:val="0"/>
        </w:rPr>
        <w:t>40</w:t>
      </w:r>
      <w:r>
        <w:rPr>
          <w:color w:val="000000"/>
          <w:spacing w:val="0"/>
          <w:w w:val="100"/>
          <w:position w:val="0"/>
        </w:rPr>
        <w:t>人</w:t>
      </w:r>
      <w:r>
        <w:rPr>
          <w:rFonts w:ascii="Times New Roman" w:eastAsia="Times New Roman" w:hAnsi="Times New Roman" w:cs="Times New Roman"/>
          <w:color w:val="000000"/>
          <w:spacing w:val="0"/>
          <w:w w:val="100"/>
          <w:position w:val="0"/>
        </w:rPr>
        <w:t>”</w:t>
      </w:r>
      <w:r>
        <w:rPr>
          <w:color w:val="000000"/>
          <w:spacing w:val="0"/>
          <w:w w:val="100"/>
          <w:position w:val="0"/>
        </w:rPr>
        <w:t>）、世界绿色建筑委员会亚太地区绿色建筑行业女性领袖奖（中国大陆唯一获奖单元）等荣誉， 多年来通过学术论坛、党校培训班、公益演讲等方式宣讲和普及绿色文化与绿色技术体系，包括在国际上多次为中国和深圳 的绿色建筑探索成就发声，包括气候变化大会、中美气候峰会、世界城市论坛等场合。</w:t>
      </w:r>
    </w:p>
    <w:p>
      <w:pPr>
        <w:pStyle w:val="Style20"/>
        <w:keepNext w:val="0"/>
        <w:keepLines w:val="0"/>
        <w:widowControl w:val="0"/>
        <w:shd w:val="clear" w:color="auto" w:fill="auto"/>
        <w:bidi w:val="0"/>
        <w:spacing w:before="0" w:after="120" w:line="319"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年就主办或参与近</w:t>
      </w:r>
      <w:r>
        <w:rPr>
          <w:rFonts w:ascii="Times New Roman" w:eastAsia="Times New Roman" w:hAnsi="Times New Roman" w:cs="Times New Roman"/>
          <w:color w:val="000000"/>
          <w:spacing w:val="0"/>
          <w:w w:val="100"/>
          <w:position w:val="0"/>
        </w:rPr>
        <w:t>70</w:t>
      </w:r>
      <w:r>
        <w:rPr>
          <w:color w:val="000000"/>
          <w:spacing w:val="0"/>
          <w:w w:val="100"/>
          <w:position w:val="0"/>
        </w:rPr>
        <w:t>余场次，范围覆盖北京、河北、四川等区域，听众数千人，包括决策者、同行企业、各领域专 家学者、公众等。主要包括：</w:t>
      </w:r>
    </w:p>
    <w:p>
      <w:pPr>
        <w:pStyle w:val="Style20"/>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日，公司成功通过了广东省环境教育基地复查工作。</w:t>
      </w:r>
    </w:p>
    <w:p>
      <w:pPr>
        <w:pStyle w:val="Style20"/>
        <w:keepNext w:val="0"/>
        <w:keepLines w:val="0"/>
        <w:widowControl w:val="0"/>
        <w:shd w:val="clear" w:color="auto" w:fill="auto"/>
        <w:bidi w:val="0"/>
        <w:spacing w:before="0" w:after="40" w:line="319" w:lineRule="exact"/>
        <w:ind w:left="0" w:right="0" w:firstLine="440"/>
        <w:jc w:val="both"/>
      </w:pP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r>
        <w:rPr>
          <w:rFonts w:ascii="Times New Roman" w:eastAsia="Times New Roman" w:hAnsi="Times New Roman" w:cs="Times New Roman"/>
          <w:color w:val="000000"/>
          <w:spacing w:val="0"/>
          <w:w w:val="100"/>
          <w:position w:val="0"/>
        </w:rPr>
        <w:t>-19</w:t>
      </w:r>
      <w:r>
        <w:rPr>
          <w:color w:val="000000"/>
          <w:spacing w:val="0"/>
          <w:w w:val="100"/>
          <w:position w:val="0"/>
        </w:rPr>
        <w:t>日，第十七届国际绿色建筑与建筑节能大会暨新技术与产品博览会在成都举行，公司连续第</w:t>
      </w:r>
      <w:r>
        <w:rPr>
          <w:rFonts w:ascii="Times New Roman" w:eastAsia="Times New Roman" w:hAnsi="Times New Roman" w:cs="Times New Roman"/>
          <w:color w:val="000000"/>
          <w:spacing w:val="0"/>
          <w:w w:val="100"/>
          <w:position w:val="0"/>
        </w:rPr>
        <w:t>17</w:t>
      </w:r>
      <w:r>
        <w:rPr>
          <w:color w:val="000000"/>
          <w:spacing w:val="0"/>
          <w:w w:val="100"/>
          <w:position w:val="0"/>
        </w:rPr>
        <w:t>次派团参展。</w:t>
      </w:r>
    </w:p>
    <w:p>
      <w:pPr>
        <w:pStyle w:val="Style20"/>
        <w:keepNext w:val="0"/>
        <w:keepLines w:val="0"/>
        <w:widowControl w:val="0"/>
        <w:shd w:val="clear" w:color="auto" w:fill="auto"/>
        <w:bidi w:val="0"/>
        <w:spacing w:before="0" w:after="40" w:line="317" w:lineRule="exact"/>
        <w:ind w:left="0" w:right="0" w:firstLine="440"/>
        <w:jc w:val="both"/>
      </w:pP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日，由深圳市海绵城市建设工作领导小组办公室主办的深圳市海绵城市建设</w:t>
      </w:r>
      <w:r>
        <w:rPr>
          <w:rFonts w:ascii="Times New Roman" w:eastAsia="Times New Roman" w:hAnsi="Times New Roman" w:cs="Times New Roman"/>
          <w:color w:val="000000"/>
          <w:spacing w:val="0"/>
          <w:w w:val="100"/>
          <w:position w:val="0"/>
        </w:rPr>
        <w:t>2020</w:t>
      </w:r>
      <w:r>
        <w:rPr>
          <w:color w:val="000000"/>
          <w:spacing w:val="0"/>
          <w:w w:val="100"/>
          <w:position w:val="0"/>
        </w:rPr>
        <w:t>年度优秀项目分享会暨</w:t>
      </w:r>
      <w:r>
        <w:rPr>
          <w:rFonts w:ascii="Times New Roman" w:eastAsia="Times New Roman" w:hAnsi="Times New Roman" w:cs="Times New Roman"/>
          <w:color w:val="000000"/>
          <w:spacing w:val="0"/>
          <w:w w:val="100"/>
          <w:position w:val="0"/>
        </w:rPr>
        <w:t>2021</w:t>
      </w:r>
      <w:r>
        <w:rPr>
          <w:color w:val="000000"/>
          <w:spacing w:val="0"/>
          <w:w w:val="100"/>
          <w:position w:val="0"/>
        </w:rPr>
        <w:t>年度 海绵城市奖励申报启动仪式在公司举行，主题为</w:t>
      </w:r>
      <w:r>
        <w:rPr>
          <w:rFonts w:ascii="Times New Roman" w:eastAsia="Times New Roman" w:hAnsi="Times New Roman" w:cs="Times New Roman"/>
          <w:color w:val="000000"/>
          <w:spacing w:val="0"/>
          <w:w w:val="100"/>
          <w:position w:val="0"/>
        </w:rPr>
        <w:t>“</w:t>
      </w:r>
      <w:r>
        <w:rPr>
          <w:color w:val="000000"/>
          <w:spacing w:val="0"/>
          <w:w w:val="100"/>
          <w:position w:val="0"/>
        </w:rPr>
        <w:t>同心共建，海绵典范</w:t>
      </w:r>
      <w:r>
        <w:rPr>
          <w:rFonts w:ascii="Times New Roman" w:eastAsia="Times New Roman" w:hAnsi="Times New Roman" w:cs="Times New Roman"/>
          <w:color w:val="000000"/>
          <w:spacing w:val="0"/>
          <w:w w:val="100"/>
          <w:position w:val="0"/>
        </w:rPr>
        <w:t>”</w:t>
      </w:r>
      <w:r>
        <w:rPr>
          <w:color w:val="000000"/>
          <w:spacing w:val="0"/>
          <w:w w:val="100"/>
          <w:position w:val="0"/>
        </w:rPr>
        <w:t>。公司作为获奖项目代表分享了《天健花园海绵化改 造</w:t>
      </w:r>
      <w:r>
        <w:rPr>
          <w:color w:val="000000"/>
          <w:spacing w:val="0"/>
          <w:w w:val="100"/>
          <w:position w:val="0"/>
        </w:rPr>
        <w:t>一一</w:t>
      </w:r>
      <w:r>
        <w:rPr>
          <w:color w:val="000000"/>
          <w:spacing w:val="0"/>
          <w:w w:val="100"/>
          <w:position w:val="0"/>
        </w:rPr>
        <w:t>既有居住小区海绵化改造范例》，讲述了一座老旧小区在海绵改造过程中的难点以及技术创新的经验。</w:t>
      </w:r>
    </w:p>
    <w:p>
      <w:pPr>
        <w:pStyle w:val="Style20"/>
        <w:keepNext w:val="0"/>
        <w:keepLines w:val="0"/>
        <w:widowControl w:val="0"/>
        <w:shd w:val="clear" w:color="auto" w:fill="auto"/>
        <w:bidi w:val="0"/>
        <w:spacing w:before="0" w:after="40" w:line="326" w:lineRule="exact"/>
        <w:ind w:left="0" w:right="0" w:firstLine="440"/>
        <w:jc w:val="both"/>
      </w:pP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日，深圳市建设科学技术委员会绿色建筑与低碳发展专业委员会在建科大楼召开成立大会，同期举办了</w:t>
      </w:r>
      <w:r>
        <w:rPr>
          <w:rFonts w:ascii="Times New Roman" w:eastAsia="Times New Roman" w:hAnsi="Times New Roman" w:cs="Times New Roman"/>
          <w:color w:val="000000"/>
          <w:spacing w:val="0"/>
          <w:w w:val="100"/>
          <w:position w:val="0"/>
        </w:rPr>
        <w:t>“ ‘</w:t>
      </w:r>
      <w:r>
        <w:rPr>
          <w:color w:val="000000"/>
          <w:spacing w:val="0"/>
          <w:w w:val="100"/>
          <w:position w:val="0"/>
        </w:rPr>
        <w:t>双碳</w:t>
      </w:r>
      <w:r>
        <w:rPr>
          <w:rFonts w:ascii="Times New Roman" w:eastAsia="Times New Roman" w:hAnsi="Times New Roman" w:cs="Times New Roman"/>
          <w:color w:val="000000"/>
          <w:spacing w:val="0"/>
          <w:w w:val="100"/>
          <w:position w:val="0"/>
        </w:rPr>
        <w:t xml:space="preserve">’ </w:t>
      </w:r>
      <w:r>
        <w:rPr>
          <w:color w:val="000000"/>
          <w:spacing w:val="0"/>
          <w:w w:val="100"/>
          <w:position w:val="0"/>
        </w:rPr>
        <w:t>时代下的绿色建筑之路</w:t>
      </w:r>
      <w:r>
        <w:rPr>
          <w:rFonts w:ascii="Times New Roman" w:eastAsia="Times New Roman" w:hAnsi="Times New Roman" w:cs="Times New Roman"/>
          <w:color w:val="000000"/>
          <w:spacing w:val="0"/>
          <w:w w:val="100"/>
          <w:position w:val="0"/>
        </w:rPr>
        <w:t>”</w:t>
      </w:r>
      <w:r>
        <w:rPr>
          <w:color w:val="000000"/>
          <w:spacing w:val="0"/>
          <w:w w:val="100"/>
          <w:position w:val="0"/>
        </w:rPr>
        <w:t>主题论坛。</w:t>
      </w:r>
    </w:p>
    <w:p>
      <w:pPr>
        <w:pStyle w:val="Style20"/>
        <w:keepNext w:val="0"/>
        <w:keepLines w:val="0"/>
        <w:widowControl w:val="0"/>
        <w:shd w:val="clear" w:color="auto" w:fill="auto"/>
        <w:bidi w:val="0"/>
        <w:spacing w:before="0" w:after="40" w:line="312" w:lineRule="exact"/>
        <w:ind w:left="0" w:right="0" w:firstLine="440"/>
        <w:jc w:val="both"/>
      </w:pP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年碳达峰碳中和论坛暨第九届深圳国际低碳城论坛在深圳举行，建科院承办绿色建筑分论坛。本次绿 色建筑分论坛包括</w:t>
      </w:r>
      <w:r>
        <w:rPr>
          <w:rFonts w:ascii="Times New Roman" w:eastAsia="Times New Roman" w:hAnsi="Times New Roman" w:cs="Times New Roman"/>
          <w:color w:val="000000"/>
          <w:spacing w:val="0"/>
          <w:w w:val="100"/>
          <w:position w:val="0"/>
        </w:rPr>
        <w:t>AH</w:t>
      </w:r>
      <w:r>
        <w:rPr>
          <w:color w:val="000000"/>
          <w:spacing w:val="0"/>
          <w:w w:val="100"/>
          <w:position w:val="0"/>
        </w:rPr>
        <w:t>国际主动建筑产业联盟大湾区基地揭牌仪式、</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时代</w:t>
      </w:r>
      <w:r>
        <w:rPr>
          <w:rFonts w:ascii="Times New Roman" w:eastAsia="Times New Roman" w:hAnsi="Times New Roman" w:cs="Times New Roman"/>
          <w:color w:val="000000"/>
          <w:spacing w:val="0"/>
          <w:w w:val="100"/>
          <w:position w:val="0"/>
        </w:rPr>
        <w:t>”</w:t>
      </w:r>
      <w:r>
        <w:rPr>
          <w:color w:val="000000"/>
          <w:spacing w:val="0"/>
          <w:w w:val="100"/>
          <w:position w:val="0"/>
        </w:rPr>
        <w:t>下的绿色建筑之路系列专家主旨演讲等系 列活动并采取了一会两展</w:t>
      </w:r>
      <w:r>
        <w:rPr>
          <w:rFonts w:ascii="Times New Roman" w:eastAsia="Times New Roman" w:hAnsi="Times New Roman" w:cs="Times New Roman"/>
          <w:color w:val="000000"/>
          <w:spacing w:val="0"/>
          <w:w w:val="100"/>
          <w:position w:val="0"/>
        </w:rPr>
        <w:t>+N</w:t>
      </w:r>
      <w:r>
        <w:rPr>
          <w:color w:val="000000"/>
          <w:spacing w:val="0"/>
          <w:w w:val="100"/>
          <w:position w:val="0"/>
        </w:rPr>
        <w:t>场体验活动的方式，共有</w:t>
      </w:r>
      <w:r>
        <w:rPr>
          <w:rFonts w:ascii="Times New Roman" w:eastAsia="Times New Roman" w:hAnsi="Times New Roman" w:cs="Times New Roman"/>
          <w:color w:val="000000"/>
          <w:spacing w:val="0"/>
          <w:w w:val="100"/>
          <w:position w:val="0"/>
        </w:rPr>
        <w:t>360</w:t>
      </w:r>
      <w:r>
        <w:rPr>
          <w:color w:val="000000"/>
          <w:spacing w:val="0"/>
          <w:w w:val="100"/>
          <w:position w:val="0"/>
        </w:rPr>
        <w:t>余位嘉宾到场参会，进行了为期一天的探讨与交流，同时网络在线 人数高达</w:t>
      </w:r>
      <w:r>
        <w:rPr>
          <w:rFonts w:ascii="Times New Roman" w:eastAsia="Times New Roman" w:hAnsi="Times New Roman" w:cs="Times New Roman"/>
          <w:color w:val="000000"/>
          <w:spacing w:val="0"/>
          <w:w w:val="100"/>
          <w:position w:val="0"/>
        </w:rPr>
        <w:t>15800</w:t>
      </w:r>
      <w:r>
        <w:rPr>
          <w:color w:val="000000"/>
          <w:spacing w:val="0"/>
          <w:w w:val="100"/>
          <w:position w:val="0"/>
        </w:rPr>
        <w:t>余人。</w:t>
      </w:r>
    </w:p>
    <w:p>
      <w:pPr>
        <w:pStyle w:val="Style20"/>
        <w:keepNext w:val="0"/>
        <w:keepLines w:val="0"/>
        <w:widowControl w:val="0"/>
        <w:shd w:val="clear" w:color="auto" w:fill="auto"/>
        <w:bidi w:val="0"/>
        <w:spacing w:before="0" w:after="40" w:line="317" w:lineRule="exact"/>
        <w:ind w:left="0" w:right="0" w:firstLine="440"/>
        <w:jc w:val="both"/>
      </w:pP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日，深圳市建设工程标准学会在未来大厦举办了第一届会员大会第二次会议，共有</w:t>
      </w:r>
      <w:r>
        <w:rPr>
          <w:rFonts w:ascii="Times New Roman" w:eastAsia="Times New Roman" w:hAnsi="Times New Roman" w:cs="Times New Roman"/>
          <w:color w:val="000000"/>
          <w:spacing w:val="0"/>
          <w:w w:val="100"/>
          <w:position w:val="0"/>
        </w:rPr>
        <w:t>53</w:t>
      </w:r>
      <w:r>
        <w:rPr>
          <w:color w:val="000000"/>
          <w:spacing w:val="0"/>
          <w:w w:val="100"/>
          <w:position w:val="0"/>
        </w:rPr>
        <w:t>家企业代表出席，除会议 外还进行了</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背景下建设工程标准未来发展方向探讨</w:t>
      </w:r>
      <w:r>
        <w:rPr>
          <w:rFonts w:ascii="Times New Roman" w:eastAsia="Times New Roman" w:hAnsi="Times New Roman" w:cs="Times New Roman"/>
          <w:color w:val="000000"/>
          <w:spacing w:val="0"/>
          <w:w w:val="100"/>
          <w:position w:val="0"/>
        </w:rPr>
        <w:t>”</w:t>
      </w:r>
      <w:r>
        <w:rPr>
          <w:color w:val="000000"/>
          <w:spacing w:val="0"/>
          <w:w w:val="100"/>
          <w:position w:val="0"/>
        </w:rPr>
        <w:t>主题分享及参观，出席的企业代表们纷纷表示出对未来大厦</w:t>
      </w:r>
      <w:r>
        <w:rPr>
          <w:rFonts w:ascii="Times New Roman" w:eastAsia="Times New Roman" w:hAnsi="Times New Roman" w:cs="Times New Roman"/>
          <w:color w:val="000000"/>
          <w:spacing w:val="0"/>
          <w:w w:val="100"/>
          <w:position w:val="0"/>
        </w:rPr>
        <w:t>“</w:t>
      </w:r>
      <w:r>
        <w:rPr>
          <w:color w:val="000000"/>
          <w:spacing w:val="0"/>
          <w:w w:val="100"/>
          <w:position w:val="0"/>
        </w:rPr>
        <w:t>三 分离</w:t>
      </w:r>
      <w:r>
        <w:rPr>
          <w:rFonts w:ascii="Times New Roman" w:eastAsia="Times New Roman" w:hAnsi="Times New Roman" w:cs="Times New Roman"/>
          <w:color w:val="000000"/>
          <w:spacing w:val="0"/>
          <w:w w:val="100"/>
          <w:position w:val="0"/>
        </w:rPr>
        <w:t>”</w:t>
      </w:r>
      <w:r>
        <w:rPr>
          <w:color w:val="000000"/>
          <w:spacing w:val="0"/>
          <w:w w:val="100"/>
          <w:position w:val="0"/>
        </w:rPr>
        <w:t>可变空间、</w:t>
      </w:r>
      <w:r>
        <w:rPr>
          <w:rFonts w:ascii="Times New Roman" w:eastAsia="Times New Roman" w:hAnsi="Times New Roman" w:cs="Times New Roman"/>
          <w:color w:val="000000"/>
          <w:spacing w:val="0"/>
          <w:w w:val="100"/>
          <w:position w:val="0"/>
        </w:rPr>
        <w:t>“</w:t>
      </w:r>
      <w:r>
        <w:rPr>
          <w:color w:val="000000"/>
          <w:spacing w:val="0"/>
          <w:w w:val="100"/>
          <w:position w:val="0"/>
        </w:rPr>
        <w:t>光储直柔</w:t>
      </w:r>
      <w:r>
        <w:rPr>
          <w:rFonts w:ascii="Times New Roman" w:eastAsia="Times New Roman" w:hAnsi="Times New Roman" w:cs="Times New Roman"/>
          <w:color w:val="000000"/>
          <w:spacing w:val="0"/>
          <w:w w:val="100"/>
          <w:position w:val="0"/>
        </w:rPr>
        <w:t>”</w:t>
      </w:r>
      <w:r>
        <w:rPr>
          <w:color w:val="000000"/>
          <w:spacing w:val="0"/>
          <w:w w:val="100"/>
          <w:position w:val="0"/>
        </w:rPr>
        <w:t>技术系统等的极大兴趣。</w:t>
      </w:r>
    </w:p>
    <w:p>
      <w:pPr>
        <w:pStyle w:val="Style20"/>
        <w:keepNext w:val="0"/>
        <w:keepLines w:val="0"/>
        <w:widowControl w:val="0"/>
        <w:shd w:val="clear" w:color="auto" w:fill="auto"/>
        <w:bidi w:val="0"/>
        <w:spacing w:before="0" w:after="360" w:line="326"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年公司内部启动</w:t>
      </w:r>
      <w:r>
        <w:rPr>
          <w:rFonts w:ascii="Times New Roman" w:eastAsia="Times New Roman" w:hAnsi="Times New Roman" w:cs="Times New Roman"/>
          <w:color w:val="000000"/>
          <w:spacing w:val="0"/>
          <w:w w:val="100"/>
          <w:position w:val="0"/>
        </w:rPr>
        <w:t>“</w:t>
      </w:r>
      <w:r>
        <w:rPr>
          <w:color w:val="000000"/>
          <w:spacing w:val="0"/>
          <w:w w:val="100"/>
          <w:position w:val="0"/>
        </w:rPr>
        <w:t>低碳生活</w:t>
      </w:r>
      <w:r>
        <w:rPr>
          <w:rFonts w:ascii="Times New Roman" w:eastAsia="Times New Roman" w:hAnsi="Times New Roman" w:cs="Times New Roman"/>
          <w:color w:val="000000"/>
          <w:spacing w:val="0"/>
          <w:w w:val="100"/>
          <w:position w:val="0"/>
        </w:rPr>
        <w:t>”</w:t>
      </w:r>
      <w:r>
        <w:rPr>
          <w:color w:val="000000"/>
          <w:spacing w:val="0"/>
          <w:w w:val="100"/>
          <w:position w:val="0"/>
        </w:rPr>
        <w:t>的志愿群，每天记录个人碳足迹，基于此，完成了个人碳账户平台开发与试用，随后将 向社会推广，引导绿色生活。</w:t>
      </w:r>
    </w:p>
    <w:p>
      <w:pPr>
        <w:pStyle w:val="Style26"/>
        <w:keepNext w:val="0"/>
        <w:keepLines w:val="0"/>
        <w:widowControl w:val="0"/>
        <w:shd w:val="clear" w:color="auto" w:fill="auto"/>
        <w:bidi w:val="0"/>
        <w:spacing w:before="0" w:after="240" w:line="240" w:lineRule="auto"/>
        <w:ind w:left="0" w:right="0" w:firstLine="0"/>
        <w:jc w:val="left"/>
      </w:pPr>
      <w:bookmarkStart w:id="348" w:name="bookmark348"/>
      <w:r>
        <w:rPr>
          <w:color w:val="000000"/>
          <w:spacing w:val="0"/>
          <w:w w:val="100"/>
          <w:position w:val="0"/>
          <w:sz w:val="24"/>
          <w:szCs w:val="24"/>
        </w:rPr>
        <w:t>三</w:t>
      </w:r>
      <w:bookmarkEnd w:id="348"/>
      <w:r>
        <w:rPr>
          <w:color w:val="000000"/>
          <w:spacing w:val="0"/>
          <w:w w:val="100"/>
          <w:position w:val="0"/>
          <w:sz w:val="24"/>
          <w:szCs w:val="24"/>
        </w:rPr>
        <w:t>、巩固拓展脱贫攻坚成果、乡村振兴的情况</w:t>
      </w:r>
    </w:p>
    <w:p>
      <w:pPr>
        <w:pStyle w:val="Style20"/>
        <w:keepNext w:val="0"/>
        <w:keepLines w:val="0"/>
        <w:widowControl w:val="0"/>
        <w:shd w:val="clear" w:color="auto" w:fill="auto"/>
        <w:bidi w:val="0"/>
        <w:spacing w:before="0" w:after="40" w:line="318"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年公司采购扶贫物品达人民币</w:t>
      </w:r>
      <w:r>
        <w:rPr>
          <w:rFonts w:ascii="Times New Roman" w:eastAsia="Times New Roman" w:hAnsi="Times New Roman" w:cs="Times New Roman"/>
          <w:color w:val="000000"/>
          <w:spacing w:val="0"/>
          <w:w w:val="100"/>
          <w:position w:val="0"/>
        </w:rPr>
        <w:t>23.22</w:t>
      </w:r>
      <w:r>
        <w:rPr>
          <w:color w:val="000000"/>
          <w:spacing w:val="0"/>
          <w:w w:val="100"/>
          <w:position w:val="0"/>
        </w:rPr>
        <w:t>万元，公司行政部在采购员工季度劳保、乐活商城商品等员工福利礼包时优先采购 扶贫物品，其中包括大米、饮用水、食用油等生活物资。除此之外，本公司对口帮扶广东省龙川县麻布岗镇瑚径村，该村 在帮扶单位的支持下种起富硒大米，推动稻米增产增收，以粮富农，助力实现乡村振兴的可持续化，已全面实现贫困户全 部脱贫，贫困村成功摘帽。</w:t>
      </w:r>
      <w:r>
        <w:br w:type="page"/>
      </w:r>
    </w:p>
    <w:p>
      <w:pPr>
        <w:pStyle w:val="Style13"/>
        <w:keepNext/>
        <w:keepLines/>
        <w:widowControl w:val="0"/>
        <w:shd w:val="clear" w:color="auto" w:fill="auto"/>
        <w:bidi w:val="0"/>
        <w:spacing w:before="0" w:after="540" w:line="240" w:lineRule="auto"/>
        <w:ind w:left="0" w:right="0" w:firstLine="0"/>
        <w:jc w:val="center"/>
      </w:pPr>
      <w:bookmarkStart w:id="349" w:name="bookmark349"/>
      <w:bookmarkStart w:id="350" w:name="bookmark350"/>
      <w:bookmarkStart w:id="351" w:name="bookmark351"/>
      <w:r>
        <w:rPr>
          <w:color w:val="000000"/>
          <w:spacing w:val="0"/>
          <w:w w:val="100"/>
          <w:position w:val="0"/>
        </w:rPr>
        <w:t>第六节重要事项</w:t>
      </w:r>
      <w:bookmarkEnd w:id="349"/>
      <w:bookmarkEnd w:id="350"/>
      <w:bookmarkEnd w:id="351"/>
    </w:p>
    <w:p>
      <w:pPr>
        <w:pStyle w:val="Style26"/>
        <w:keepNext w:val="0"/>
        <w:keepLines w:val="0"/>
        <w:widowControl w:val="0"/>
        <w:shd w:val="clear" w:color="auto" w:fill="auto"/>
        <w:bidi w:val="0"/>
        <w:spacing w:before="0" w:after="280" w:line="240" w:lineRule="auto"/>
        <w:ind w:left="0" w:right="0" w:firstLine="0"/>
        <w:jc w:val="left"/>
      </w:pPr>
      <w:bookmarkStart w:id="352" w:name="bookmark352"/>
      <w:r>
        <w:rPr>
          <w:color w:val="000000"/>
          <w:spacing w:val="0"/>
          <w:w w:val="100"/>
          <w:position w:val="0"/>
          <w:sz w:val="24"/>
          <w:szCs w:val="24"/>
        </w:rPr>
        <w:t>一</w:t>
      </w:r>
      <w:bookmarkEnd w:id="352"/>
      <w:r>
        <w:rPr>
          <w:color w:val="000000"/>
          <w:spacing w:val="0"/>
          <w:w w:val="100"/>
          <w:position w:val="0"/>
          <w:sz w:val="24"/>
          <w:szCs w:val="24"/>
        </w:rPr>
        <w:t>、承诺事项履行情况</w:t>
      </w:r>
    </w:p>
    <w:p>
      <w:pPr>
        <w:pStyle w:val="Style31"/>
        <w:keepNext/>
        <w:keepLines/>
        <w:widowControl w:val="0"/>
        <w:shd w:val="clear" w:color="auto" w:fill="auto"/>
        <w:bidi w:val="0"/>
        <w:spacing w:before="0" w:line="317" w:lineRule="exact"/>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1</w:t>
      </w:r>
      <w:bookmarkEnd w:id="355"/>
      <w:r>
        <w:rPr>
          <w:color w:val="000000"/>
          <w:spacing w:val="0"/>
          <w:w w:val="100"/>
          <w:position w:val="0"/>
        </w:rPr>
        <w:t>、公司实际控制人、股东、关联方、收购人以及公司等承诺相关方在报告期内履行完毕及截至报告期末 尚未履行完毕的承诺事项</w:t>
      </w:r>
      <w:bookmarkEnd w:id="353"/>
      <w:bookmarkEnd w:id="354"/>
      <w:bookmarkEnd w:id="356"/>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998"/>
        <w:gridCol w:w="989"/>
        <w:gridCol w:w="710"/>
        <w:gridCol w:w="5242"/>
        <w:gridCol w:w="571"/>
        <w:gridCol w:w="566"/>
        <w:gridCol w:w="504"/>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承诺类 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承诺 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履行</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情况</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收购报告书 或权益变动 报告书中所 作承诺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资产重组时</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所作承诺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587"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首次公开发</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行或再融资</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时所作承诺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深圳市资本 运营集团有 限公司（曾 用名：深圳 市远致投资</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售承诺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、自发行人股票上市之日起三十六个月内，不转让或者委托他人 管理所持有的发行人公开发行股份前已发行的股份，也不由发行 人回购该等股份；</w:t>
            </w:r>
            <w:r>
              <w:rPr>
                <w:rFonts w:ascii="Times New Roman" w:eastAsia="Times New Roman" w:hAnsi="Times New Roman" w:cs="Times New Roman"/>
                <w:color w:val="000000"/>
                <w:spacing w:val="0"/>
                <w:w w:val="100"/>
                <w:position w:val="0"/>
              </w:rPr>
              <w:t>2</w:t>
            </w:r>
            <w:r>
              <w:rPr>
                <w:color w:val="000000"/>
                <w:spacing w:val="0"/>
                <w:w w:val="100"/>
                <w:position w:val="0"/>
              </w:rPr>
              <w:t>、发行人股票上市后六个月内如公司股票连续 二十个交易日的收盘价均低于发行价（发行人股票上市后六个月 内如有派息、送股、资本公积金转增股本、增发新股等除权除息 事项的，发行价将相应进行调整，下同），或者上市后六个月期末 收盘价低于发行价，本公司持有发行人股票的锁定期限在原有锁 定期限基础上自动延长六个月。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完毕</w:t>
            </w:r>
          </w:p>
        </w:tc>
      </w:tr>
      <w:tr>
        <w:trPr>
          <w:trHeight w:val="4766"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陈泽广；蓝</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虹；刘俊</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跃；毛洪</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伟；莫福</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光；姚培；</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叶青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售承诺</w:t>
            </w:r>
          </w:p>
        </w:tc>
        <w:tc>
          <w:tcPr>
            <w:tcBorders>
              <w:top w:val="single" w:sz="4"/>
              <w:left w:val="single" w:sz="4"/>
            </w:tcBorders>
            <w:shd w:val="clear" w:color="auto" w:fill="FFFFFF"/>
            <w:vAlign w:val="center"/>
          </w:tcPr>
          <w:p>
            <w:pPr>
              <w:pStyle w:val="Style23"/>
              <w:keepNext w:val="0"/>
              <w:keepLines w:val="0"/>
              <w:widowControl w:val="0"/>
              <w:shd w:val="clear" w:color="auto" w:fill="auto"/>
              <w:tabs>
                <w:tab w:pos="2352"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、自发行人股票上市之日起十二个月内，不转让或者委托他人管 理本人间接持有的发行人公开发行股份前已发行的股份，也不由 发行人回购该等股份；</w:t>
            </w:r>
            <w:r>
              <w:rPr>
                <w:rFonts w:ascii="Times New Roman" w:eastAsia="Times New Roman" w:hAnsi="Times New Roman" w:cs="Times New Roman"/>
                <w:color w:val="000000"/>
                <w:spacing w:val="0"/>
                <w:w w:val="100"/>
                <w:position w:val="0"/>
              </w:rPr>
              <w:t>2</w:t>
            </w:r>
            <w:r>
              <w:rPr>
                <w:color w:val="000000"/>
                <w:spacing w:val="0"/>
                <w:w w:val="100"/>
                <w:position w:val="0"/>
              </w:rPr>
              <w:t>、在上述期限届满后，本人在发行人任职 期间每年转让直接或间接持有发行人股份不超过本人直接或间接 持有建科院股份总数的</w:t>
            </w:r>
            <w:r>
              <w:rPr>
                <w:rFonts w:ascii="Times New Roman" w:eastAsia="Times New Roman" w:hAnsi="Times New Roman" w:cs="Times New Roman"/>
                <w:color w:val="000000"/>
                <w:spacing w:val="0"/>
                <w:w w:val="100"/>
                <w:position w:val="0"/>
              </w:rPr>
              <w:t>25%</w:t>
            </w:r>
            <w:r>
              <w:rPr>
                <w:color w:val="000000"/>
                <w:spacing w:val="0"/>
                <w:w w:val="100"/>
                <w:position w:val="0"/>
              </w:rPr>
              <w:t>；</w:t>
              <w:tab/>
            </w:r>
            <w:r>
              <w:rPr>
                <w:rFonts w:ascii="Times New Roman" w:eastAsia="Times New Roman" w:hAnsi="Times New Roman" w:cs="Times New Roman"/>
                <w:color w:val="000000"/>
                <w:spacing w:val="0"/>
                <w:w w:val="100"/>
                <w:position w:val="0"/>
              </w:rPr>
              <w:t>3</w:t>
            </w:r>
            <w:r>
              <w:rPr>
                <w:color w:val="000000"/>
                <w:spacing w:val="0"/>
                <w:w w:val="100"/>
                <w:position w:val="0"/>
              </w:rPr>
              <w:t>、在离职半年内，本人不转让所直</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接或间接持有的发行人股份；</w:t>
            </w:r>
            <w:r>
              <w:rPr>
                <w:rFonts w:ascii="Times New Roman" w:eastAsia="Times New Roman" w:hAnsi="Times New Roman" w:cs="Times New Roman"/>
                <w:color w:val="000000"/>
                <w:spacing w:val="0"/>
                <w:w w:val="100"/>
                <w:position w:val="0"/>
              </w:rPr>
              <w:t>4</w:t>
            </w:r>
            <w:r>
              <w:rPr>
                <w:color w:val="000000"/>
                <w:spacing w:val="0"/>
                <w:w w:val="100"/>
                <w:position w:val="0"/>
              </w:rPr>
              <w:t>、在发行人股票上市之日起六个月 内本人申报离职的，自申报离职之日起十八个月内不转让本人直 接或间接持有的发行人股份；在建科院股票上市之日起七个月至 十二个月之间申报离职的，自申报离职之日起十二个月内本人不 转让直接或间接持有的发行人股份；</w:t>
            </w:r>
            <w:r>
              <w:rPr>
                <w:rFonts w:ascii="Times New Roman" w:eastAsia="Times New Roman" w:hAnsi="Times New Roman" w:cs="Times New Roman"/>
                <w:color w:val="000000"/>
                <w:spacing w:val="0"/>
                <w:w w:val="100"/>
                <w:position w:val="0"/>
              </w:rPr>
              <w:t>5</w:t>
            </w:r>
            <w:r>
              <w:rPr>
                <w:color w:val="000000"/>
                <w:spacing w:val="0"/>
                <w:w w:val="100"/>
                <w:position w:val="0"/>
              </w:rPr>
              <w:t>、发行人上市后六个月内如 股票连续二十个交易日的收盘价均低于发行价，或者上市后六个 月期末收盘价低于发行价，上述锁定期限届满后自动延长六个月 的锁定期；</w:t>
            </w:r>
            <w:r>
              <w:rPr>
                <w:rFonts w:ascii="Times New Roman" w:eastAsia="Times New Roman" w:hAnsi="Times New Roman" w:cs="Times New Roman"/>
                <w:color w:val="000000"/>
                <w:spacing w:val="0"/>
                <w:w w:val="100"/>
                <w:position w:val="0"/>
              </w:rPr>
              <w:t>6</w:t>
            </w:r>
            <w:r>
              <w:rPr>
                <w:color w:val="000000"/>
                <w:spacing w:val="0"/>
                <w:w w:val="100"/>
                <w:position w:val="0"/>
              </w:rPr>
              <w:t>、所持发行人股票在锁定期满后两年内减持的，其减 持价格不低于发行价；</w:t>
            </w:r>
            <w:r>
              <w:rPr>
                <w:rFonts w:ascii="Times New Roman" w:eastAsia="Times New Roman" w:hAnsi="Times New Roman" w:cs="Times New Roman"/>
                <w:color w:val="000000"/>
                <w:spacing w:val="0"/>
                <w:w w:val="100"/>
                <w:position w:val="0"/>
              </w:rPr>
              <w:t>7</w:t>
            </w:r>
            <w:r>
              <w:rPr>
                <w:color w:val="000000"/>
                <w:spacing w:val="0"/>
                <w:w w:val="100"/>
                <w:position w:val="0"/>
              </w:rPr>
              <w:t>、本人不因职务变更、离职等原因而放弃 履行该承诺。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9999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正常 履行 中</w:t>
            </w:r>
          </w:p>
        </w:tc>
      </w:tr>
      <w:tr>
        <w:trPr>
          <w:trHeight w:val="37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深圳市资本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本公司对发行人的发展前景充满信心，拟长期持有发行人的股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9999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r>
    </w:tbl>
    <w:p>
      <w:pPr>
        <w:spacing w:lineRule="exact" w:line="1"/>
        <w:rPr>
          <w:sz w:val="2"/>
          <w:szCs w:val="2"/>
        </w:rPr>
      </w:pPr>
      <w:r>
        <w:br w:type="page"/>
      </w:r>
    </w:p>
    <w:tbl>
      <w:tblPr>
        <w:tblOverlap w:val="never"/>
        <w:jc w:val="center"/>
        <w:tblLayout w:type="fixed"/>
      </w:tblPr>
      <w:tblGrid>
        <w:gridCol w:w="998"/>
        <w:gridCol w:w="989"/>
        <w:gridCol w:w="710"/>
        <w:gridCol w:w="5242"/>
        <w:gridCol w:w="571"/>
        <w:gridCol w:w="566"/>
        <w:gridCol w:w="504"/>
      </w:tblGrid>
      <w:tr>
        <w:trPr>
          <w:trHeight w:val="194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02" w:lineRule="exact"/>
              <w:ind w:left="0" w:right="0" w:firstLine="0"/>
              <w:jc w:val="both"/>
            </w:pPr>
            <w:r>
              <w:rPr>
                <w:color w:val="000000"/>
                <w:spacing w:val="0"/>
                <w:w w:val="100"/>
                <w:position w:val="0"/>
              </w:rPr>
              <w:t>运营集团有 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持承诺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份。在股份锁定期满后两年内，本公司无减持所持有的发行人股 票的计划。但若出现法律法规、政策变化、自然灾害等自身无法 控制的客观原因，本公司需在锁定期满后两年内减持的，减持价 格将不低于发行价，并将通过深圳证券交易所竞价交易系统、大 宗交易平台或深圳证券交易所允许的其他转让方式合法转让发行 人股票，实施减持时将提前三个交易日通过发行人予以公告。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07</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19</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12</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80" w:after="100" w:line="240" w:lineRule="auto"/>
              <w:ind w:left="0" w:right="0" w:firstLine="0"/>
              <w:jc w:val="both"/>
            </w:pPr>
            <w:r>
              <w:rPr>
                <w:color w:val="000000"/>
                <w:spacing w:val="0"/>
                <w:w w:val="100"/>
                <w:position w:val="0"/>
              </w:rPr>
              <w:t>履行</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w:t>
            </w:r>
          </w:p>
        </w:tc>
      </w:tr>
      <w:tr>
        <w:trPr>
          <w:trHeight w:val="164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深圳市建科</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投资股份有</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股份减</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持承诺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本公司对发行人的发展前景充满信心，拟长期持有发行人的股</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份。本公司所持发行人股票锁定期届满后的</w:t>
            </w:r>
            <w:r>
              <w:rPr>
                <w:rFonts w:ascii="Times New Roman" w:eastAsia="Times New Roman" w:hAnsi="Times New Roman" w:cs="Times New Roman"/>
                <w:color w:val="000000"/>
                <w:spacing w:val="0"/>
                <w:w w:val="100"/>
                <w:position w:val="0"/>
              </w:rPr>
              <w:t>12</w:t>
            </w:r>
            <w:r>
              <w:rPr>
                <w:color w:val="000000"/>
                <w:spacing w:val="0"/>
                <w:w w:val="100"/>
                <w:position w:val="0"/>
              </w:rPr>
              <w:t>个月内，减持股票 数量不超过本公司所持发行人股票锁定期届满时本公司持有可减 持股票数量的</w:t>
            </w:r>
            <w:r>
              <w:rPr>
                <w:rFonts w:ascii="Times New Roman" w:eastAsia="Times New Roman" w:hAnsi="Times New Roman" w:cs="Times New Roman"/>
                <w:color w:val="000000"/>
                <w:spacing w:val="0"/>
                <w:w w:val="100"/>
                <w:position w:val="0"/>
              </w:rPr>
              <w:t>30%</w:t>
            </w:r>
            <w:r>
              <w:rPr>
                <w:color w:val="000000"/>
                <w:spacing w:val="0"/>
                <w:w w:val="100"/>
                <w:position w:val="0"/>
              </w:rPr>
              <w:t>；锁定期届满后的</w:t>
            </w:r>
            <w:r>
              <w:rPr>
                <w:rFonts w:ascii="Times New Roman" w:eastAsia="Times New Roman" w:hAnsi="Times New Roman" w:cs="Times New Roman"/>
                <w:color w:val="000000"/>
                <w:spacing w:val="0"/>
                <w:w w:val="100"/>
                <w:position w:val="0"/>
              </w:rPr>
              <w:t>24</w:t>
            </w:r>
            <w:r>
              <w:rPr>
                <w:color w:val="000000"/>
                <w:spacing w:val="0"/>
                <w:w w:val="100"/>
                <w:position w:val="0"/>
              </w:rPr>
              <w:t>个月内，本公司减持股票 数量不超过锁定期届满时本公司持有可减持股票数量的</w:t>
            </w:r>
            <w:r>
              <w:rPr>
                <w:rFonts w:ascii="Times New Roman" w:eastAsia="Times New Roman" w:hAnsi="Times New Roman" w:cs="Times New Roman"/>
                <w:color w:val="000000"/>
                <w:spacing w:val="0"/>
                <w:w w:val="100"/>
                <w:position w:val="0"/>
              </w:rPr>
              <w:t>60%</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履行</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完毕</w:t>
            </w: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深圳市创新 投资集团有 限公司；深 圳市英龙建 安（集团） 有限公司； 中关村发展 集团股份有</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股份减</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持承诺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本公司对发行人的发展前景充满信心，拟长期持有发行人的股</w:t>
            </w:r>
          </w:p>
          <w:p>
            <w:pPr>
              <w:pStyle w:val="Style23"/>
              <w:keepNext w:val="0"/>
              <w:keepLines w:val="0"/>
              <w:widowControl w:val="0"/>
              <w:shd w:val="clear" w:color="auto" w:fill="auto"/>
              <w:bidi w:val="0"/>
              <w:spacing w:before="0" w:after="0" w:line="315" w:lineRule="exact"/>
              <w:ind w:left="0" w:right="0" w:firstLine="0"/>
              <w:jc w:val="both"/>
            </w:pPr>
            <w:r>
              <w:rPr>
                <w:color w:val="000000"/>
                <w:spacing w:val="0"/>
                <w:w w:val="100"/>
                <w:position w:val="0"/>
              </w:rPr>
              <w:t>份。如因自身资金需求、实现投资收益、公司股票价格波动等原 因，在不违反本公司在本次公开发行时所作出的公开承诺的前提 下，本公司可依法减持发行人公开发行股票前所持有发行人的股 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9999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 履行 中</w:t>
            </w:r>
          </w:p>
        </w:tc>
      </w:tr>
      <w:tr>
        <w:trPr>
          <w:trHeight w:val="723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深圳市建筑 科学研究院 股份有限公</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both"/>
            </w:pPr>
            <w:r>
              <w:rPr>
                <w:color w:val="000000"/>
                <w:spacing w:val="0"/>
                <w:w w:val="100"/>
                <w:position w:val="0"/>
              </w:rPr>
              <w:t>分红承 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本次发行后的利润分配政策和股东分红回报规划（一）本次发行 前滚存利润分配方案根据公司</w:t>
            </w:r>
            <w:r>
              <w:rPr>
                <w:rFonts w:ascii="Times New Roman" w:eastAsia="Times New Roman" w:hAnsi="Times New Roman" w:cs="Times New Roman"/>
                <w:color w:val="000000"/>
                <w:spacing w:val="0"/>
                <w:w w:val="100"/>
                <w:position w:val="0"/>
              </w:rPr>
              <w:t>2014</w:t>
            </w:r>
            <w:r>
              <w:rPr>
                <w:color w:val="000000"/>
                <w:spacing w:val="0"/>
                <w:w w:val="100"/>
                <w:position w:val="0"/>
              </w:rPr>
              <w:t>年度股东大会审议通过的《关 于公司本次发行</w:t>
            </w:r>
            <w:r>
              <w:rPr>
                <w:rFonts w:ascii="Times New Roman" w:eastAsia="Times New Roman" w:hAnsi="Times New Roman" w:cs="Times New Roman"/>
                <w:color w:val="000000"/>
                <w:spacing w:val="0"/>
                <w:w w:val="100"/>
                <w:position w:val="0"/>
              </w:rPr>
              <w:t>A</w:t>
            </w:r>
            <w:r>
              <w:rPr>
                <w:color w:val="000000"/>
                <w:spacing w:val="0"/>
                <w:w w:val="100"/>
                <w:position w:val="0"/>
              </w:rPr>
              <w:t>股前滚存利润分配方案的议案》，公司首次公开 发行股票前的滚存利润由发行后的新老股东按照发行后的股份比 例共享。（二）本次发行后利润分配政策根据公司</w:t>
            </w:r>
            <w:r>
              <w:rPr>
                <w:rFonts w:ascii="Times New Roman" w:eastAsia="Times New Roman" w:hAnsi="Times New Roman" w:cs="Times New Roman"/>
                <w:color w:val="000000"/>
                <w:spacing w:val="0"/>
                <w:w w:val="100"/>
                <w:position w:val="0"/>
              </w:rPr>
              <w:t>2014</w:t>
            </w:r>
            <w:r>
              <w:rPr>
                <w:color w:val="000000"/>
                <w:spacing w:val="0"/>
                <w:w w:val="100"/>
                <w:position w:val="0"/>
              </w:rPr>
              <w:t>年度股东 大会审议通过的《公司章程（草案）》，公司发行后的利润分配政 策如下：</w:t>
            </w:r>
            <w:r>
              <w:rPr>
                <w:rFonts w:ascii="Times New Roman" w:eastAsia="Times New Roman" w:hAnsi="Times New Roman" w:cs="Times New Roman"/>
                <w:color w:val="000000"/>
                <w:spacing w:val="0"/>
                <w:w w:val="100"/>
                <w:position w:val="0"/>
              </w:rPr>
              <w:t>1</w:t>
            </w:r>
            <w:r>
              <w:rPr>
                <w:color w:val="000000"/>
                <w:spacing w:val="0"/>
                <w:w w:val="100"/>
                <w:position w:val="0"/>
              </w:rPr>
              <w:t xml:space="preserve">、基本原则公司应着眼于长远和可持续发展，以股东利 益最大化为公司价值目标，持续采取积极的现金及股票股利分配 政策，注重对投资者回报，切实履行上市公司社会责任，严格按 照《公司法》、《证券法》以及中国证监会、证券交易所有关规 定，建立对投资者持续、稳定、科学的回报机制。公司利润分配 应注重对股东的合理投资回报并兼顾公司的持续发展，主要采取 现金分红的方式进行，利润分配政策应保持连续性和稳定性。公 司当年未分配利润将用于生产经营或者留待以后年度进行分配。 </w:t>
            </w:r>
            <w:r>
              <w:rPr>
                <w:rFonts w:ascii="Times New Roman" w:eastAsia="Times New Roman" w:hAnsi="Times New Roman" w:cs="Times New Roman"/>
                <w:color w:val="000000"/>
                <w:spacing w:val="0"/>
                <w:w w:val="100"/>
                <w:position w:val="0"/>
              </w:rPr>
              <w:t>2</w:t>
            </w:r>
            <w:r>
              <w:rPr>
                <w:color w:val="000000"/>
                <w:spacing w:val="0"/>
                <w:w w:val="100"/>
                <w:position w:val="0"/>
              </w:rPr>
              <w:t xml:space="preserve">、利润分配的形式和比例、发放股票股利的条件以及利润分配的 期间间隔公司采用现金、股票、现金与股票相结合或者法律、法 规允许的其他方式分配股利，并优先采用现金方式分配：公司每 年以现金形式分配的利润不少于当年实现的可供分配利润的 </w:t>
            </w:r>
            <w:r>
              <w:rPr>
                <w:rFonts w:ascii="Times New Roman" w:eastAsia="Times New Roman" w:hAnsi="Times New Roman" w:cs="Times New Roman"/>
                <w:color w:val="000000"/>
                <w:spacing w:val="0"/>
                <w:w w:val="100"/>
                <w:position w:val="0"/>
              </w:rPr>
              <w:t>20%</w:t>
            </w:r>
            <w:r>
              <w:rPr>
                <w:color w:val="000000"/>
                <w:spacing w:val="0"/>
                <w:w w:val="100"/>
                <w:position w:val="0"/>
              </w:rPr>
              <w:t>，且分配金额不低于按合并会计报表口径计算的当年实现的 可分配利润的</w:t>
            </w:r>
            <w:r>
              <w:rPr>
                <w:rFonts w:ascii="Times New Roman" w:eastAsia="Times New Roman" w:hAnsi="Times New Roman" w:cs="Times New Roman"/>
                <w:color w:val="000000"/>
                <w:spacing w:val="0"/>
                <w:w w:val="100"/>
                <w:position w:val="0"/>
              </w:rPr>
              <w:t>20%</w:t>
            </w:r>
            <w:r>
              <w:rPr>
                <w:color w:val="000000"/>
                <w:spacing w:val="0"/>
                <w:w w:val="100"/>
                <w:position w:val="0"/>
              </w:rPr>
              <w:t>；在完成上述现金股利分配后，若公司未分配 利润达到或超过股本的</w:t>
            </w:r>
            <w:r>
              <w:rPr>
                <w:rFonts w:ascii="Times New Roman" w:eastAsia="Times New Roman" w:hAnsi="Times New Roman" w:cs="Times New Roman"/>
                <w:color w:val="000000"/>
                <w:spacing w:val="0"/>
                <w:w w:val="100"/>
                <w:position w:val="0"/>
              </w:rPr>
              <w:t>30%</w:t>
            </w:r>
            <w:r>
              <w:rPr>
                <w:color w:val="000000"/>
                <w:spacing w:val="0"/>
                <w:w w:val="100"/>
                <w:position w:val="0"/>
              </w:rPr>
              <w:t>时，公司可实施股票股利分配，采用 股票股利进行利润分配的，应当具有公司成长性、每股净资产的 摊薄等真实合理因素；除上述年度股利分配外，公司可进行中期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 xml:space="preserve">9999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正常</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履行</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w:t>
            </w:r>
          </w:p>
        </w:tc>
      </w:tr>
    </w:tbl>
    <w:p>
      <w:pPr>
        <w:pStyle w:val="Style2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207" w:val="left"/>
        </w:tabs>
        <w:bidi w:val="0"/>
        <w:spacing w:before="0" w:after="0" w:line="312" w:lineRule="exact"/>
        <w:ind w:left="2720" w:right="0" w:firstLine="0"/>
        <w:jc w:val="left"/>
      </w:pPr>
      <w:r>
        <w:rPr>
          <w:color w:val="000000"/>
          <w:spacing w:val="0"/>
          <w:w w:val="100"/>
          <w:position w:val="0"/>
        </w:rPr>
        <w:t xml:space="preserve">现金分红。公司发展阶段属成熟期且无重大资金支出安排的，进 行利润分配时，现金分红在该次利润分配中所占比例最低应达到 </w:t>
      </w:r>
      <w:r>
        <w:rPr>
          <w:rFonts w:ascii="Times New Roman" w:eastAsia="Times New Roman" w:hAnsi="Times New Roman" w:cs="Times New Roman"/>
          <w:color w:val="000000"/>
          <w:spacing w:val="0"/>
          <w:w w:val="100"/>
          <w:position w:val="0"/>
        </w:rPr>
        <w:t xml:space="preserve">80% </w:t>
      </w:r>
      <w:r>
        <w:rPr>
          <w:color w:val="000000"/>
          <w:spacing w:val="0"/>
          <w:w w:val="100"/>
          <w:position w:val="0"/>
        </w:rPr>
        <w:t xml:space="preserve">；公司发展阶段属成熟期且有重大资金支出安排的，进行利 润分配时，现金分红在该次利润分配中所占比例最低应达到 </w:t>
      </w:r>
      <w:r>
        <w:rPr>
          <w:rFonts w:ascii="Times New Roman" w:eastAsia="Times New Roman" w:hAnsi="Times New Roman" w:cs="Times New Roman"/>
          <w:color w:val="000000"/>
          <w:spacing w:val="0"/>
          <w:w w:val="100"/>
          <w:position w:val="0"/>
        </w:rPr>
        <w:t xml:space="preserve">40% </w:t>
      </w:r>
      <w:r>
        <w:rPr>
          <w:color w:val="000000"/>
          <w:spacing w:val="0"/>
          <w:w w:val="100"/>
          <w:position w:val="0"/>
        </w:rPr>
        <w:t>；公司发展阶段属成长期或不易区分且有重大资金支出安排 的，进行利润分配时，现金分红在该次利润分配中所占比例最低 应达到</w:t>
      </w:r>
      <w:r>
        <w:rPr>
          <w:rFonts w:ascii="Times New Roman" w:eastAsia="Times New Roman" w:hAnsi="Times New Roman" w:cs="Times New Roman"/>
          <w:color w:val="000000"/>
          <w:spacing w:val="0"/>
          <w:w w:val="100"/>
          <w:position w:val="0"/>
        </w:rPr>
        <w:t>20%</w:t>
      </w:r>
      <w:r>
        <w:rPr>
          <w:color w:val="000000"/>
          <w:spacing w:val="0"/>
          <w:w w:val="100"/>
          <w:position w:val="0"/>
        </w:rPr>
        <w:t>。本条所称重大资金支出指预计在未来一个会计年度 一次性或累计资金支出超过</w:t>
      </w:r>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000</w:t>
      </w:r>
      <w:r>
        <w:rPr>
          <w:color w:val="000000"/>
          <w:spacing w:val="0"/>
          <w:w w:val="100"/>
          <w:position w:val="0"/>
        </w:rPr>
        <w:t>万元。公司董事会未作出现金</w:t>
      </w:r>
    </w:p>
    <w:p>
      <w:pPr>
        <w:pStyle w:val="Style2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2720" w:right="0" w:firstLine="0"/>
        <w:jc w:val="left"/>
      </w:pPr>
      <w:r>
        <w:rPr>
          <w:color w:val="000000"/>
          <w:spacing w:val="0"/>
          <w:w w:val="100"/>
          <w:position w:val="0"/>
        </w:rPr>
        <w:t>分配预案的，应当在定期报告中披露原因及留存资金的具体用 途，独立董事应当对此发表独立意见。</w:t>
      </w:r>
      <w:r>
        <w:rPr>
          <w:rFonts w:ascii="Times New Roman" w:eastAsia="Times New Roman" w:hAnsi="Times New Roman" w:cs="Times New Roman"/>
          <w:color w:val="000000"/>
          <w:spacing w:val="0"/>
          <w:w w:val="100"/>
          <w:position w:val="0"/>
        </w:rPr>
        <w:t>3</w:t>
      </w:r>
      <w:r>
        <w:rPr>
          <w:color w:val="000000"/>
          <w:spacing w:val="0"/>
          <w:w w:val="100"/>
          <w:position w:val="0"/>
        </w:rPr>
        <w:t>、股利分配的决策程序公 司在每个会计年度结束后，由公司董事会提出公司及全资子公司 的利润分配议案，董事会应当认真研究和论证公司现金分红的时 机、条件、最低比例、调整的条件及其决策程序要求等事宜，独 立董事可以征集中小股东的意见，提出分红提案，并直接提交董 事会审议，公司董事会在利润分配方案论证过程中，需与独立董 事充分讨论，董事会在考虑对全体股东持续、稳定、科学的回报 基础上，形成利润分配预案；在经公司二分之一以上独立董事同 意后，方能提交公司董事会、监事会审议，并最终提交股东大会 审议表决。涉及股利分配相关议案，公司独立董事可在股东大会 召开前向公司社会公众股股东征集其在股东大会上的投票权，独 立董事行使上述职权应当取得全体独立董事的二分之一以上同 意；公司审议利润分配方案时，应为股东提供网络投票方式。</w:t>
      </w:r>
      <w:r>
        <w:rPr>
          <w:rFonts w:ascii="Times New Roman" w:eastAsia="Times New Roman" w:hAnsi="Times New Roman" w:cs="Times New Roman"/>
          <w:color w:val="000000"/>
          <w:spacing w:val="0"/>
          <w:w w:val="100"/>
          <w:position w:val="0"/>
        </w:rPr>
        <w:t>4</w:t>
      </w:r>
      <w:r>
        <w:rPr>
          <w:color w:val="000000"/>
          <w:spacing w:val="0"/>
          <w:w w:val="100"/>
          <w:position w:val="0"/>
        </w:rPr>
        <w:t>、 利润分配政策调整程序公司如需调整利润分配政策，调整后的利 润分配政策不得违反中国证监会和证券交易所的有关规定；有关 调整利润分配政策的议案需经二分之一以上独立董事同意后提交 董事会、监事会和股东大会批准。公司审议利润分配政策变更事 项时，应为股东提供网络投票方式。（三）上市后未来三年股利分 配规划为明确公司股东分红回报规划，进一步细化《公司章程》</w:t>
      </w:r>
    </w:p>
    <w:p>
      <w:pPr>
        <w:pStyle w:val="Style2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2720" w:right="0" w:firstLine="0"/>
        <w:jc w:val="left"/>
      </w:pPr>
      <w:r>
        <w:rPr>
          <w:color w:val="000000"/>
          <w:spacing w:val="0"/>
          <w:w w:val="100"/>
          <w:position w:val="0"/>
        </w:rPr>
        <w:t>（草案）中利润分配条款，公司</w:t>
      </w:r>
      <w:r>
        <w:rPr>
          <w:rFonts w:ascii="Times New Roman" w:eastAsia="Times New Roman" w:hAnsi="Times New Roman" w:cs="Times New Roman"/>
          <w:color w:val="000000"/>
          <w:spacing w:val="0"/>
          <w:w w:val="100"/>
          <w:position w:val="0"/>
        </w:rPr>
        <w:t>2014</w:t>
      </w:r>
      <w:r>
        <w:rPr>
          <w:color w:val="000000"/>
          <w:spacing w:val="0"/>
          <w:w w:val="100"/>
          <w:position w:val="0"/>
        </w:rPr>
        <w:t>年度股东大会审议通过了 《上市后未来三年股东分红回报规划》对上市后未来三年的股利</w:t>
      </w:r>
    </w:p>
    <w:p>
      <w:pPr>
        <w:pStyle w:val="Style2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2720" w:right="0" w:firstLine="0"/>
        <w:jc w:val="left"/>
      </w:pPr>
      <w:r>
        <w:rPr>
          <w:color w:val="000000"/>
          <w:spacing w:val="0"/>
          <w:w w:val="100"/>
          <w:position w:val="0"/>
        </w:rPr>
        <w:t>分配进行了规划，具体内容如下：</w:t>
      </w:r>
      <w:r>
        <w:rPr>
          <w:rFonts w:ascii="Times New Roman" w:eastAsia="Times New Roman" w:hAnsi="Times New Roman" w:cs="Times New Roman"/>
          <w:color w:val="000000"/>
          <w:spacing w:val="0"/>
          <w:w w:val="100"/>
          <w:position w:val="0"/>
        </w:rPr>
        <w:t>1</w:t>
      </w:r>
      <w:r>
        <w:rPr>
          <w:color w:val="000000"/>
          <w:spacing w:val="0"/>
          <w:w w:val="100"/>
          <w:position w:val="0"/>
        </w:rPr>
        <w:t>、制定股东回报规划的考虑因 素公司着眼于长远和可持续发展，综合考虑公司盈利情况、经营 发展目标、股东回报、社会资金成本及外部融资环境等因素，建 立对投资者持续、稳定、科学的回报规划制度，以保证股利分配 政策的连续性和稳定性。</w:t>
      </w:r>
      <w:r>
        <w:rPr>
          <w:rFonts w:ascii="Times New Roman" w:eastAsia="Times New Roman" w:hAnsi="Times New Roman" w:cs="Times New Roman"/>
          <w:color w:val="000000"/>
          <w:spacing w:val="0"/>
          <w:w w:val="100"/>
          <w:position w:val="0"/>
        </w:rPr>
        <w:t>2</w:t>
      </w:r>
      <w:r>
        <w:rPr>
          <w:color w:val="000000"/>
          <w:spacing w:val="0"/>
          <w:w w:val="100"/>
          <w:position w:val="0"/>
        </w:rPr>
        <w:t>、制定股东回报规划的原则公司股东回 报规划充分考虑和听取股东（特别是公众投资者）、独立董事和监 事的意见，坚持现金分红为主这一基本原则。</w:t>
      </w:r>
      <w:r>
        <w:rPr>
          <w:rFonts w:ascii="Times New Roman" w:eastAsia="Times New Roman" w:hAnsi="Times New Roman" w:cs="Times New Roman"/>
          <w:color w:val="000000"/>
          <w:spacing w:val="0"/>
          <w:w w:val="100"/>
          <w:position w:val="0"/>
        </w:rPr>
        <w:t>3</w:t>
      </w:r>
      <w:r>
        <w:rPr>
          <w:color w:val="000000"/>
          <w:spacing w:val="0"/>
          <w:w w:val="100"/>
          <w:position w:val="0"/>
        </w:rPr>
        <w:t>、股东回报规划审 阅与修改程序公司至少每三年重新审阅一次《股东分红回报规 划》，结合股东（特别是公众投资者）、独立董事和监事的意见对 公司正在实施的股利分配政策作出适当且必要的修改，确定该时 段的股东分红回报计划，但公司保证调整后的股东分红回报计划 不得违反公司章程确定的利润分配政策。</w:t>
      </w:r>
      <w:r>
        <w:rPr>
          <w:rFonts w:ascii="Times New Roman" w:eastAsia="Times New Roman" w:hAnsi="Times New Roman" w:cs="Times New Roman"/>
          <w:color w:val="000000"/>
          <w:spacing w:val="0"/>
          <w:w w:val="100"/>
          <w:position w:val="0"/>
        </w:rPr>
        <w:t>4</w:t>
      </w:r>
      <w:r>
        <w:rPr>
          <w:color w:val="000000"/>
          <w:spacing w:val="0"/>
          <w:w w:val="100"/>
          <w:position w:val="0"/>
        </w:rPr>
        <w:t>、上市后三年股东分红 回报计划公司利润分配可采取现金、股票、现金与股票相结合或 者法律、法规允许的其他方式。公司盈利年度在满足正常生产经</w:t>
      </w:r>
      <w:r>
        <w:br w:type="page"/>
      </w:r>
    </w:p>
    <w:tbl>
      <w:tblPr>
        <w:tblOverlap w:val="never"/>
        <w:jc w:val="center"/>
        <w:tblLayout w:type="fixed"/>
      </w:tblPr>
      <w:tblGrid>
        <w:gridCol w:w="998"/>
        <w:gridCol w:w="989"/>
        <w:gridCol w:w="710"/>
        <w:gridCol w:w="5242"/>
        <w:gridCol w:w="571"/>
        <w:gridCol w:w="566"/>
        <w:gridCol w:w="504"/>
      </w:tblGrid>
      <w:tr>
        <w:trPr>
          <w:trHeight w:val="412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营和重大投资的资金需求情况下，公司应当采取现金方式分配股 利，以现金方式分配的利润不少于当年实现的可供分配利润的 </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、利润分配方案的制定及执行公司董事会结合具体经营数 据，充分考虑公司盈利规模、现金流量状况、发展阶段及当期资 金需求，并结合股东（特别是公众投资者）、独立董事和监事的意 见，制定年度或中期分红方案，并经公司股东大会表决通过后实 施。在制定现金分红具体方案时，董事会应当认真研究和论证公 司现金分红的时机、条件、最低比例、调整的条件及其决策程序 要求等事宜，独立董事应当发表明确意见。独立董事可以征集中 小股东的意见，提出分红提案，并直接提交董事会审议。股东大 会对现金分红具体方案进行审议前，应当通过多种渠道主动与股 东特别是中小股东进行沟通和交流，充分听取中小股东的意见和 诉求，及时答复中小股东关心的问题。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深圳市资本</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运营集团有</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 业竞 争、关 联交 易、资 金占用 方面的 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（一）关于避免同业竞争的承诺为避免未来可能发生的同业竞 争，公司控股股东远致投资向本公司出具《关于避免同业竞争的 承诺函》，向本公司做出如下承诺：</w:t>
            </w:r>
            <w:r>
              <w:rPr>
                <w:rFonts w:ascii="Times New Roman" w:eastAsia="Times New Roman" w:hAnsi="Times New Roman" w:cs="Times New Roman"/>
                <w:color w:val="000000"/>
                <w:spacing w:val="0"/>
                <w:w w:val="100"/>
                <w:position w:val="0"/>
              </w:rPr>
              <w:t>1</w:t>
            </w:r>
            <w:r>
              <w:rPr>
                <w:color w:val="000000"/>
                <w:spacing w:val="0"/>
                <w:w w:val="100"/>
                <w:position w:val="0"/>
              </w:rPr>
              <w:t>、在本承诺函签署之日，本 企业不存在且不从事任何与建科院及其子公司主营业务相同、相 似或构成竞争的业务，也未直接或间接经营任何与建科院及其子 公司的主营业务相同、相似或构成竞争的业务；</w:t>
            </w:r>
            <w:r>
              <w:rPr>
                <w:rFonts w:ascii="Times New Roman" w:eastAsia="Times New Roman" w:hAnsi="Times New Roman" w:cs="Times New Roman"/>
                <w:color w:val="000000"/>
                <w:spacing w:val="0"/>
                <w:w w:val="100"/>
                <w:position w:val="0"/>
              </w:rPr>
              <w:t>2</w:t>
            </w:r>
            <w:r>
              <w:rPr>
                <w:color w:val="000000"/>
                <w:spacing w:val="0"/>
                <w:w w:val="100"/>
                <w:position w:val="0"/>
              </w:rPr>
              <w:t>、自本承诺函签 署之日起，本企业将不以任何方式从事，包括与他人合作直接或 间接从事与建科院及其子公司相同、相似或在任何方面构成竞争 的业务；</w:t>
            </w:r>
            <w:r>
              <w:rPr>
                <w:rFonts w:ascii="Times New Roman" w:eastAsia="Times New Roman" w:hAnsi="Times New Roman" w:cs="Times New Roman"/>
                <w:color w:val="000000"/>
                <w:spacing w:val="0"/>
                <w:w w:val="100"/>
                <w:position w:val="0"/>
              </w:rPr>
              <w:t>3</w:t>
            </w:r>
            <w:r>
              <w:rPr>
                <w:color w:val="000000"/>
                <w:spacing w:val="0"/>
                <w:w w:val="100"/>
                <w:position w:val="0"/>
              </w:rPr>
              <w:t>、自本承诺函签署之日起，本企业将尽一切可能之努力 使本企业其他关联企业不从事与建科院及其子公司相同、相似或 在任何方面构成竞争的业务；</w:t>
            </w:r>
            <w:r>
              <w:rPr>
                <w:rFonts w:ascii="Times New Roman" w:eastAsia="Times New Roman" w:hAnsi="Times New Roman" w:cs="Times New Roman"/>
                <w:color w:val="000000"/>
                <w:spacing w:val="0"/>
                <w:w w:val="100"/>
                <w:position w:val="0"/>
              </w:rPr>
              <w:t>4</w:t>
            </w:r>
            <w:r>
              <w:rPr>
                <w:color w:val="000000"/>
                <w:spacing w:val="0"/>
                <w:w w:val="100"/>
                <w:position w:val="0"/>
              </w:rPr>
              <w:t>、自本承诺函签署之日起，本企业 不投资控股于业务与建科院及其子公司相同、相似或在任何方面 构成竞争的公司、企业或其他机构、组织；</w:t>
            </w:r>
            <w:r>
              <w:rPr>
                <w:rFonts w:ascii="Times New Roman" w:eastAsia="Times New Roman" w:hAnsi="Times New Roman" w:cs="Times New Roman"/>
                <w:color w:val="000000"/>
                <w:spacing w:val="0"/>
                <w:w w:val="100"/>
                <w:position w:val="0"/>
              </w:rPr>
              <w:t>5</w:t>
            </w:r>
            <w:r>
              <w:rPr>
                <w:color w:val="000000"/>
                <w:spacing w:val="0"/>
                <w:w w:val="100"/>
                <w:position w:val="0"/>
              </w:rPr>
              <w:t>、自本承诺函签署之 日起，本企业不向其他业务与建科院及其子公司相同、相似或在 任何方面构成竞争的公司、企业或其他机构、组织或个人提供专 有技术或提供销售渠道、客户信息等商业秘密；</w:t>
            </w:r>
            <w:r>
              <w:rPr>
                <w:rFonts w:ascii="Times New Roman" w:eastAsia="Times New Roman" w:hAnsi="Times New Roman" w:cs="Times New Roman"/>
                <w:color w:val="000000"/>
                <w:spacing w:val="0"/>
                <w:w w:val="100"/>
                <w:position w:val="0"/>
              </w:rPr>
              <w:t>6</w:t>
            </w:r>
            <w:r>
              <w:rPr>
                <w:color w:val="000000"/>
                <w:spacing w:val="0"/>
                <w:w w:val="100"/>
                <w:position w:val="0"/>
              </w:rPr>
              <w:t>、自本承诺函签 署之日起，如果未来本企业拟从事的业务可能与建科院及其子公 司存在同业竞争，将本着建科院及其子公司优先的原则与建科院 协商解决；</w:t>
            </w:r>
            <w:r>
              <w:rPr>
                <w:rFonts w:ascii="Times New Roman" w:eastAsia="Times New Roman" w:hAnsi="Times New Roman" w:cs="Times New Roman"/>
                <w:color w:val="000000"/>
                <w:spacing w:val="0"/>
                <w:w w:val="100"/>
                <w:position w:val="0"/>
              </w:rPr>
              <w:t>7</w:t>
            </w:r>
            <w:r>
              <w:rPr>
                <w:color w:val="000000"/>
                <w:spacing w:val="0"/>
                <w:w w:val="100"/>
                <w:position w:val="0"/>
              </w:rPr>
              <w:t>、不利用建科院的控股股东的地位直接或通过本企业 控制的其他企业以借款、代偿债务、代垫款项或者其他方式占用 建科院资金；若因建科院与本企业控制的其他企业之间的资金往 来致使建科院遭受任何责任或处罚，或因此给建科院造成任何损 失的，均由本企业承担全部责任；</w:t>
            </w:r>
            <w:r>
              <w:rPr>
                <w:rFonts w:ascii="Times New Roman" w:eastAsia="Times New Roman" w:hAnsi="Times New Roman" w:cs="Times New Roman"/>
                <w:color w:val="000000"/>
                <w:spacing w:val="0"/>
                <w:w w:val="100"/>
                <w:position w:val="0"/>
              </w:rPr>
              <w:t>8</w:t>
            </w:r>
            <w:r>
              <w:rPr>
                <w:color w:val="000000"/>
                <w:spacing w:val="0"/>
                <w:w w:val="100"/>
                <w:position w:val="0"/>
              </w:rPr>
              <w:t>、在本企业作为建科院股东或 关联方期间，本承诺函为有效之承诺。如上述承诺被证明是不真 实或未被遵守，本企业将向建科院赔偿一切直接和间接损失，并 承担相应的法律责任。（二）规范和减少关联交易的措施公司根据 《公司法》等法律、法规的规定建立了规范、健全的法人治理结 构，公司制定的《公司章程》、《股东大会议事规则》、《董事会议 事规则》、《独立董事工作制度》、《关联交易管理制度》等规章制 度，对关联交易的决策权限、决策程序及信息披露进行了详细的 规定，有利于公司规范和减少关联交易，保证关联交易的公平、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9999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bl>
    <w:p>
      <w:pPr>
        <w:spacing w:lineRule="exact" w:line="1"/>
        <w:rPr>
          <w:sz w:val="2"/>
          <w:szCs w:val="2"/>
        </w:rPr>
      </w:pPr>
      <w:r>
        <w:br w:type="page"/>
      </w:r>
    </w:p>
    <w:tbl>
      <w:tblPr>
        <w:tblOverlap w:val="never"/>
        <w:jc w:val="center"/>
        <w:tblLayout w:type="fixed"/>
      </w:tblPr>
      <w:tblGrid>
        <w:gridCol w:w="998"/>
        <w:gridCol w:w="989"/>
        <w:gridCol w:w="710"/>
        <w:gridCol w:w="5242"/>
        <w:gridCol w:w="571"/>
        <w:gridCol w:w="566"/>
        <w:gridCol w:w="504"/>
      </w:tblGrid>
      <w:tr>
        <w:trPr>
          <w:trHeight w:val="568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公开、公正。此外，本公司控股股东远致投资已向本公司出具</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《关于规范关联交易的承诺函》，承诺：</w:t>
            </w:r>
            <w:r>
              <w:rPr>
                <w:rFonts w:ascii="Times New Roman" w:eastAsia="Times New Roman" w:hAnsi="Times New Roman" w:cs="Times New Roman"/>
                <w:color w:val="000000"/>
                <w:spacing w:val="0"/>
                <w:w w:val="100"/>
                <w:position w:val="0"/>
              </w:rPr>
              <w:t>1</w:t>
            </w:r>
            <w:r>
              <w:rPr>
                <w:color w:val="000000"/>
                <w:spacing w:val="0"/>
                <w:w w:val="100"/>
                <w:position w:val="0"/>
              </w:rPr>
              <w:t>、截至本承诺函出具之 日，除已经披露的情形外，本公司及本公司控制的企业与建科院 之间不存在其他关联交易。本公司将善意履行作为建科院控股股 东的义务，不利用控股股东地位影响建科院的独立性、故意促使 建科院对与本公司及本公司控制的其他企业的任何关联交易采取 任何行动、故意促使建科院的股东大会或董事会做出侵犯其他股 东合法权益的决议。如果建科院必须与本公司及本公司控制的其 他企业发生任何关联交易，则本公司承诺将促使上述交易按照公 平合理和正常商业交易的条件进行，本公司及本公司控制的其他 企业将不会要求或接受建科院给予比在任何一项市场公平交易中 第三者更优惠的条件。</w:t>
            </w:r>
            <w:r>
              <w:rPr>
                <w:rFonts w:ascii="Times New Roman" w:eastAsia="Times New Roman" w:hAnsi="Times New Roman" w:cs="Times New Roman"/>
                <w:color w:val="000000"/>
                <w:spacing w:val="0"/>
                <w:w w:val="100"/>
                <w:position w:val="0"/>
              </w:rPr>
              <w:t>2</w:t>
            </w:r>
            <w:r>
              <w:rPr>
                <w:color w:val="000000"/>
                <w:spacing w:val="0"/>
                <w:w w:val="100"/>
                <w:position w:val="0"/>
              </w:rPr>
              <w:t>、本公司及本公司控制的其他企业将严格 和善意地履行与建科院签订的各种关联交易协议。本公司承诺将 不会向建科院谋求任何超出上述协议规定以外的利益或收益。</w:t>
            </w:r>
            <w:r>
              <w:rPr>
                <w:rFonts w:ascii="Times New Roman" w:eastAsia="Times New Roman" w:hAnsi="Times New Roman" w:cs="Times New Roman"/>
                <w:color w:val="000000"/>
                <w:spacing w:val="0"/>
                <w:w w:val="100"/>
                <w:position w:val="0"/>
              </w:rPr>
              <w:t>3</w:t>
            </w:r>
            <w:r>
              <w:rPr>
                <w:color w:val="000000"/>
                <w:spacing w:val="0"/>
                <w:w w:val="100"/>
                <w:position w:val="0"/>
              </w:rPr>
              <w:t>、 本公司对上述承诺的真实性及合法性负全部法律责任，如果本公 司及本公司控制的其他企业违反上述声明、保证与承诺，并造成 建科院经济损失的，本公司同意赔偿相应的损失。</w:t>
            </w:r>
            <w:r>
              <w:rPr>
                <w:rFonts w:ascii="Times New Roman" w:eastAsia="Times New Roman" w:hAnsi="Times New Roman" w:cs="Times New Roman"/>
                <w:color w:val="000000"/>
                <w:spacing w:val="0"/>
                <w:w w:val="100"/>
                <w:position w:val="0"/>
              </w:rPr>
              <w:t>4</w:t>
            </w:r>
            <w:r>
              <w:rPr>
                <w:color w:val="000000"/>
                <w:spacing w:val="0"/>
                <w:w w:val="100"/>
                <w:position w:val="0"/>
              </w:rPr>
              <w:t>、本承诺将持 续有效，直至本公司不再作为建科院的股东。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曹翔；陈泽 广；蓝虹； 林晓春；刘 俊跃；刘 丽；毛洪 伟；莫福 光；邵顺 昌；深圳市 建筑科学研 究院股份有 限公司；深 圳市资本运 营集团有限 公司；沈 武；吴硕 贤；姚培； 叶青；余 庆；詹辉 轮；郑学定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稳 定股价 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（一）稳定股价预案的启动条件公司上市后三年内，如果公司股 票收盘价连续二十个交易日低于上一会计年度经审计的每股净资 产（因利润分配、资本公积金转增股本、增发、配股等除权除息 事项导致公司净资产或股份总数发生变化的，每股净资产进行相 应调整，下同），即触及启动稳定股价预案的条件，公司应在发生 上述情形的最后一个交易日起十个交易日内，严格按照《公司股 票上市后三年内公司股价稳定预案》的规定启动稳定股价措施， 向社会公众股东回购股票。由公司董事会制定具体实施方案并提 前三个交易日公告。（二）稳定股价具体措施公司稳定股价的具 体措施为：本公司回购公司股票，公司控股股东增持公司股票， 公司董事和高级管理人员增持公司股票。股价稳定措施的实施顺 序如下：</w:t>
            </w:r>
            <w:r>
              <w:rPr>
                <w:rFonts w:ascii="Times New Roman" w:eastAsia="Times New Roman" w:hAnsi="Times New Roman" w:cs="Times New Roman"/>
                <w:color w:val="000000"/>
                <w:spacing w:val="0"/>
                <w:w w:val="100"/>
                <w:position w:val="0"/>
              </w:rPr>
              <w:t>1</w:t>
            </w:r>
            <w:r>
              <w:rPr>
                <w:color w:val="000000"/>
                <w:spacing w:val="0"/>
                <w:w w:val="100"/>
                <w:position w:val="0"/>
              </w:rPr>
              <w:t>、第一选择为公司回购股票，但如公司回购股票将导致 公司不满足法定上市条件，则第一选择为控股股东增持公司股 票。公司为稳定股价之目的回购股份，应符合《上市公司回购社 会公众股份管理办法（试行）》等相关法律、法规的规定。公司以 要约方式回购股份的，回购股份价格区间参考公司上一会计年度 末经审计的每股净资产并结合公司当时的财务状况和经营状况决 定。公司实施稳定股价议案时，拟用于回购资金应为自筹资金。 单次回购的公司股份数量不超过公司总股本的</w:t>
            </w:r>
            <w:r>
              <w:rPr>
                <w:rFonts w:ascii="Times New Roman" w:eastAsia="Times New Roman" w:hAnsi="Times New Roman" w:cs="Times New Roman"/>
                <w:color w:val="000000"/>
                <w:spacing w:val="0"/>
                <w:w w:val="100"/>
                <w:position w:val="0"/>
              </w:rPr>
              <w:t>2%</w:t>
            </w:r>
            <w:r>
              <w:rPr>
                <w:color w:val="000000"/>
                <w:spacing w:val="0"/>
                <w:w w:val="100"/>
                <w:position w:val="0"/>
              </w:rPr>
              <w:t>。并且，公司单 次回购总金额不少于人民币</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000</w:t>
            </w:r>
            <w:r>
              <w:rPr>
                <w:color w:val="000000"/>
                <w:spacing w:val="0"/>
                <w:w w:val="100"/>
                <w:position w:val="0"/>
              </w:rPr>
              <w:t>万元，但如果单次回购总金额 不少于人民币</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000</w:t>
            </w:r>
            <w:r>
              <w:rPr>
                <w:color w:val="000000"/>
                <w:spacing w:val="0"/>
                <w:w w:val="100"/>
                <w:position w:val="0"/>
              </w:rPr>
              <w:t>万元的要求将导致单次回购的公司股份数量 超过公司总股本</w:t>
            </w:r>
            <w:r>
              <w:rPr>
                <w:rFonts w:ascii="Times New Roman" w:eastAsia="Times New Roman" w:hAnsi="Times New Roman" w:cs="Times New Roman"/>
                <w:color w:val="000000"/>
                <w:spacing w:val="0"/>
                <w:w w:val="100"/>
                <w:position w:val="0"/>
              </w:rPr>
              <w:t>2%</w:t>
            </w:r>
            <w:r>
              <w:rPr>
                <w:color w:val="000000"/>
                <w:spacing w:val="0"/>
                <w:w w:val="100"/>
                <w:position w:val="0"/>
              </w:rPr>
              <w:t>的，则可以少于</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000</w:t>
            </w:r>
            <w:r>
              <w:rPr>
                <w:color w:val="000000"/>
                <w:spacing w:val="0"/>
                <w:w w:val="100"/>
                <w:position w:val="0"/>
              </w:rPr>
              <w:t>万元。</w:t>
            </w:r>
            <w:r>
              <w:rPr>
                <w:rFonts w:ascii="Times New Roman" w:eastAsia="Times New Roman" w:hAnsi="Times New Roman" w:cs="Times New Roman"/>
                <w:color w:val="000000"/>
                <w:spacing w:val="0"/>
                <w:w w:val="100"/>
                <w:position w:val="0"/>
              </w:rPr>
              <w:t>2</w:t>
            </w:r>
            <w:r>
              <w:rPr>
                <w:color w:val="000000"/>
                <w:spacing w:val="0"/>
                <w:w w:val="100"/>
                <w:position w:val="0"/>
              </w:rPr>
              <w:t>、第二选择为 控股股东增持公司股票。在下列情形之一出现时将启动第二选 择：（</w:t>
            </w:r>
            <w:r>
              <w:rPr>
                <w:rFonts w:ascii="Times New Roman" w:eastAsia="Times New Roman" w:hAnsi="Times New Roman" w:cs="Times New Roman"/>
                <w:color w:val="000000"/>
                <w:spacing w:val="0"/>
                <w:w w:val="100"/>
                <w:position w:val="0"/>
              </w:rPr>
              <w:t>1</w:t>
            </w:r>
            <w:r>
              <w:rPr>
                <w:color w:val="000000"/>
                <w:spacing w:val="0"/>
                <w:w w:val="100"/>
                <w:position w:val="0"/>
              </w:rPr>
              <w:t>）公司无法实施回购股票或回购股票议案未获得公司股东 大会批准；（</w:t>
            </w:r>
            <w:r>
              <w:rPr>
                <w:rFonts w:ascii="Times New Roman" w:eastAsia="Times New Roman" w:hAnsi="Times New Roman" w:cs="Times New Roman"/>
                <w:color w:val="000000"/>
                <w:spacing w:val="0"/>
                <w:w w:val="100"/>
                <w:position w:val="0"/>
              </w:rPr>
              <w:t>2</w:t>
            </w:r>
            <w:r>
              <w:rPr>
                <w:color w:val="000000"/>
                <w:spacing w:val="0"/>
                <w:w w:val="100"/>
                <w:position w:val="0"/>
              </w:rPr>
              <w:t>）公司虽实施股票回购计划但仍未满足公司股票连 续</w:t>
            </w:r>
            <w:r>
              <w:rPr>
                <w:rFonts w:ascii="Times New Roman" w:eastAsia="Times New Roman" w:hAnsi="Times New Roman" w:cs="Times New Roman"/>
                <w:color w:val="000000"/>
                <w:spacing w:val="0"/>
                <w:w w:val="100"/>
                <w:position w:val="0"/>
              </w:rPr>
              <w:t>5</w:t>
            </w:r>
            <w:r>
              <w:rPr>
                <w:color w:val="000000"/>
                <w:spacing w:val="0"/>
                <w:w w:val="100"/>
                <w:position w:val="0"/>
              </w:rPr>
              <w:t>个交易日的收盘价均已高于公司最近一年经审计的每股净资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履行</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完毕</w:t>
            </w:r>
          </w:p>
        </w:tc>
      </w:tr>
    </w:tbl>
    <w:p>
      <w:pPr>
        <w:pStyle w:val="Style2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2720" w:right="0" w:firstLine="0"/>
        <w:jc w:val="both"/>
      </w:pPr>
      <w:r>
        <w:rPr>
          <w:color w:val="000000"/>
          <w:spacing w:val="0"/>
          <w:w w:val="100"/>
          <w:position w:val="0"/>
        </w:rPr>
        <w:t>产之条件。控股股东为稳定股价之目的增持股份，应符合《上市 公司收购管理办法》等相关法律、法规的规定。控股股东单次用 于增持股份的资金金额不低于自公司上市后累计从公司所获得现 金分红金额的</w:t>
      </w:r>
      <w:r>
        <w:rPr>
          <w:rFonts w:ascii="Times New Roman" w:eastAsia="Times New Roman" w:hAnsi="Times New Roman" w:cs="Times New Roman"/>
          <w:color w:val="000000"/>
          <w:spacing w:val="0"/>
          <w:w w:val="100"/>
          <w:position w:val="0"/>
        </w:rPr>
        <w:t>20%</w:t>
      </w:r>
      <w:r>
        <w:rPr>
          <w:color w:val="000000"/>
          <w:spacing w:val="0"/>
          <w:w w:val="100"/>
          <w:position w:val="0"/>
        </w:rPr>
        <w:t>；单一年度用于增持股份的资金不超过自公司 上市后累计从公司所获得现金分红金额的</w:t>
      </w:r>
      <w:r>
        <w:rPr>
          <w:rFonts w:ascii="Times New Roman" w:eastAsia="Times New Roman" w:hAnsi="Times New Roman" w:cs="Times New Roman"/>
          <w:color w:val="000000"/>
          <w:spacing w:val="0"/>
          <w:w w:val="100"/>
          <w:position w:val="0"/>
        </w:rPr>
        <w:t>50%</w:t>
      </w:r>
      <w:r>
        <w:rPr>
          <w:color w:val="000000"/>
          <w:spacing w:val="0"/>
          <w:w w:val="100"/>
          <w:position w:val="0"/>
        </w:rPr>
        <w:t>。超过上述标准 的，有关稳定股价措施在当年度不再继续实施，但下一年度继续 出现需要启动稳定股价措施的情形时，将继续按照上述原则执 行。</w:t>
      </w:r>
      <w:r>
        <w:rPr>
          <w:rFonts w:ascii="Times New Roman" w:eastAsia="Times New Roman" w:hAnsi="Times New Roman" w:cs="Times New Roman"/>
          <w:color w:val="000000"/>
          <w:spacing w:val="0"/>
          <w:w w:val="100"/>
          <w:position w:val="0"/>
        </w:rPr>
        <w:t>3</w:t>
      </w:r>
      <w:r>
        <w:rPr>
          <w:color w:val="000000"/>
          <w:spacing w:val="0"/>
          <w:w w:val="100"/>
          <w:position w:val="0"/>
        </w:rPr>
        <w:t>、第三选择为董事（不含独立董事，下同）和高级管理人员 增持公司股票。启动该选择的条件为：控股股东增持股票方案实 施完成后，如公司股票仍未满足公司股票连续</w:t>
      </w:r>
      <w:r>
        <w:rPr>
          <w:rFonts w:ascii="Times New Roman" w:eastAsia="Times New Roman" w:hAnsi="Times New Roman" w:cs="Times New Roman"/>
          <w:color w:val="000000"/>
          <w:spacing w:val="0"/>
          <w:w w:val="100"/>
          <w:position w:val="0"/>
        </w:rPr>
        <w:t>5</w:t>
      </w:r>
      <w:r>
        <w:rPr>
          <w:color w:val="000000"/>
          <w:spacing w:val="0"/>
          <w:w w:val="100"/>
          <w:position w:val="0"/>
        </w:rPr>
        <w:t>个交易日的收盘 价均已高于公司最近一年经审计的每股净资产之条件，并且董事 和高级管理人员增持公司股票不会致使公司不满足法定上市条 件。公司董事及高级管理人员为稳定股价之目的增持股份，应符 合《上市公司收购管理办法》等相关法律、法规的规定。公司董 事及高级管理人员实施稳定股价议案时，用于增持股份的货币资 金不少于董事和高级管理人员上年度薪酬总和的</w:t>
      </w:r>
      <w:r>
        <w:rPr>
          <w:rFonts w:ascii="Times New Roman" w:eastAsia="Times New Roman" w:hAnsi="Times New Roman" w:cs="Times New Roman"/>
          <w:color w:val="000000"/>
          <w:spacing w:val="0"/>
          <w:w w:val="100"/>
          <w:position w:val="0"/>
        </w:rPr>
        <w:t>30%</w:t>
      </w:r>
      <w:r>
        <w:rPr>
          <w:color w:val="000000"/>
          <w:spacing w:val="0"/>
          <w:w w:val="100"/>
          <w:position w:val="0"/>
        </w:rPr>
        <w:t xml:space="preserve">，但不超过 </w:t>
      </w:r>
      <w:r>
        <w:rPr>
          <w:rFonts w:ascii="Times New Roman" w:eastAsia="Times New Roman" w:hAnsi="Times New Roman" w:cs="Times New Roman"/>
          <w:color w:val="000000"/>
          <w:spacing w:val="0"/>
          <w:w w:val="100"/>
          <w:position w:val="0"/>
        </w:rPr>
        <w:t>100%</w:t>
      </w:r>
      <w:r>
        <w:rPr>
          <w:color w:val="000000"/>
          <w:spacing w:val="0"/>
          <w:w w:val="100"/>
          <w:position w:val="0"/>
        </w:rPr>
        <w:t>。（三）稳定股价措施实施的具体程序</w:t>
      </w:r>
      <w:r>
        <w:rPr>
          <w:rFonts w:ascii="Times New Roman" w:eastAsia="Times New Roman" w:hAnsi="Times New Roman" w:cs="Times New Roman"/>
          <w:color w:val="000000"/>
          <w:spacing w:val="0"/>
          <w:w w:val="100"/>
          <w:position w:val="0"/>
        </w:rPr>
        <w:t>1</w:t>
      </w:r>
      <w:r>
        <w:rPr>
          <w:color w:val="000000"/>
          <w:spacing w:val="0"/>
          <w:w w:val="100"/>
          <w:position w:val="0"/>
        </w:rPr>
        <w:t>、公司回购在公司 出现应启动稳定股价预案情形，本公司应在收到通知后</w:t>
      </w:r>
      <w:r>
        <w:rPr>
          <w:rFonts w:ascii="Times New Roman" w:eastAsia="Times New Roman" w:hAnsi="Times New Roman" w:cs="Times New Roman"/>
          <w:color w:val="000000"/>
          <w:spacing w:val="0"/>
          <w:w w:val="100"/>
          <w:position w:val="0"/>
        </w:rPr>
        <w:t>2</w:t>
      </w:r>
      <w:r>
        <w:rPr>
          <w:color w:val="000000"/>
          <w:spacing w:val="0"/>
          <w:w w:val="100"/>
          <w:position w:val="0"/>
        </w:rPr>
        <w:t>个工作 日内启动决策程序，经股东大会决议通过后，依法通知债权人和 履行备案程序。公司将采取深圳证券交易所集中竞价交易方式、 要约等方式回购股份。回购方案实施完毕后，公司应在</w:t>
      </w:r>
      <w:r>
        <w:rPr>
          <w:rFonts w:ascii="Times New Roman" w:eastAsia="Times New Roman" w:hAnsi="Times New Roman" w:cs="Times New Roman"/>
          <w:color w:val="000000"/>
          <w:spacing w:val="0"/>
          <w:w w:val="100"/>
          <w:position w:val="0"/>
        </w:rPr>
        <w:t>2</w:t>
      </w:r>
      <w:r>
        <w:rPr>
          <w:color w:val="000000"/>
          <w:spacing w:val="0"/>
          <w:w w:val="100"/>
          <w:position w:val="0"/>
        </w:rPr>
        <w:t>个工作 日内公告公司股份变动报告，并在</w:t>
      </w:r>
      <w:r>
        <w:rPr>
          <w:rFonts w:ascii="Times New Roman" w:eastAsia="Times New Roman" w:hAnsi="Times New Roman" w:cs="Times New Roman"/>
          <w:color w:val="000000"/>
          <w:spacing w:val="0"/>
          <w:w w:val="100"/>
          <w:position w:val="0"/>
        </w:rPr>
        <w:t>10</w:t>
      </w:r>
      <w:r>
        <w:rPr>
          <w:color w:val="000000"/>
          <w:spacing w:val="0"/>
          <w:w w:val="100"/>
          <w:position w:val="0"/>
        </w:rPr>
        <w:t>日内依法注销所回购的股 份，办理工商变更登记手续。公司回购股份议案需经董事会、股 东大会决议通过，其中股东大会须经出席会议的股东所持表决权 的三分之二以上通过。公司董事承诺就该等回购事宜在董事会中 投赞成票；控股股东承诺就该等回购事宜在股东大会中投赞成 票。</w:t>
      </w:r>
      <w:r>
        <w:rPr>
          <w:rFonts w:ascii="Times New Roman" w:eastAsia="Times New Roman" w:hAnsi="Times New Roman" w:cs="Times New Roman"/>
          <w:color w:val="000000"/>
          <w:spacing w:val="0"/>
          <w:w w:val="100"/>
          <w:position w:val="0"/>
        </w:rPr>
        <w:t>2</w:t>
      </w:r>
      <w:r>
        <w:rPr>
          <w:color w:val="000000"/>
          <w:spacing w:val="0"/>
          <w:w w:val="100"/>
          <w:position w:val="0"/>
        </w:rPr>
        <w:t>、控股股东增持在公司出现应启动预案情形时，公司控股 股东应在收到通知后</w:t>
      </w:r>
      <w:r>
        <w:rPr>
          <w:rFonts w:ascii="Times New Roman" w:eastAsia="Times New Roman" w:hAnsi="Times New Roman" w:cs="Times New Roman"/>
          <w:color w:val="000000"/>
          <w:spacing w:val="0"/>
          <w:w w:val="100"/>
          <w:position w:val="0"/>
        </w:rPr>
        <w:t>2</w:t>
      </w:r>
      <w:r>
        <w:rPr>
          <w:color w:val="000000"/>
          <w:spacing w:val="0"/>
          <w:w w:val="100"/>
          <w:position w:val="0"/>
        </w:rPr>
        <w:t>个工作日内启动内部决策程序，就其是否 有增持公司股票的具体计划书面通知公司并由公司进行公告，公 告应披露拟增持的数量范围、价格区间、总金额、完成时间等信 息。增持方案实施完毕后，公司应在</w:t>
      </w:r>
      <w:r>
        <w:rPr>
          <w:rFonts w:ascii="Times New Roman" w:eastAsia="Times New Roman" w:hAnsi="Times New Roman" w:cs="Times New Roman"/>
          <w:color w:val="000000"/>
          <w:spacing w:val="0"/>
          <w:w w:val="100"/>
          <w:position w:val="0"/>
        </w:rPr>
        <w:t>2</w:t>
      </w:r>
      <w:r>
        <w:rPr>
          <w:color w:val="000000"/>
          <w:spacing w:val="0"/>
          <w:w w:val="100"/>
          <w:position w:val="0"/>
        </w:rPr>
        <w:t>个工作日内公告公司股份 变动报告。</w:t>
      </w:r>
      <w:r>
        <w:rPr>
          <w:rFonts w:ascii="Times New Roman" w:eastAsia="Times New Roman" w:hAnsi="Times New Roman" w:cs="Times New Roman"/>
          <w:color w:val="000000"/>
          <w:spacing w:val="0"/>
          <w:w w:val="100"/>
          <w:position w:val="0"/>
        </w:rPr>
        <w:t>3</w:t>
      </w:r>
      <w:r>
        <w:rPr>
          <w:color w:val="000000"/>
          <w:spacing w:val="0"/>
          <w:w w:val="100"/>
          <w:position w:val="0"/>
        </w:rPr>
        <w:t>、董事及高级管理人员增持在公司出现应启动预案 情形时，公司董事及高级管理人员应在收到通知后</w:t>
      </w:r>
      <w:r>
        <w:rPr>
          <w:rFonts w:ascii="Times New Roman" w:eastAsia="Times New Roman" w:hAnsi="Times New Roman" w:cs="Times New Roman"/>
          <w:color w:val="000000"/>
          <w:spacing w:val="0"/>
          <w:w w:val="100"/>
          <w:position w:val="0"/>
        </w:rPr>
        <w:t>2</w:t>
      </w:r>
      <w:r>
        <w:rPr>
          <w:color w:val="000000"/>
          <w:spacing w:val="0"/>
          <w:w w:val="100"/>
          <w:position w:val="0"/>
        </w:rPr>
        <w:t>个工作日 内，就其是否有增持公司股票的具体计划书面通知公司并由公司 进行公告，公告应披露拟增持的数量范围、价格区间、总金额、 完成时间等信息。增持方案实施完毕后，公司应在</w:t>
      </w:r>
      <w:r>
        <w:rPr>
          <w:rFonts w:ascii="Times New Roman" w:eastAsia="Times New Roman" w:hAnsi="Times New Roman" w:cs="Times New Roman"/>
          <w:color w:val="000000"/>
          <w:spacing w:val="0"/>
          <w:w w:val="100"/>
          <w:position w:val="0"/>
        </w:rPr>
        <w:t>2</w:t>
      </w:r>
      <w:r>
        <w:rPr>
          <w:color w:val="000000"/>
          <w:spacing w:val="0"/>
          <w:w w:val="100"/>
          <w:position w:val="0"/>
        </w:rPr>
        <w:t>个工作日内 公告公司股份变动报告。公司董事及高级管理人员应根据预案的 规定签署相关承诺。公司上市后</w:t>
      </w:r>
      <w:r>
        <w:rPr>
          <w:rFonts w:ascii="Times New Roman" w:eastAsia="Times New Roman" w:hAnsi="Times New Roman" w:cs="Times New Roman"/>
          <w:color w:val="000000"/>
          <w:spacing w:val="0"/>
          <w:w w:val="100"/>
          <w:position w:val="0"/>
        </w:rPr>
        <w:t>3</w:t>
      </w:r>
      <w:r>
        <w:rPr>
          <w:color w:val="000000"/>
          <w:spacing w:val="0"/>
          <w:w w:val="100"/>
          <w:position w:val="0"/>
        </w:rPr>
        <w:t>年内拟新聘任董事和高级管理 人员时，公司将促使该新聘任的董事和高级管理人员根据预案的 规定签署相关承诺。（四）股价稳定预案未实施的约束机制</w:t>
      </w:r>
      <w:r>
        <w:rPr>
          <w:rFonts w:ascii="Times New Roman" w:eastAsia="Times New Roman" w:hAnsi="Times New Roman" w:cs="Times New Roman"/>
          <w:color w:val="000000"/>
          <w:spacing w:val="0"/>
          <w:w w:val="100"/>
          <w:position w:val="0"/>
        </w:rPr>
        <w:t>1</w:t>
      </w:r>
      <w:r>
        <w:rPr>
          <w:color w:val="000000"/>
          <w:spacing w:val="0"/>
          <w:w w:val="100"/>
          <w:position w:val="0"/>
        </w:rPr>
        <w:t>、本 公司自愿接受主管机关对其上述股价稳定措施的制定、实施等进 行监督，并承担法律责任；</w:t>
      </w:r>
      <w:r>
        <w:rPr>
          <w:rFonts w:ascii="Times New Roman" w:eastAsia="Times New Roman" w:hAnsi="Times New Roman" w:cs="Times New Roman"/>
          <w:color w:val="000000"/>
          <w:spacing w:val="0"/>
          <w:w w:val="100"/>
          <w:position w:val="0"/>
        </w:rPr>
        <w:t>2</w:t>
      </w:r>
      <w:r>
        <w:rPr>
          <w:color w:val="000000"/>
          <w:spacing w:val="0"/>
          <w:w w:val="100"/>
          <w:position w:val="0"/>
        </w:rPr>
        <w:t>、如公司控股股东违反预案及相关承 诺函所述义务的，公司有权将控股股东应履行其增持义务相等金 额的应付控股股东现金分红予以截留，直至控股股东履行其增持</w:t>
      </w:r>
      <w:r>
        <w:br w:type="page"/>
      </w:r>
    </w:p>
    <w:tbl>
      <w:tblPr>
        <w:tblOverlap w:val="never"/>
        <w:jc w:val="center"/>
        <w:tblLayout w:type="fixed"/>
      </w:tblPr>
      <w:tblGrid>
        <w:gridCol w:w="998"/>
        <w:gridCol w:w="989"/>
        <w:gridCol w:w="710"/>
        <w:gridCol w:w="5242"/>
        <w:gridCol w:w="571"/>
        <w:gridCol w:w="566"/>
        <w:gridCol w:w="504"/>
      </w:tblGrid>
      <w:tr>
        <w:trPr>
          <w:trHeight w:val="34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义务；如已经连续两次以上存在上述情形时，则公司可将与控股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8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股东履行其增持义务相等金额的应付控股股东现金分红予以截留 用于股份回购计划，控股股东丧失对相应金额现金分红的追索 权。对于应当截留应付控股股东的现金分红，公司董事（包括独 立董事）、高级管理人员应当敦促公司按时足额截留，未履行敦促 义务的董事（包括独立董事）、高级管理人员应当向中小股东承担 赔偿责任，中小股东有权向人民法院提起诉讼；</w:t>
            </w:r>
            <w:r>
              <w:rPr>
                <w:rFonts w:ascii="Times New Roman" w:eastAsia="Times New Roman" w:hAnsi="Times New Roman" w:cs="Times New Roman"/>
                <w:color w:val="000000"/>
                <w:spacing w:val="0"/>
                <w:w w:val="100"/>
                <w:position w:val="0"/>
              </w:rPr>
              <w:t>3</w:t>
            </w:r>
            <w:r>
              <w:rPr>
                <w:color w:val="000000"/>
                <w:spacing w:val="0"/>
                <w:w w:val="100"/>
                <w:position w:val="0"/>
              </w:rPr>
              <w:t>、如公司董事、 高级管理人员违反预案及相关承诺函所述义务的公司有权将其履 行增持义务相等金额的工资薪酬（仅包括其在公司领取的工资薪 酬扣除当地最低工资标准后的部分）代其履行增持义务；如个人 在任职期间连续两次以上未能主动履行其增持义务，由控股股东 或董事会、监事会、半数以上的独立董事提请股东大会同意更换 相关董事，由公司董事会解聘相关高级管理人员。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保荐机构申万宏源承诺：因发行人招股说明书及其他信息披露资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北京德恒律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料有虚假记载、误导性陈述或者重大遗漏，致使投资者在证券发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师事务所；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行和交易中遭受损失的，将先行赔偿投资者损失。因本机构为发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行人首次公开发行制作、出具的文件有虚假记载、误导性陈述或</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9999</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事务所（特</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者重大遗漏，给投资者造成损失的，将先行赔偿投资者损失。律</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12</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殊普通合</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师事务所德恒律师承诺：由于本所为发行人首次公开发行制作、</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r>
        <w:trPr>
          <w:trHeight w:val="24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伙）；申万</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出具的文件有虚假记载、误导性陈述或者重大遗漏，给投资者造</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宏源证券承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成损失的，本所将依法赔偿投资者损失。会计师事务所立信会计</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销保荐有限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师承诺：因本所为发行人首次公开发行制作、出具的文件有虚假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记载、误导性陈述或者重大遗漏，给投资者造成损失的，将依法 赔偿投资者损失。</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39"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关于填补本次发行股票被摊薄即期回报的措施与承诺为降低本次 公开发行股票对公司即期回报摊薄的风险，公司拟通过大力发展 主营业务、加强募集资金管理、加快募投项目投资进度、加大市 场开拓力度、加强内部控制、强化投资者回报机制等措施，提高 公司整体市场竞争力和盈利能力，以填补被摊薄即期回报。（一） 公司现有业务板块运营状况、发展态势，面临的主要风险及改进 措施：</w:t>
            </w:r>
            <w:r>
              <w:rPr>
                <w:rFonts w:ascii="Times New Roman" w:eastAsia="Times New Roman" w:hAnsi="Times New Roman" w:cs="Times New Roman"/>
                <w:color w:val="000000"/>
                <w:spacing w:val="0"/>
                <w:w w:val="100"/>
                <w:position w:val="0"/>
              </w:rPr>
              <w:t>1.</w:t>
            </w:r>
            <w:r>
              <w:rPr>
                <w:color w:val="000000"/>
                <w:spacing w:val="0"/>
                <w:w w:val="100"/>
                <w:position w:val="0"/>
              </w:rPr>
              <w:t>公司现有业务板块面临的主要风险及改进措施目前，公 司现有业务板块面临的主要风险包括业务创新和产能扩展不能快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速响应市场需求、应收账款较大等方面，针对上述风险公司制定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科学研究院</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的改进措施如下：（</w:t>
            </w:r>
            <w:r>
              <w:rPr>
                <w:rFonts w:ascii="Times New Roman" w:eastAsia="Times New Roman" w:hAnsi="Times New Roman" w:cs="Times New Roman"/>
                <w:color w:val="000000"/>
                <w:spacing w:val="0"/>
                <w:w w:val="100"/>
                <w:position w:val="0"/>
              </w:rPr>
              <w:t>1</w:t>
            </w:r>
            <w:r>
              <w:rPr>
                <w:color w:val="000000"/>
                <w:spacing w:val="0"/>
                <w:w w:val="100"/>
                <w:position w:val="0"/>
              </w:rPr>
              <w:t>）业务创新和产能扩展不能快速响应市场需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求的风险的应对措施；一是持续提升公司绿色技术服务业务。公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22"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司继续通过技术提升（如</w:t>
            </w:r>
            <w:r>
              <w:rPr>
                <w:rFonts w:ascii="Times New Roman" w:eastAsia="Times New Roman" w:hAnsi="Times New Roman" w:cs="Times New Roman"/>
                <w:color w:val="000000"/>
                <w:spacing w:val="0"/>
                <w:w w:val="100"/>
                <w:position w:val="0"/>
              </w:rPr>
              <w:t>GIS</w:t>
            </w:r>
            <w:r>
              <w:rPr>
                <w:color w:val="000000"/>
                <w:spacing w:val="0"/>
                <w:w w:val="100"/>
                <w:position w:val="0"/>
              </w:rPr>
              <w:t>、</w:t>
            </w:r>
            <w:r>
              <w:rPr>
                <w:rFonts w:ascii="Times New Roman" w:eastAsia="Times New Roman" w:hAnsi="Times New Roman" w:cs="Times New Roman"/>
                <w:color w:val="000000"/>
                <w:spacing w:val="0"/>
                <w:w w:val="100"/>
                <w:position w:val="0"/>
              </w:rPr>
              <w:t>BIM</w:t>
            </w:r>
            <w:r>
              <w:rPr>
                <w:color w:val="000000"/>
                <w:spacing w:val="0"/>
                <w:w w:val="100"/>
                <w:position w:val="0"/>
              </w:rPr>
              <w:t>技术应用研究）、推进信息化 项目管理平台和知识管理库的建设加强现有生态规划和绿色设 计、咨询业务的生产效率和产能增长。二是积极孵化绿色综合运 营服务业务</w:t>
            </w:r>
            <w:r>
              <w:rPr>
                <w:color w:val="000000"/>
                <w:spacing w:val="0"/>
                <w:w w:val="100"/>
                <w:position w:val="0"/>
              </w:rPr>
              <w:t>（</w:t>
            </w:r>
            <w:r>
              <w:rPr>
                <w:rFonts w:ascii="Times New Roman" w:eastAsia="Times New Roman" w:hAnsi="Times New Roman" w:cs="Times New Roman"/>
                <w:color w:val="000000"/>
                <w:spacing w:val="0"/>
                <w:w w:val="100"/>
                <w:position w:val="0"/>
              </w:rPr>
              <w:t>DOT</w:t>
            </w:r>
            <w:r>
              <w:rPr>
                <w:color w:val="000000"/>
                <w:spacing w:val="0"/>
                <w:w w:val="100"/>
                <w:position w:val="0"/>
              </w:rPr>
              <w:t>业务）。</w:t>
            </w:r>
            <w:r>
              <w:rPr>
                <w:rFonts w:ascii="Times New Roman" w:eastAsia="Times New Roman" w:hAnsi="Times New Roman" w:cs="Times New Roman"/>
                <w:color w:val="000000"/>
                <w:spacing w:val="0"/>
                <w:w w:val="100"/>
                <w:position w:val="0"/>
              </w:rPr>
              <w:t>DOT</w:t>
            </w:r>
            <w:r>
              <w:rPr>
                <w:color w:val="000000"/>
                <w:spacing w:val="0"/>
                <w:w w:val="100"/>
                <w:position w:val="0"/>
              </w:rPr>
              <w:t>业务是公司探索针对绿色建筑、 绿色园区、绿色社区等全方位创新性业务。由于绿色建筑的绿色 不但体现在设计阶段，更重要体现在运营阶段。公司利用自身在 绿色技术服务的积累为客户提供绿色建筑、绿色园区、绿色社区 园设计、运营一体化服务，实现技术服务和收益的延伸，同时以 绿色技术平台为核心，开展面对产业的技术孵化服务和产业聚集</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2720" w:right="0" w:firstLine="0"/>
        <w:jc w:val="both"/>
      </w:pPr>
      <w:r>
        <w:rPr>
          <w:color w:val="000000"/>
          <w:spacing w:val="0"/>
          <w:w w:val="100"/>
          <w:position w:val="0"/>
        </w:rPr>
        <w:t>服务（绿色办公、实验平台、数据中心的租赁和服务，行业交流 和交易推广服务，技术和产品的技术认证和测评服务，项目或企 业的综合孵化服务等），实现跨界服务和收益多元性。</w:t>
      </w:r>
      <w:r>
        <w:rPr>
          <w:rFonts w:ascii="Times New Roman" w:eastAsia="Times New Roman" w:hAnsi="Times New Roman" w:cs="Times New Roman"/>
          <w:color w:val="000000"/>
          <w:spacing w:val="0"/>
          <w:w w:val="100"/>
          <w:position w:val="0"/>
        </w:rPr>
        <w:t>DOT</w:t>
      </w:r>
      <w:r>
        <w:rPr>
          <w:color w:val="000000"/>
          <w:spacing w:val="0"/>
          <w:w w:val="100"/>
          <w:position w:val="0"/>
        </w:rPr>
        <w:t>业务主 要分为项目启动立项、策划规划、设计总包管理、建设管理、园 区运营和移交等阶段。公司将在上海钢琴厂低碳化升级改造及运 营</w:t>
      </w:r>
      <w:r>
        <w:rPr>
          <w:color w:val="000000"/>
          <w:spacing w:val="0"/>
          <w:w w:val="100"/>
          <w:position w:val="0"/>
        </w:rPr>
        <w:t>（</w:t>
      </w:r>
      <w:r>
        <w:rPr>
          <w:rFonts w:ascii="Times New Roman" w:eastAsia="Times New Roman" w:hAnsi="Times New Roman" w:cs="Times New Roman"/>
          <w:color w:val="000000"/>
          <w:spacing w:val="0"/>
          <w:w w:val="100"/>
          <w:position w:val="0"/>
        </w:rPr>
        <w:t>DOT</w:t>
      </w:r>
      <w:r>
        <w:rPr>
          <w:color w:val="000000"/>
          <w:spacing w:val="0"/>
          <w:w w:val="100"/>
          <w:position w:val="0"/>
        </w:rPr>
        <w:t>）</w:t>
      </w:r>
      <w:r>
        <w:rPr>
          <w:color w:val="000000"/>
          <w:spacing w:val="0"/>
          <w:w w:val="100"/>
          <w:position w:val="0"/>
        </w:rPr>
        <w:t>项目、深圳国际低碳城会展中心绿色运营项目等试点 项目的实践和研究基础上，加快</w:t>
      </w:r>
      <w:r>
        <w:rPr>
          <w:rFonts w:ascii="Times New Roman" w:eastAsia="Times New Roman" w:hAnsi="Times New Roman" w:cs="Times New Roman"/>
          <w:color w:val="000000"/>
          <w:spacing w:val="0"/>
          <w:w w:val="100"/>
          <w:position w:val="0"/>
        </w:rPr>
        <w:t>DOT</w:t>
      </w:r>
      <w:r>
        <w:rPr>
          <w:color w:val="000000"/>
          <w:spacing w:val="0"/>
          <w:w w:val="100"/>
          <w:position w:val="0"/>
        </w:rPr>
        <w:t>业务模式的探索和扩展，在 全国</w:t>
      </w:r>
      <w:r>
        <w:rPr>
          <w:rFonts w:ascii="Times New Roman" w:eastAsia="Times New Roman" w:hAnsi="Times New Roman" w:cs="Times New Roman"/>
          <w:color w:val="000000"/>
          <w:spacing w:val="0"/>
          <w:w w:val="100"/>
          <w:position w:val="0"/>
        </w:rPr>
        <w:t>9</w:t>
      </w:r>
      <w:r>
        <w:rPr>
          <w:color w:val="000000"/>
          <w:spacing w:val="0"/>
          <w:w w:val="100"/>
          <w:position w:val="0"/>
        </w:rPr>
        <w:t>大重点地区实现项目落地。三是加快</w:t>
      </w:r>
      <w:r>
        <w:rPr>
          <w:rFonts w:ascii="Times New Roman" w:eastAsia="Times New Roman" w:hAnsi="Times New Roman" w:cs="Times New Roman"/>
          <w:color w:val="000000"/>
          <w:spacing w:val="0"/>
          <w:w w:val="100"/>
          <w:position w:val="0"/>
        </w:rPr>
        <w:t>B2C</w:t>
      </w:r>
      <w:r>
        <w:rPr>
          <w:color w:val="000000"/>
          <w:spacing w:val="0"/>
          <w:w w:val="100"/>
          <w:position w:val="0"/>
        </w:rPr>
        <w:t>模式的绿色技术 服务业务的拓展。公信服务业务是基于绿色环保理念的服务模 式，针对公众客户开展绿色人居环境技术服务的</w:t>
      </w:r>
      <w:r>
        <w:rPr>
          <w:rFonts w:ascii="Times New Roman" w:eastAsia="Times New Roman" w:hAnsi="Times New Roman" w:cs="Times New Roman"/>
          <w:color w:val="000000"/>
          <w:spacing w:val="0"/>
          <w:w w:val="100"/>
          <w:position w:val="0"/>
        </w:rPr>
        <w:t>B2B2C</w:t>
      </w:r>
      <w:r>
        <w:rPr>
          <w:color w:val="000000"/>
          <w:spacing w:val="0"/>
          <w:w w:val="100"/>
          <w:position w:val="0"/>
        </w:rPr>
        <w:t>模式，基 于第三方测评和技术顾问，把健康、环保、优质的产品和服务推 荐给最需要的客户和消费者。公司将以技术平台、实验平台、行 业资源平台为支撑，建设</w:t>
      </w:r>
      <w:r>
        <w:rPr>
          <w:rFonts w:ascii="Times New Roman" w:eastAsia="Times New Roman" w:hAnsi="Times New Roman" w:cs="Times New Roman"/>
          <w:color w:val="000000"/>
          <w:spacing w:val="0"/>
          <w:w w:val="100"/>
          <w:position w:val="0"/>
        </w:rPr>
        <w:t>B2B2C</w:t>
      </w:r>
      <w:r>
        <w:rPr>
          <w:color w:val="000000"/>
          <w:spacing w:val="0"/>
          <w:w w:val="100"/>
          <w:position w:val="0"/>
        </w:rPr>
        <w:t>业务运营平台和渠道，建立网络 门户平台，为公众客户提供具有第三方公信力的技术服务，形成 新的业务增长点。（</w:t>
      </w:r>
      <w:r>
        <w:rPr>
          <w:rFonts w:ascii="Times New Roman" w:eastAsia="Times New Roman" w:hAnsi="Times New Roman" w:cs="Times New Roman"/>
          <w:color w:val="000000"/>
          <w:spacing w:val="0"/>
          <w:w w:val="100"/>
          <w:position w:val="0"/>
        </w:rPr>
        <w:t>2</w:t>
      </w:r>
      <w:r>
        <w:rPr>
          <w:color w:val="000000"/>
          <w:spacing w:val="0"/>
          <w:w w:val="100"/>
          <w:position w:val="0"/>
        </w:rPr>
        <w:t>）应收账款的风险及改进措施报告期各期 末，公司应收账款账面价值较大。未来随着公司销售规模的扩 大，应收账款可能继续增加，将给公司带来较大的营运资金压力 和一定的经营风险。为了应对上述风险，公司拟紧密关注外部环 境变化趋势，做好相关决策工作，加强客户信用和财务风险评 估，加大应收账款控制力度，保障资产安全；充分利用财务政 策，加速货款回笼。（二）加快公司募投项目建设，提高日常运营 效率，降低公司运营成本，提升公司经营业绩的措施：</w:t>
      </w:r>
      <w:r>
        <w:rPr>
          <w:rFonts w:ascii="Times New Roman" w:eastAsia="Times New Roman" w:hAnsi="Times New Roman" w:cs="Times New Roman"/>
          <w:color w:val="000000"/>
          <w:spacing w:val="0"/>
          <w:w w:val="100"/>
          <w:position w:val="0"/>
        </w:rPr>
        <w:t>1.</w:t>
      </w:r>
      <w:r>
        <w:rPr>
          <w:color w:val="000000"/>
          <w:spacing w:val="0"/>
          <w:w w:val="100"/>
          <w:position w:val="0"/>
        </w:rPr>
        <w:t>加强募 集资金管理，加快募投项目投资进度；公司制定了《募集资金使 用管理办法》，实行募集资金专户存储制度，公司募集资金存放于 董事会决定的专项账户集中管理，保证募集资金的安全性和专用 性，做到专款专用。本次发行募集资金到位后，公司将加快推进 募集资金投资项目建设，争取募投项目早日达产并实现预期效 益。募集资金到位前，为把握市场机会以及满足生产经营需要， 公司将通过多种渠道积极筹措资金，先行投入建设募集资金投资 项目，争取尽早实现项目预期收益，增强股东回报。</w:t>
      </w:r>
      <w:r>
        <w:rPr>
          <w:rFonts w:ascii="Times New Roman" w:eastAsia="Times New Roman" w:hAnsi="Times New Roman" w:cs="Times New Roman"/>
          <w:color w:val="000000"/>
          <w:spacing w:val="0"/>
          <w:w w:val="100"/>
          <w:position w:val="0"/>
        </w:rPr>
        <w:t>2.</w:t>
      </w:r>
      <w:r>
        <w:rPr>
          <w:color w:val="000000"/>
          <w:spacing w:val="0"/>
          <w:w w:val="100"/>
          <w:position w:val="0"/>
        </w:rPr>
        <w:t>加大市场 开拓力度：（</w:t>
      </w:r>
      <w:r>
        <w:rPr>
          <w:rFonts w:ascii="Times New Roman" w:eastAsia="Times New Roman" w:hAnsi="Times New Roman" w:cs="Times New Roman"/>
          <w:color w:val="000000"/>
          <w:spacing w:val="0"/>
          <w:w w:val="100"/>
          <w:position w:val="0"/>
        </w:rPr>
        <w:t>1</w:t>
      </w:r>
      <w:r>
        <w:rPr>
          <w:color w:val="000000"/>
          <w:spacing w:val="0"/>
          <w:w w:val="100"/>
          <w:position w:val="0"/>
        </w:rPr>
        <w:t>）公司继续深化营销体系改革，强化大客户和区域 营销机制，加大经营授权，逐步推行针对产品和特定客户的事业 部机制；（</w:t>
      </w:r>
      <w:r>
        <w:rPr>
          <w:rFonts w:ascii="Times New Roman" w:eastAsia="Times New Roman" w:hAnsi="Times New Roman" w:cs="Times New Roman"/>
          <w:color w:val="000000"/>
          <w:spacing w:val="0"/>
          <w:w w:val="100"/>
          <w:position w:val="0"/>
        </w:rPr>
        <w:t>2</w:t>
      </w:r>
      <w:r>
        <w:rPr>
          <w:color w:val="000000"/>
          <w:spacing w:val="0"/>
          <w:w w:val="100"/>
          <w:position w:val="0"/>
        </w:rPr>
        <w:t>）结合</w:t>
      </w:r>
      <w:r>
        <w:rPr>
          <w:rFonts w:ascii="Times New Roman" w:eastAsia="Times New Roman" w:hAnsi="Times New Roman" w:cs="Times New Roman"/>
          <w:color w:val="000000"/>
          <w:spacing w:val="0"/>
          <w:w w:val="100"/>
          <w:position w:val="0"/>
        </w:rPr>
        <w:t>DOT</w:t>
      </w:r>
      <w:r>
        <w:rPr>
          <w:color w:val="000000"/>
          <w:spacing w:val="0"/>
          <w:w w:val="100"/>
          <w:position w:val="0"/>
        </w:rPr>
        <w:t>业务的拓展和公信检测基地建设，完成全 国</w:t>
      </w:r>
      <w:r>
        <w:rPr>
          <w:rFonts w:ascii="Times New Roman" w:eastAsia="Times New Roman" w:hAnsi="Times New Roman" w:cs="Times New Roman"/>
          <w:color w:val="000000"/>
          <w:spacing w:val="0"/>
          <w:w w:val="100"/>
          <w:position w:val="0"/>
        </w:rPr>
        <w:t>9</w:t>
      </w:r>
      <w:r>
        <w:rPr>
          <w:color w:val="000000"/>
          <w:spacing w:val="0"/>
          <w:w w:val="100"/>
          <w:position w:val="0"/>
        </w:rPr>
        <w:t>大区域市场营销和营运平台建设，提高区域市场属地化生产 服务。</w:t>
      </w:r>
      <w:r>
        <w:rPr>
          <w:rFonts w:ascii="Times New Roman" w:eastAsia="Times New Roman" w:hAnsi="Times New Roman" w:cs="Times New Roman"/>
          <w:color w:val="000000"/>
          <w:spacing w:val="0"/>
          <w:w w:val="100"/>
          <w:position w:val="0"/>
        </w:rPr>
        <w:t>3.</w:t>
      </w:r>
      <w:r>
        <w:rPr>
          <w:color w:val="000000"/>
          <w:spacing w:val="0"/>
          <w:w w:val="100"/>
          <w:position w:val="0"/>
        </w:rPr>
        <w:t>加强内部控制，提升运营效率和盈利能力公司将全面 推行</w:t>
      </w:r>
      <w:r>
        <w:rPr>
          <w:rFonts w:ascii="Times New Roman" w:eastAsia="Times New Roman" w:hAnsi="Times New Roman" w:cs="Times New Roman"/>
          <w:color w:val="000000"/>
          <w:spacing w:val="0"/>
          <w:w w:val="100"/>
          <w:position w:val="0"/>
        </w:rPr>
        <w:t>"</w:t>
      </w:r>
      <w:r>
        <w:rPr>
          <w:color w:val="000000"/>
          <w:spacing w:val="0"/>
          <w:w w:val="100"/>
          <w:position w:val="0"/>
        </w:rPr>
        <w:t>乐活工社</w:t>
      </w:r>
      <w:r>
        <w:rPr>
          <w:rFonts w:ascii="Times New Roman" w:eastAsia="Times New Roman" w:hAnsi="Times New Roman" w:cs="Times New Roman"/>
          <w:color w:val="000000"/>
          <w:spacing w:val="0"/>
          <w:w w:val="100"/>
          <w:position w:val="0"/>
        </w:rPr>
        <w:t>"</w:t>
      </w:r>
      <w:r>
        <w:rPr>
          <w:color w:val="000000"/>
          <w:spacing w:val="0"/>
          <w:w w:val="100"/>
          <w:position w:val="0"/>
        </w:rPr>
        <w:t>，在平台上实现项目全过程管理，对项目实行工作 任务分解。员工在乐活平台上公开竞包，自我管理工作时间和薪 酬兑现，激励员工工作积极性。同时通过''乐活工社</w:t>
      </w:r>
      <w:r>
        <w:rPr>
          <w:rFonts w:ascii="Times New Roman" w:eastAsia="Times New Roman" w:hAnsi="Times New Roman" w:cs="Times New Roman"/>
          <w:color w:val="000000"/>
          <w:spacing w:val="0"/>
          <w:w w:val="100"/>
          <w:position w:val="0"/>
        </w:rPr>
        <w:t>"</w:t>
      </w:r>
      <w:r>
        <w:rPr>
          <w:color w:val="000000"/>
          <w:spacing w:val="0"/>
          <w:w w:val="100"/>
          <w:position w:val="0"/>
        </w:rPr>
        <w:t>平台实现对员 工的工作贡献的量化评价，推行基于员工贡献值的特别激励制 度。</w:t>
      </w:r>
      <w:r>
        <w:rPr>
          <w:rFonts w:ascii="Times New Roman" w:eastAsia="Times New Roman" w:hAnsi="Times New Roman" w:cs="Times New Roman"/>
          <w:color w:val="000000"/>
          <w:spacing w:val="0"/>
          <w:w w:val="100"/>
          <w:position w:val="0"/>
        </w:rPr>
        <w:t>4.</w:t>
      </w:r>
      <w:r>
        <w:rPr>
          <w:color w:val="000000"/>
          <w:spacing w:val="0"/>
          <w:w w:val="100"/>
          <w:position w:val="0"/>
        </w:rPr>
        <w:t>完善利润分配制度，强化投资者回报机制公司已根据中 国证监会发布的《关于进一步落实上市公司现金分红有关事项的 通知》（证监发〔</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37</w:t>
      </w:r>
      <w:r>
        <w:rPr>
          <w:color w:val="000000"/>
          <w:spacing w:val="0"/>
          <w:w w:val="100"/>
          <w:position w:val="0"/>
        </w:rPr>
        <w:t>号）及《上市公司监管指引第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上 市公司现金分红》等项规定，制订了上市后适用的《深圳市建筑 科学研究院股份有限公司章程（草案）》，就利润分配政策尤其是</w:t>
      </w:r>
      <w:r>
        <w:br w:type="page"/>
      </w:r>
    </w:p>
    <w:tbl>
      <w:tblPr>
        <w:tblOverlap w:val="never"/>
        <w:jc w:val="center"/>
        <w:tblLayout w:type="fixed"/>
      </w:tblPr>
      <w:tblGrid>
        <w:gridCol w:w="998"/>
        <w:gridCol w:w="989"/>
        <w:gridCol w:w="710"/>
        <w:gridCol w:w="5242"/>
        <w:gridCol w:w="571"/>
        <w:gridCol w:w="566"/>
        <w:gridCol w:w="504"/>
      </w:tblGrid>
      <w:tr>
        <w:trPr>
          <w:trHeight w:val="1317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现金分红政策的相关事项进行了明确规定，并制定了《深圳市建 筑科学研究院股份有限公司长期分红回报规划》，充分维护上市后 公司全体股东依法享有的现金分红等资产收益权利，提升公司未 来回报能力。</w:t>
            </w:r>
            <w:r>
              <w:rPr>
                <w:rFonts w:ascii="Times New Roman" w:eastAsia="Times New Roman" w:hAnsi="Times New Roman" w:cs="Times New Roman"/>
                <w:color w:val="000000"/>
                <w:spacing w:val="0"/>
                <w:w w:val="100"/>
                <w:position w:val="0"/>
              </w:rPr>
              <w:t>5.</w:t>
            </w:r>
            <w:r>
              <w:rPr>
                <w:color w:val="000000"/>
                <w:spacing w:val="0"/>
                <w:w w:val="100"/>
                <w:position w:val="0"/>
              </w:rPr>
              <w:t>公司承诺将根据中国证监会、深圳证券交易所后 续出台的实施细则，持续完善填补被摊薄即期回报的各项措施。 上述填补回报措施不等于对公司未来利润做出保证。就填补回报 措施，公司控股股东作出如下承诺：</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）本公司承诺不得越权 干预公司经营管理活动，不得侵占公司利益；（</w:t>
            </w:r>
            <w:r>
              <w:rPr>
                <w:rFonts w:ascii="Times New Roman" w:eastAsia="Times New Roman" w:hAnsi="Times New Roman" w:cs="Times New Roman"/>
                <w:color w:val="000000"/>
                <w:spacing w:val="0"/>
                <w:w w:val="100"/>
                <w:position w:val="0"/>
              </w:rPr>
              <w:t>2</w:t>
            </w:r>
            <w:r>
              <w:rPr>
                <w:color w:val="000000"/>
                <w:spacing w:val="0"/>
                <w:w w:val="100"/>
                <w:position w:val="0"/>
              </w:rPr>
              <w:t>）在中国证监 会、深圳证券交易所另行发布摊薄即期填补回报措施及其承诺的 相关意见及实施细则后，如果公司的相关规定及本公司承诺与该 等规定不符时，本公司承诺将立即按照中国证监会及深圳证券交 易所的规定出具补充承诺，并积极推进公司作出新的规定，以符 合中国证监会及深圳证券交易所的要求；（</w:t>
            </w:r>
            <w:r>
              <w:rPr>
                <w:rFonts w:ascii="Times New Roman" w:eastAsia="Times New Roman" w:hAnsi="Times New Roman" w:cs="Times New Roman"/>
                <w:color w:val="000000"/>
                <w:spacing w:val="0"/>
                <w:w w:val="100"/>
                <w:position w:val="0"/>
              </w:rPr>
              <w:t>3</w:t>
            </w:r>
            <w:r>
              <w:rPr>
                <w:color w:val="000000"/>
                <w:spacing w:val="0"/>
                <w:w w:val="100"/>
                <w:position w:val="0"/>
              </w:rPr>
              <w:t>）本公司承诺全面、 完整、及时履行公司制定的有关填补回报措施以及本公司对此作 出的任何有关填补回报措施的承诺。若本公司违反该等承诺，给 公司或者其他股东造成损失的，本公司愿意：</w:t>
            </w:r>
            <w:r>
              <w:rPr>
                <w:rFonts w:ascii="Times New Roman" w:eastAsia="Times New Roman" w:hAnsi="Times New Roman" w:cs="Times New Roman"/>
                <w:color w:val="000000"/>
                <w:spacing w:val="0"/>
                <w:w w:val="100"/>
                <w:position w:val="0"/>
              </w:rPr>
              <w:t>1</w:t>
            </w:r>
            <w:r>
              <w:rPr>
                <w:color w:val="000000"/>
                <w:spacing w:val="0"/>
                <w:w w:val="100"/>
                <w:position w:val="0"/>
              </w:rPr>
              <w:t>）在股东大会及中 国证监会指定报刊公开作出解释并道歉；</w:t>
            </w:r>
            <w:r>
              <w:rPr>
                <w:rFonts w:ascii="Times New Roman" w:eastAsia="Times New Roman" w:hAnsi="Times New Roman" w:cs="Times New Roman"/>
                <w:color w:val="000000"/>
                <w:spacing w:val="0"/>
                <w:w w:val="100"/>
                <w:position w:val="0"/>
              </w:rPr>
              <w:t>2</w:t>
            </w:r>
            <w:r>
              <w:rPr>
                <w:color w:val="000000"/>
                <w:spacing w:val="0"/>
                <w:w w:val="100"/>
                <w:position w:val="0"/>
              </w:rPr>
              <w:t>）依法承担对公司和</w:t>
            </w:r>
            <w:r>
              <w:rPr>
                <w:rFonts w:ascii="Times New Roman" w:eastAsia="Times New Roman" w:hAnsi="Times New Roman" w:cs="Times New Roman"/>
                <w:color w:val="000000"/>
                <w:spacing w:val="0"/>
                <w:w w:val="100"/>
                <w:position w:val="0"/>
              </w:rPr>
              <w:t>/</w:t>
            </w:r>
            <w:r>
              <w:rPr>
                <w:color w:val="000000"/>
                <w:spacing w:val="0"/>
                <w:w w:val="100"/>
                <w:position w:val="0"/>
              </w:rPr>
              <w:t>或 其他股东的补偿责任；</w:t>
            </w:r>
            <w:r>
              <w:rPr>
                <w:rFonts w:ascii="Times New Roman" w:eastAsia="Times New Roman" w:hAnsi="Times New Roman" w:cs="Times New Roman"/>
                <w:color w:val="000000"/>
                <w:spacing w:val="0"/>
                <w:w w:val="100"/>
                <w:position w:val="0"/>
              </w:rPr>
              <w:t>3</w:t>
            </w:r>
            <w:r>
              <w:rPr>
                <w:color w:val="000000"/>
                <w:spacing w:val="0"/>
                <w:w w:val="100"/>
                <w:position w:val="0"/>
              </w:rPr>
              <w:t>）无条件接受中国证监会和</w:t>
            </w:r>
            <w:r>
              <w:rPr>
                <w:rFonts w:ascii="Times New Roman" w:eastAsia="Times New Roman" w:hAnsi="Times New Roman" w:cs="Times New Roman"/>
                <w:color w:val="000000"/>
                <w:spacing w:val="0"/>
                <w:w w:val="100"/>
                <w:position w:val="0"/>
              </w:rPr>
              <w:t>/</w:t>
            </w:r>
            <w:r>
              <w:rPr>
                <w:color w:val="000000"/>
                <w:spacing w:val="0"/>
                <w:w w:val="100"/>
                <w:position w:val="0"/>
              </w:rPr>
              <w:t>或深圳证券交 易所等证券监管机构按照其制定或发布的有关规定、规则，对本 公司作出的处罚或采取的相关监管措施。</w:t>
            </w:r>
            <w:r>
              <w:rPr>
                <w:rFonts w:ascii="Times New Roman" w:eastAsia="Times New Roman" w:hAnsi="Times New Roman" w:cs="Times New Roman"/>
                <w:color w:val="000000"/>
                <w:spacing w:val="0"/>
                <w:w w:val="100"/>
                <w:position w:val="0"/>
              </w:rPr>
              <w:t>"</w:t>
            </w:r>
            <w:r>
              <w:rPr>
                <w:color w:val="000000"/>
                <w:spacing w:val="0"/>
                <w:w w:val="100"/>
                <w:position w:val="0"/>
              </w:rPr>
              <w:t>公司全体董事、高级管 理人员作出如下承诺：</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）承诺不得无偿或以不公平条件向其 他单位或者个人输送利益，也不得采用其他方式损害公司利益；</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）承诺对本人的职务消费行为进行约束，必要的职务消费行为 应低于平均水平；（</w:t>
            </w:r>
            <w:r>
              <w:rPr>
                <w:rFonts w:ascii="Times New Roman" w:eastAsia="Times New Roman" w:hAnsi="Times New Roman" w:cs="Times New Roman"/>
                <w:color w:val="000000"/>
                <w:spacing w:val="0"/>
                <w:w w:val="100"/>
                <w:position w:val="0"/>
              </w:rPr>
              <w:t>3</w:t>
            </w:r>
            <w:r>
              <w:rPr>
                <w:color w:val="000000"/>
                <w:spacing w:val="0"/>
                <w:w w:val="100"/>
                <w:position w:val="0"/>
              </w:rPr>
              <w:t>）承诺不得动用公司资产从事与本人履行职 责无关的投资、消费活动；（</w:t>
            </w:r>
            <w:r>
              <w:rPr>
                <w:rFonts w:ascii="Times New Roman" w:eastAsia="Times New Roman" w:hAnsi="Times New Roman" w:cs="Times New Roman"/>
                <w:color w:val="000000"/>
                <w:spacing w:val="0"/>
                <w:w w:val="100"/>
                <w:position w:val="0"/>
              </w:rPr>
              <w:t>4</w:t>
            </w:r>
            <w:r>
              <w:rPr>
                <w:color w:val="000000"/>
                <w:spacing w:val="0"/>
                <w:w w:val="100"/>
                <w:position w:val="0"/>
              </w:rPr>
              <w:t>）承诺积极推动公司薪酬制度的完 善，使之更符合摊薄即期填补回报的要求；支持公司董事会或薪 酬与考核委员会在制订、修改补充公司的薪酬制度时与公司填补 回报措施的执行情况相挂钩，并在董事会上对相关议案投赞成 票；（</w:t>
            </w:r>
            <w:r>
              <w:rPr>
                <w:rFonts w:ascii="Times New Roman" w:eastAsia="Times New Roman" w:hAnsi="Times New Roman" w:cs="Times New Roman"/>
                <w:color w:val="000000"/>
                <w:spacing w:val="0"/>
                <w:w w:val="100"/>
                <w:position w:val="0"/>
              </w:rPr>
              <w:t>5</w:t>
            </w:r>
            <w:r>
              <w:rPr>
                <w:color w:val="000000"/>
                <w:spacing w:val="0"/>
                <w:w w:val="100"/>
                <w:position w:val="0"/>
              </w:rPr>
              <w:t>）承诺在推动公司股权激励（如有）时，应使股权激励行 权条件与公司填补回报措施的执行情况相挂钩，并在董事会上对 相关议案投赞成票；（</w:t>
            </w:r>
            <w:r>
              <w:rPr>
                <w:rFonts w:ascii="Times New Roman" w:eastAsia="Times New Roman" w:hAnsi="Times New Roman" w:cs="Times New Roman"/>
                <w:color w:val="000000"/>
                <w:spacing w:val="0"/>
                <w:w w:val="100"/>
                <w:position w:val="0"/>
              </w:rPr>
              <w:t>6</w:t>
            </w:r>
            <w:r>
              <w:rPr>
                <w:color w:val="000000"/>
                <w:spacing w:val="0"/>
                <w:w w:val="100"/>
                <w:position w:val="0"/>
              </w:rPr>
              <w:t>）在中国证监会、深圳证券交易所另行发 布摊薄即期填补回报措施及其承诺的相关意见及实施细则后，如 果公司的相关规定及本人承诺与该等规定不符时，本人承诺将立 即按照中国证监会及深圳证券交易所的规定出具补充承诺，并积 极推进公司作出新的规定，以符合中国证监会及深圳证券交易所 的要求；（</w:t>
            </w:r>
            <w:r>
              <w:rPr>
                <w:rFonts w:ascii="Times New Roman" w:eastAsia="Times New Roman" w:hAnsi="Times New Roman" w:cs="Times New Roman"/>
                <w:color w:val="000000"/>
                <w:spacing w:val="0"/>
                <w:w w:val="100"/>
                <w:position w:val="0"/>
              </w:rPr>
              <w:t>7</w:t>
            </w:r>
            <w:r>
              <w:rPr>
                <w:color w:val="000000"/>
                <w:spacing w:val="0"/>
                <w:w w:val="100"/>
                <w:position w:val="0"/>
              </w:rPr>
              <w:t xml:space="preserve">）本人承诺全面、完整、及时履行公司制定的有关填 补回报措施以及本人对此作出的任何有关填补回报措施的承诺。 若本人违反该等承诺，给公司或者股东造成损失的，本人愿意： </w:t>
            </w:r>
            <w:r>
              <w:rPr>
                <w:rFonts w:ascii="Times New Roman" w:eastAsia="Times New Roman" w:hAnsi="Times New Roman" w:cs="Times New Roman"/>
                <w:color w:val="000000"/>
                <w:spacing w:val="0"/>
                <w:w w:val="100"/>
                <w:position w:val="0"/>
              </w:rPr>
              <w:t>1</w:t>
            </w:r>
            <w:r>
              <w:rPr>
                <w:color w:val="000000"/>
                <w:spacing w:val="0"/>
                <w:w w:val="100"/>
                <w:position w:val="0"/>
              </w:rPr>
              <w:t>）在股东大会及中国证监会指定报刊公开作出解释并道歉；</w:t>
            </w:r>
            <w:r>
              <w:rPr>
                <w:rFonts w:ascii="Times New Roman" w:eastAsia="Times New Roman" w:hAnsi="Times New Roman" w:cs="Times New Roman"/>
                <w:color w:val="000000"/>
                <w:spacing w:val="0"/>
                <w:w w:val="100"/>
                <w:position w:val="0"/>
              </w:rPr>
              <w:t>2</w:t>
            </w:r>
            <w:r>
              <w:rPr>
                <w:color w:val="000000"/>
                <w:spacing w:val="0"/>
                <w:w w:val="100"/>
                <w:position w:val="0"/>
              </w:rPr>
              <w:t>） 依法承担对公司和</w:t>
            </w:r>
            <w:r>
              <w:rPr>
                <w:rFonts w:ascii="Times New Roman" w:eastAsia="Times New Roman" w:hAnsi="Times New Roman" w:cs="Times New Roman"/>
                <w:color w:val="000000"/>
                <w:spacing w:val="0"/>
                <w:w w:val="100"/>
                <w:position w:val="0"/>
              </w:rPr>
              <w:t>/</w:t>
            </w:r>
            <w:r>
              <w:rPr>
                <w:color w:val="000000"/>
                <w:spacing w:val="0"/>
                <w:w w:val="100"/>
                <w:position w:val="0"/>
              </w:rPr>
              <w:t>或股东的补偿责任；</w:t>
            </w:r>
            <w:r>
              <w:rPr>
                <w:rFonts w:ascii="Times New Roman" w:eastAsia="Times New Roman" w:hAnsi="Times New Roman" w:cs="Times New Roman"/>
                <w:color w:val="000000"/>
                <w:spacing w:val="0"/>
                <w:w w:val="100"/>
                <w:position w:val="0"/>
              </w:rPr>
              <w:t>3</w:t>
            </w:r>
            <w:r>
              <w:rPr>
                <w:color w:val="000000"/>
                <w:spacing w:val="0"/>
                <w:w w:val="100"/>
                <w:position w:val="0"/>
              </w:rPr>
              <w:t>）无条件接受中国证监会 和</w:t>
            </w:r>
            <w:r>
              <w:rPr>
                <w:rFonts w:ascii="Times New Roman" w:eastAsia="Times New Roman" w:hAnsi="Times New Roman" w:cs="Times New Roman"/>
                <w:color w:val="000000"/>
                <w:spacing w:val="0"/>
                <w:w w:val="100"/>
                <w:position w:val="0"/>
              </w:rPr>
              <w:t>/</w:t>
            </w:r>
            <w:r>
              <w:rPr>
                <w:color w:val="000000"/>
                <w:spacing w:val="0"/>
                <w:w w:val="100"/>
                <w:position w:val="0"/>
              </w:rPr>
              <w:t>或深圳证券交易所等证券监管机构按照其制定或发布的有关规 定、规则，对本人作出的处罚或采取的相关监管措施。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深圳市建筑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科学研究院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若本公司招股说明书有虚假记载、误导性陈述或者重大遗漏，对 判断本公司是否符合法律规定的发行条件构成重大、实质影响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2017</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9999 </w:t>
            </w:r>
            <w:r>
              <w:rPr>
                <w:color w:val="000000"/>
                <w:spacing w:val="0"/>
                <w:w w:val="100"/>
                <w:position w:val="0"/>
              </w:rPr>
              <w:t>年</w:t>
            </w:r>
            <w:r>
              <w:rPr>
                <w:rFonts w:ascii="Times New Roman" w:eastAsia="Times New Roman" w:hAnsi="Times New Roman" w:cs="Times New Roman"/>
                <w:color w:val="000000"/>
                <w:spacing w:val="0"/>
                <w:w w:val="100"/>
                <w:position w:val="0"/>
              </w:rPr>
              <w:t>12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bl>
    <w:p>
      <w:pPr>
        <w:spacing w:lineRule="exact" w:line="1"/>
        <w:rPr>
          <w:sz w:val="2"/>
          <w:szCs w:val="2"/>
        </w:rPr>
      </w:pPr>
      <w:r>
        <w:br w:type="page"/>
      </w:r>
    </w:p>
    <w:tbl>
      <w:tblPr>
        <w:tblOverlap w:val="never"/>
        <w:jc w:val="center"/>
        <w:tblLayout w:type="fixed"/>
      </w:tblPr>
      <w:tblGrid>
        <w:gridCol w:w="998"/>
        <w:gridCol w:w="989"/>
        <w:gridCol w:w="710"/>
        <w:gridCol w:w="5242"/>
        <w:gridCol w:w="571"/>
        <w:gridCol w:w="566"/>
        <w:gridCol w:w="504"/>
      </w:tblGrid>
      <w:tr>
        <w:trPr>
          <w:trHeight w:val="256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的，公司将依法回购首次公开发行的全部新股，回购价格不低于 公司首次公开发行股份的发行价，期间公司如有派发股利、送 股、转增股本等除权除息事项，上述价格相应调整，并在有权部 门作出行政处罚或人民法院作出相关判决之日起启动回购决策程 序，在公司股东大会决议做出之日起次日</w:t>
            </w:r>
            <w:r>
              <w:rPr>
                <w:rFonts w:ascii="Times New Roman" w:eastAsia="Times New Roman" w:hAnsi="Times New Roman" w:cs="Times New Roman"/>
                <w:color w:val="000000"/>
                <w:spacing w:val="0"/>
                <w:w w:val="100"/>
                <w:position w:val="0"/>
              </w:rPr>
              <w:t>30</w:t>
            </w:r>
            <w:r>
              <w:rPr>
                <w:color w:val="000000"/>
                <w:spacing w:val="0"/>
                <w:w w:val="100"/>
                <w:position w:val="0"/>
              </w:rPr>
              <w:t>个交易日内实施完 毕。若本公司招股说明书有虚假记载、误导性陈述或者重大遗 漏，致使投资者在证券交易中遭受损失的，本公司将依法赔偿投 资者损失。</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color w:val="000000"/>
                <w:spacing w:val="0"/>
                <w:w w:val="100"/>
                <w:position w:val="0"/>
              </w:rPr>
              <w:t>中</w:t>
            </w:r>
          </w:p>
        </w:tc>
      </w:tr>
      <w:tr>
        <w:trPr>
          <w:trHeight w:val="570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深圳市人民 政府国有资 产监督管理 委员会；深 圳市资本运 营集团有限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公司实际控制人深圳市国资委承诺：远致投资作为发行人的控股 股东，已就发行人上市招股说明书事宜作出公开承诺。如经中国 证监会等有权监管机构或司法机构认定，发行人上市的招股说明 书有虚假记载、误导性陈述或者重大遗漏，导致对判断发行人是 否符合法律规定的发行条件构成实质影响的，或者致使投资者在 证券交易中遭受损失并因此触发发行人回购首次公开发行的全部 新股责任的，或者触发发行人控股股东、董事、监事和高级管理 人员的赔偿责任的，我委将依法督促发行人及远致公司履行相关 义务并承担相关责任。公司控股股东远致投资承诺：因发行人招 股说明书有虚假记载、误导性陈述或者重大遗漏，致使投资者在 证券交易中遭受损失的，本公司将依法赔偿投资者损失。因发行 人招股说明书有虚假记载、误导性陈述或重大遗漏，对判断发行 人是否符合法律规定的发行条件构成重大、实质影响，并已由有 权部门作出行政处罚或人民法院作出相关判决的，本公司利用发 行人控股股东地位，促使发行人依法回购首次公开发行的全部新 股，同时本公司将按照二级市场的价格依法购回已转让的原限售 股份。本公司购回股票时将依照《公司法》、《证券法》、中国证监 会和深圳证券交易所的相关规定以及《公司章程》执行。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9999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 履行 中</w:t>
            </w: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曹翔；陈泽 广；蓝虹； 林晓春；刘 俊跃；刘 丽；毛洪 伟；莫福 光；邵顺 昌；沈武； 吴硕贤；姚 培；叶青； 余庆；詹辉 轮；郑学定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其他承</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发行人招股说明书有虚假记载、误导性陈述或重大遗漏，致使投 资者在证券交易中遭受损失的，发行人董事、监事、高级管理人 员将依法赔偿投资者损失。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9999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 履行 中</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股权激励承 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其他对公司 中小股东所 作承诺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tbl>
      <w:tblPr>
        <w:tblOverlap w:val="never"/>
        <w:jc w:val="center"/>
        <w:tblLayout w:type="fixed"/>
      </w:tblPr>
      <w:tblGrid>
        <w:gridCol w:w="998"/>
        <w:gridCol w:w="8582"/>
      </w:tblGrid>
      <w:tr>
        <w:trPr>
          <w:trHeight w:val="73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承诺是否按 时履行</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59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如承诺超期 未履行完毕 的，应当详 细说明未完 成履行的具 体原因及下 一步的工作 计划</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23"/>
        <w:keepNext w:val="0"/>
        <w:keepLines w:val="0"/>
        <w:widowControl w:val="0"/>
        <w:shd w:val="clear" w:color="auto" w:fill="auto"/>
        <w:bidi w:val="0"/>
        <w:spacing w:before="0" w:after="360" w:line="322" w:lineRule="exact"/>
        <w:ind w:left="0" w:right="0" w:firstLine="0"/>
        <w:jc w:val="left"/>
        <w:rPr>
          <w:sz w:val="20"/>
          <w:szCs w:val="20"/>
        </w:rPr>
      </w:pPr>
      <w:bookmarkStart w:id="357" w:name="bookmark357"/>
      <w:r>
        <w:rPr>
          <w:rFonts w:ascii="Times New Roman" w:eastAsia="Times New Roman" w:hAnsi="Times New Roman" w:cs="Times New Roman"/>
          <w:b/>
          <w:bCs/>
          <w:color w:val="000000"/>
          <w:spacing w:val="0"/>
          <w:w w:val="100"/>
          <w:position w:val="0"/>
          <w:sz w:val="20"/>
          <w:szCs w:val="20"/>
        </w:rPr>
        <w:t>2</w:t>
      </w:r>
      <w:bookmarkEnd w:id="357"/>
      <w:r>
        <w:rPr>
          <w:b/>
          <w:bCs/>
          <w:color w:val="000000"/>
          <w:spacing w:val="0"/>
          <w:w w:val="100"/>
          <w:position w:val="0"/>
          <w:sz w:val="20"/>
          <w:szCs w:val="20"/>
        </w:rPr>
        <w:t>、公司资产或项目存在盈利预测，且报告期仍处在盈利预测期间，公司就资产或项目达到原盈利预测及 其原因做出说明</w:t>
      </w:r>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tabs>
          <w:tab w:pos="517" w:val="left"/>
        </w:tabs>
        <w:bidi w:val="0"/>
        <w:spacing w:before="0" w:after="360" w:line="240" w:lineRule="auto"/>
        <w:ind w:left="0" w:right="0" w:firstLine="0"/>
        <w:jc w:val="left"/>
      </w:pPr>
      <w:bookmarkStart w:id="358" w:name="bookmark358"/>
      <w:r>
        <w:rPr>
          <w:color w:val="000000"/>
          <w:spacing w:val="0"/>
          <w:w w:val="100"/>
          <w:position w:val="0"/>
          <w:sz w:val="24"/>
          <w:szCs w:val="24"/>
        </w:rPr>
        <w:t>二</w:t>
      </w:r>
      <w:bookmarkEnd w:id="358"/>
      <w:r>
        <w:rPr>
          <w:color w:val="000000"/>
          <w:spacing w:val="0"/>
          <w:w w:val="100"/>
          <w:position w:val="0"/>
          <w:sz w:val="24"/>
          <w:szCs w:val="24"/>
        </w:rPr>
        <w:t>、</w:t>
        <w:tab/>
        <w:t>控股股东及其他关联方对上市公司的非经营性占用资金情况</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6"/>
        <w:keepNext w:val="0"/>
        <w:keepLines w:val="0"/>
        <w:widowControl w:val="0"/>
        <w:shd w:val="clear" w:color="auto" w:fill="auto"/>
        <w:tabs>
          <w:tab w:pos="517" w:val="left"/>
        </w:tabs>
        <w:bidi w:val="0"/>
        <w:spacing w:before="0" w:after="360" w:line="240" w:lineRule="auto"/>
        <w:ind w:left="0" w:right="0" w:firstLine="0"/>
        <w:jc w:val="left"/>
      </w:pPr>
      <w:bookmarkStart w:id="359" w:name="bookmark359"/>
      <w:r>
        <w:rPr>
          <w:color w:val="000000"/>
          <w:spacing w:val="0"/>
          <w:w w:val="100"/>
          <w:position w:val="0"/>
          <w:sz w:val="24"/>
          <w:szCs w:val="24"/>
        </w:rPr>
        <w:t>三</w:t>
      </w:r>
      <w:bookmarkEnd w:id="359"/>
      <w:r>
        <w:rPr>
          <w:color w:val="000000"/>
          <w:spacing w:val="0"/>
          <w:w w:val="100"/>
          <w:position w:val="0"/>
          <w:sz w:val="24"/>
          <w:szCs w:val="24"/>
        </w:rPr>
        <w:t>、</w:t>
        <w:tab/>
        <w:t>违规对外担保情况</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26"/>
        <w:keepNext w:val="0"/>
        <w:keepLines w:val="0"/>
        <w:widowControl w:val="0"/>
        <w:shd w:val="clear" w:color="auto" w:fill="auto"/>
        <w:tabs>
          <w:tab w:pos="517" w:val="left"/>
        </w:tabs>
        <w:bidi w:val="0"/>
        <w:spacing w:before="0" w:after="360" w:line="240" w:lineRule="auto"/>
        <w:ind w:left="0" w:right="0" w:firstLine="0"/>
        <w:jc w:val="left"/>
      </w:pPr>
      <w:bookmarkStart w:id="360" w:name="bookmark360"/>
      <w:r>
        <w:rPr>
          <w:color w:val="000000"/>
          <w:spacing w:val="0"/>
          <w:w w:val="100"/>
          <w:position w:val="0"/>
          <w:sz w:val="24"/>
          <w:szCs w:val="24"/>
        </w:rPr>
        <w:t>四</w:t>
      </w:r>
      <w:bookmarkEnd w:id="360"/>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tabs>
          <w:tab w:pos="517" w:val="left"/>
        </w:tabs>
        <w:bidi w:val="0"/>
        <w:spacing w:before="0" w:after="360" w:line="240" w:lineRule="auto"/>
        <w:ind w:left="0" w:right="0" w:firstLine="0"/>
        <w:jc w:val="left"/>
      </w:pPr>
      <w:bookmarkStart w:id="361" w:name="bookmark361"/>
      <w:r>
        <w:rPr>
          <w:color w:val="000000"/>
          <w:spacing w:val="0"/>
          <w:w w:val="100"/>
          <w:position w:val="0"/>
          <w:sz w:val="24"/>
          <w:szCs w:val="24"/>
        </w:rPr>
        <w:t>五</w:t>
      </w:r>
      <w:bookmarkEnd w:id="361"/>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p>
    <w:p>
      <w:pPr>
        <w:pStyle w:val="Style20"/>
        <w:keepNext w:val="0"/>
        <w:keepLines w:val="0"/>
        <w:widowControl w:val="0"/>
        <w:numPr>
          <w:ilvl w:val="0"/>
          <w:numId w:val="37"/>
        </w:numPr>
        <w:shd w:val="clear" w:color="auto" w:fill="auto"/>
        <w:tabs>
          <w:tab w:pos="282" w:val="left"/>
        </w:tabs>
        <w:bidi w:val="0"/>
        <w:spacing w:before="0" w:after="360" w:line="240" w:lineRule="auto"/>
        <w:ind w:left="0" w:right="0" w:firstLine="0"/>
        <w:jc w:val="left"/>
      </w:pPr>
      <w:bookmarkStart w:id="362" w:name="bookmark362"/>
      <w:bookmarkEnd w:id="362"/>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6"/>
        <w:keepNext w:val="0"/>
        <w:keepLines w:val="0"/>
        <w:widowControl w:val="0"/>
        <w:shd w:val="clear" w:color="auto" w:fill="auto"/>
        <w:tabs>
          <w:tab w:pos="517" w:val="left"/>
        </w:tabs>
        <w:bidi w:val="0"/>
        <w:spacing w:before="0" w:after="360" w:line="240" w:lineRule="auto"/>
        <w:ind w:left="0" w:right="0" w:firstLine="0"/>
        <w:jc w:val="left"/>
      </w:pPr>
      <w:bookmarkStart w:id="363" w:name="bookmark363"/>
      <w:r>
        <w:rPr>
          <w:color w:val="000000"/>
          <w:spacing w:val="0"/>
          <w:w w:val="100"/>
          <w:position w:val="0"/>
          <w:sz w:val="24"/>
          <w:szCs w:val="24"/>
        </w:rPr>
        <w:t>六</w:t>
      </w:r>
      <w:bookmarkEnd w:id="363"/>
      <w:r>
        <w:rPr>
          <w:color w:val="000000"/>
          <w:spacing w:val="0"/>
          <w:w w:val="100"/>
          <w:position w:val="0"/>
          <w:sz w:val="24"/>
          <w:szCs w:val="24"/>
        </w:rPr>
        <w:t>、</w:t>
        <w:tab/>
        <w:t>董事会关于报告期会计政策、会计估计变更或重大会计差错更正的说明</w:t>
      </w:r>
    </w:p>
    <w:p>
      <w:pPr>
        <w:pStyle w:val="Style20"/>
        <w:keepNext w:val="0"/>
        <w:keepLines w:val="0"/>
        <w:widowControl w:val="0"/>
        <w:numPr>
          <w:ilvl w:val="0"/>
          <w:numId w:val="37"/>
        </w:numPr>
        <w:shd w:val="clear" w:color="auto" w:fill="auto"/>
        <w:tabs>
          <w:tab w:pos="282" w:val="left"/>
        </w:tabs>
        <w:bidi w:val="0"/>
        <w:spacing w:before="0" w:after="360" w:line="240" w:lineRule="auto"/>
        <w:ind w:left="0" w:right="0" w:firstLine="0"/>
        <w:jc w:val="left"/>
      </w:pPr>
      <w:bookmarkStart w:id="364" w:name="bookmark364"/>
      <w:bookmarkEnd w:id="364"/>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6"/>
        <w:keepNext w:val="0"/>
        <w:keepLines w:val="0"/>
        <w:widowControl w:val="0"/>
        <w:shd w:val="clear" w:color="auto" w:fill="auto"/>
        <w:tabs>
          <w:tab w:pos="522" w:val="left"/>
        </w:tabs>
        <w:bidi w:val="0"/>
        <w:spacing w:before="0" w:after="360" w:line="240" w:lineRule="auto"/>
        <w:ind w:left="0" w:right="0" w:firstLine="0"/>
        <w:jc w:val="left"/>
      </w:pPr>
      <w:bookmarkStart w:id="365" w:name="bookmark365"/>
      <w:r>
        <w:rPr>
          <w:color w:val="000000"/>
          <w:spacing w:val="0"/>
          <w:w w:val="100"/>
          <w:position w:val="0"/>
          <w:sz w:val="24"/>
          <w:szCs w:val="24"/>
        </w:rPr>
        <w:t>七</w:t>
      </w:r>
      <w:bookmarkEnd w:id="365"/>
      <w:r>
        <w:rPr>
          <w:color w:val="000000"/>
          <w:spacing w:val="0"/>
          <w:w w:val="100"/>
          <w:position w:val="0"/>
          <w:sz w:val="24"/>
          <w:szCs w:val="24"/>
        </w:rPr>
        <w:t>、</w:t>
        <w:tab/>
        <w:t>与上年度财务报告相比，合并报表范围发生变化的情况说明</w:t>
      </w:r>
    </w:p>
    <w:p>
      <w:pPr>
        <w:pStyle w:val="Style20"/>
        <w:keepNext w:val="0"/>
        <w:keepLines w:val="0"/>
        <w:widowControl w:val="0"/>
        <w:numPr>
          <w:ilvl w:val="0"/>
          <w:numId w:val="37"/>
        </w:numPr>
        <w:shd w:val="clear" w:color="auto" w:fill="auto"/>
        <w:tabs>
          <w:tab w:pos="282" w:val="left"/>
        </w:tabs>
        <w:bidi w:val="0"/>
        <w:spacing w:before="0" w:after="140" w:line="240" w:lineRule="auto"/>
        <w:ind w:left="0" w:right="0" w:firstLine="0"/>
        <w:jc w:val="left"/>
      </w:pPr>
      <w:bookmarkStart w:id="366" w:name="bookmark366"/>
      <w:bookmarkEnd w:id="366"/>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公司报告期无合并报表范围发生变化的情况。</w:t>
      </w:r>
    </w:p>
    <w:p>
      <w:pPr>
        <w:pStyle w:val="Style26"/>
        <w:keepNext w:val="0"/>
        <w:keepLines w:val="0"/>
        <w:widowControl w:val="0"/>
        <w:shd w:val="clear" w:color="auto" w:fill="auto"/>
        <w:bidi w:val="0"/>
        <w:spacing w:before="0" w:after="360" w:line="240" w:lineRule="auto"/>
        <w:ind w:left="0" w:right="0" w:firstLine="0"/>
        <w:jc w:val="left"/>
      </w:pPr>
      <w:bookmarkStart w:id="367" w:name="bookmark367"/>
      <w:r>
        <w:rPr>
          <w:color w:val="000000"/>
          <w:spacing w:val="0"/>
          <w:w w:val="100"/>
          <w:position w:val="0"/>
          <w:sz w:val="24"/>
          <w:szCs w:val="24"/>
        </w:rPr>
        <w:t>八</w:t>
      </w:r>
      <w:bookmarkEnd w:id="367"/>
      <w:r>
        <w:rPr>
          <w:color w:val="000000"/>
          <w:spacing w:val="0"/>
          <w:w w:val="100"/>
          <w:position w:val="0"/>
          <w:sz w:val="24"/>
          <w:szCs w:val="24"/>
        </w:rPr>
        <w:t>、聘任、解聘会计师事务所情况</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毕马威华振会计师事务所（特殊普通合伙）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陈泳意、刘琬婷</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陈泳意</w:t>
            </w:r>
            <w:r>
              <w:rPr>
                <w:rFonts w:ascii="Times New Roman" w:eastAsia="Times New Roman" w:hAnsi="Times New Roman" w:cs="Times New Roman"/>
                <w:color w:val="000000"/>
                <w:spacing w:val="0"/>
                <w:w w:val="100"/>
                <w:position w:val="0"/>
              </w:rPr>
              <w:t>3</w:t>
            </w:r>
            <w:r>
              <w:rPr>
                <w:color w:val="000000"/>
                <w:spacing w:val="0"/>
                <w:w w:val="100"/>
                <w:position w:val="0"/>
              </w:rPr>
              <w:t>年、刘琬婷</w:t>
            </w:r>
            <w:r>
              <w:rPr>
                <w:rFonts w:ascii="Times New Roman" w:eastAsia="Times New Roman" w:hAnsi="Times New Roman" w:cs="Times New Roman"/>
                <w:color w:val="000000"/>
                <w:spacing w:val="0"/>
                <w:w w:val="100"/>
                <w:position w:val="0"/>
              </w:rPr>
              <w:t>2</w:t>
            </w:r>
            <w:r>
              <w:rPr>
                <w:color w:val="000000"/>
                <w:spacing w:val="0"/>
                <w:w w:val="100"/>
                <w:position w:val="0"/>
              </w:rPr>
              <w:t>年</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bookmarkStart w:id="368" w:name="bookmark368"/>
      <w:r>
        <w:rPr>
          <w:color w:val="000000"/>
          <w:spacing w:val="0"/>
          <w:w w:val="100"/>
          <w:position w:val="0"/>
          <w:sz w:val="24"/>
          <w:szCs w:val="24"/>
        </w:rPr>
        <w:t>九</w:t>
      </w:r>
      <w:bookmarkEnd w:id="368"/>
      <w:r>
        <w:rPr>
          <w:color w:val="000000"/>
          <w:spacing w:val="0"/>
          <w:w w:val="100"/>
          <w:position w:val="0"/>
          <w:sz w:val="24"/>
          <w:szCs w:val="24"/>
        </w:rPr>
        <w:t>、年度报告披露后面临退市情况</w:t>
      </w:r>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4"/>
          <w:szCs w:val="24"/>
        </w:rPr>
        <w:t>十、破产重整相关事项</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4"/>
          <w:szCs w:val="24"/>
        </w:rPr>
        <w:t>十一、重大诉讼、仲裁事项</w:t>
      </w:r>
    </w:p>
    <w:p>
      <w:pPr>
        <w:pStyle w:val="Style20"/>
        <w:keepNext w:val="0"/>
        <w:keepLines w:val="0"/>
        <w:widowControl w:val="0"/>
        <w:numPr>
          <w:ilvl w:val="0"/>
          <w:numId w:val="37"/>
        </w:numPr>
        <w:shd w:val="clear" w:color="auto" w:fill="auto"/>
        <w:tabs>
          <w:tab w:pos="282" w:val="left"/>
        </w:tabs>
        <w:bidi w:val="0"/>
        <w:spacing w:before="0" w:after="140" w:line="240" w:lineRule="auto"/>
        <w:ind w:left="0" w:right="0" w:firstLine="0"/>
        <w:jc w:val="left"/>
      </w:pPr>
      <w:bookmarkStart w:id="369" w:name="bookmark369"/>
      <w:bookmarkEnd w:id="369"/>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4"/>
          <w:szCs w:val="24"/>
        </w:rPr>
        <w:t>十二、处罚及整改情况</w:t>
      </w:r>
    </w:p>
    <w:p>
      <w:pPr>
        <w:pStyle w:val="Style20"/>
        <w:keepNext w:val="0"/>
        <w:keepLines w:val="0"/>
        <w:widowControl w:val="0"/>
        <w:numPr>
          <w:ilvl w:val="0"/>
          <w:numId w:val="37"/>
        </w:numPr>
        <w:shd w:val="clear" w:color="auto" w:fill="auto"/>
        <w:tabs>
          <w:tab w:pos="282" w:val="left"/>
        </w:tabs>
        <w:bidi w:val="0"/>
        <w:spacing w:before="0" w:after="140" w:line="240" w:lineRule="auto"/>
        <w:ind w:left="0" w:right="0" w:firstLine="0"/>
        <w:jc w:val="left"/>
      </w:pPr>
      <w:bookmarkStart w:id="370" w:name="bookmark370"/>
      <w:bookmarkEnd w:id="370"/>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4"/>
          <w:szCs w:val="24"/>
        </w:rPr>
        <w:t>十三、公司及其控股股东、实际控制人的诚信状况</w:t>
      </w:r>
    </w:p>
    <w:p>
      <w:pPr>
        <w:pStyle w:val="Style20"/>
        <w:keepNext w:val="0"/>
        <w:keepLines w:val="0"/>
        <w:widowControl w:val="0"/>
        <w:numPr>
          <w:ilvl w:val="0"/>
          <w:numId w:val="37"/>
        </w:numPr>
        <w:shd w:val="clear" w:color="auto" w:fill="auto"/>
        <w:tabs>
          <w:tab w:pos="282" w:val="left"/>
        </w:tabs>
        <w:bidi w:val="0"/>
        <w:spacing w:before="0" w:after="360" w:line="240" w:lineRule="auto"/>
        <w:ind w:left="0" w:right="0" w:firstLine="0"/>
        <w:jc w:val="both"/>
      </w:pPr>
      <w:bookmarkStart w:id="371" w:name="bookmark371"/>
      <w:bookmarkEnd w:id="371"/>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sz w:val="24"/>
          <w:szCs w:val="24"/>
        </w:rPr>
        <w:t>十四、重大关联交易</w:t>
      </w:r>
    </w:p>
    <w:p>
      <w:pPr>
        <w:pStyle w:val="Style31"/>
        <w:keepNext/>
        <w:keepLines/>
        <w:widowControl w:val="0"/>
        <w:shd w:val="clear" w:color="auto" w:fill="auto"/>
        <w:bidi w:val="0"/>
        <w:spacing w:before="0" w:line="240" w:lineRule="auto"/>
        <w:ind w:left="0" w:right="0" w:firstLine="0"/>
        <w:jc w:val="both"/>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1</w:t>
      </w:r>
      <w:bookmarkEnd w:id="374"/>
      <w:r>
        <w:rPr>
          <w:color w:val="000000"/>
          <w:spacing w:val="0"/>
          <w:w w:val="100"/>
          <w:position w:val="0"/>
        </w:rPr>
        <w:t>、与日常经营相关的关联交易</w:t>
      </w:r>
      <w:bookmarkEnd w:id="372"/>
      <w:bookmarkEnd w:id="373"/>
      <w:bookmarkEnd w:id="375"/>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bl>
      <w:tblPr>
        <w:tblOverlap w:val="never"/>
        <w:jc w:val="center"/>
        <w:tblLayout w:type="fixed"/>
      </w:tblPr>
      <w:tblGrid>
        <w:gridCol w:w="965"/>
        <w:gridCol w:w="1133"/>
        <w:gridCol w:w="566"/>
        <w:gridCol w:w="850"/>
        <w:gridCol w:w="566"/>
        <w:gridCol w:w="566"/>
        <w:gridCol w:w="710"/>
        <w:gridCol w:w="710"/>
        <w:gridCol w:w="706"/>
        <w:gridCol w:w="427"/>
        <w:gridCol w:w="566"/>
        <w:gridCol w:w="566"/>
        <w:gridCol w:w="710"/>
        <w:gridCol w:w="538"/>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占同类</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获批的</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可获</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披露日</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w:t>
            </w:r>
          </w:p>
        </w:tc>
      </w:tr>
    </w:tbl>
    <w:p>
      <w:pPr>
        <w:spacing w:lineRule="exact" w:line="1"/>
        <w:rPr>
          <w:sz w:val="2"/>
          <w:szCs w:val="2"/>
        </w:rPr>
      </w:pPr>
      <w:r>
        <w:br w:type="page"/>
      </w:r>
    </w:p>
    <w:tbl>
      <w:tblPr>
        <w:tblOverlap w:val="never"/>
        <w:jc w:val="center"/>
        <w:tblLayout w:type="fixed"/>
      </w:tblPr>
      <w:tblGrid>
        <w:gridCol w:w="965"/>
        <w:gridCol w:w="1133"/>
        <w:gridCol w:w="566"/>
        <w:gridCol w:w="850"/>
        <w:gridCol w:w="566"/>
        <w:gridCol w:w="566"/>
        <w:gridCol w:w="706"/>
        <w:gridCol w:w="715"/>
        <w:gridCol w:w="701"/>
        <w:gridCol w:w="432"/>
        <w:gridCol w:w="557"/>
        <w:gridCol w:w="576"/>
        <w:gridCol w:w="710"/>
        <w:gridCol w:w="538"/>
      </w:tblGrid>
      <w:tr>
        <w:trPr>
          <w:trHeight w:val="34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易金额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交易金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交易额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超过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得的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索引</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60" w:firstLine="0"/>
              <w:jc w:val="right"/>
            </w:pPr>
            <w:r>
              <w:rPr>
                <w:color w:val="000000"/>
                <w:spacing w:val="0"/>
                <w:w w:val="100"/>
                <w:position w:val="0"/>
              </w:rPr>
              <w:t>（万</w:t>
            </w:r>
          </w:p>
        </w:tc>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额的比</w:t>
            </w:r>
          </w:p>
        </w:tc>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度（万</w:t>
            </w:r>
          </w:p>
        </w:tc>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获批</w:t>
            </w:r>
          </w:p>
        </w:tc>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同类</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原则</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元）</w:t>
            </w:r>
          </w:p>
        </w:tc>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元）</w:t>
            </w:r>
          </w:p>
        </w:tc>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额度</w:t>
            </w:r>
          </w:p>
        </w:tc>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市价</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雄安绿研智</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库有限公司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控股股东控 制的其他公 司及公司的 联营公司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 服务 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现金</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2021</w:t>
              <w:softHyphen/>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023</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雄安绿研智</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库有限公司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控股股东控 制的其他公 司及公司的 联营公司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采购 服务 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现金</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2021</w:t>
              <w:softHyphen/>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023</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雄安绿研智</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库有限公司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控股股东控 制的其他公 司及公司的 联营公司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 服务 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绿色运营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现金</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2021</w:t>
              <w:softHyphen/>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023</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中关村发展 及其控制的 公司（各公 司名称如 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具体如下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 服务 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城市规</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划、建筑</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咨询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现金</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2021</w:t>
              <w:softHyphen/>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023</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中关村发展</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集团股份有</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本集团监事</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任职公司的</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采购 服务 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现金</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2021</w:t>
              <w:softHyphen/>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023</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北京中关村</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微纳能源投</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中关村发展</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的控股公司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 服务 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城市规</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划、建筑</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咨询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现金</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2021</w:t>
              <w:softHyphen/>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023</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北京中关村</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科技园区建</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设投资有限</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中关村发展</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的控股公司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 服务 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城市规</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划、建筑</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咨询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现金</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2021</w:t>
              <w:softHyphen/>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023</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北京中关村 生命科学园 发展有限责 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中关村发展</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的控股公司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 服务 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城市规</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划、建筑</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咨询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现金</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2021</w:t>
              <w:softHyphen/>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023</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北京中关村</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前沿技术产 业发展有限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中关村发展</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的控股公司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 服务 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城市规</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划、建筑</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咨询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现金</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2021</w:t>
              <w:softHyphen/>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023</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深圳市创新</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投资集团有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控股股东董</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事长出任董</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提供</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城市规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划、建筑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现金</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2021</w:t>
              <w:softHyphen/>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023</w:t>
            </w:r>
          </w:p>
        </w:tc>
      </w:tr>
    </w:tbl>
    <w:p>
      <w:pPr>
        <w:spacing w:lineRule="exact" w:line="1"/>
        <w:rPr>
          <w:sz w:val="2"/>
          <w:szCs w:val="2"/>
        </w:rPr>
      </w:pPr>
      <w:r>
        <w:br w:type="page"/>
      </w:r>
    </w:p>
    <w:tbl>
      <w:tblPr>
        <w:tblOverlap w:val="never"/>
        <w:jc w:val="center"/>
        <w:tblLayout w:type="fixed"/>
      </w:tblPr>
      <w:tblGrid>
        <w:gridCol w:w="965"/>
        <w:gridCol w:w="1133"/>
        <w:gridCol w:w="566"/>
        <w:gridCol w:w="850"/>
        <w:gridCol w:w="566"/>
        <w:gridCol w:w="566"/>
        <w:gridCol w:w="706"/>
        <w:gridCol w:w="715"/>
        <w:gridCol w:w="701"/>
        <w:gridCol w:w="432"/>
        <w:gridCol w:w="557"/>
        <w:gridCol w:w="576"/>
        <w:gridCol w:w="710"/>
        <w:gridCol w:w="538"/>
      </w:tblGrid>
      <w:tr>
        <w:trPr>
          <w:trHeight w:val="38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事的公司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深圳市建设</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工程标准学</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本集团董事</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长出任会长</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的社会组织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采购 服务 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现金</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softHyphen/>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023</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其他关联方</w:t>
            </w:r>
          </w:p>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（各公司名 称如下）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具体如下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提供 服务 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现金</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softHyphen/>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023</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深圳市资本</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运营集团有</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本集团控股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 服务 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城市规</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划、建筑</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咨询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现金</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softHyphen/>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023</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深圳市科陆</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电子科技股</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 服务 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公信服务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125.29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现金</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softHyphen/>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023</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万科企业股</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控股股东董</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事长出任董</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事的公司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 服务 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公信服务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现金</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softHyphen/>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023</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深圳市天健</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（集团）股 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本集团非独</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立董事出任</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董事的公司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 服务 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公信服务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328.56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现金</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softHyphen/>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023</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前海再保险</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股份有限公</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本集团离任</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非独立董事 出任董事的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 服务 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公信服务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现金</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softHyphen/>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023</w:t>
            </w:r>
          </w:p>
        </w:tc>
      </w:tr>
      <w:tr>
        <w:trPr>
          <w:trHeight w:val="403"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958.31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r>
        <w:trPr>
          <w:trHeight w:val="398"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按类别对本期将发生的日常关联交易进行总</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金额预计的，在报告期内的实际履行情况</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（如有）</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gridSpan w:val="4"/>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交易价格与市场参考价格差异较大的原因</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（如适用）</w:t>
            </w:r>
          </w:p>
        </w:tc>
        <w:tc>
          <w:tcPr>
            <w:gridSpan w:val="10"/>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2</w:t>
      </w:r>
      <w:bookmarkEnd w:id="378"/>
      <w:r>
        <w:rPr>
          <w:color w:val="000000"/>
          <w:spacing w:val="0"/>
          <w:w w:val="100"/>
          <w:position w:val="0"/>
        </w:rPr>
        <w:t>、资产或股权收购、出售发生的关联交易</w:t>
      </w:r>
      <w:bookmarkEnd w:id="376"/>
      <w:bookmarkEnd w:id="377"/>
      <w:bookmarkEnd w:id="379"/>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1"/>
        <w:keepNext/>
        <w:keepLines/>
        <w:widowControl w:val="0"/>
        <w:shd w:val="clear" w:color="auto" w:fill="auto"/>
        <w:bidi w:val="0"/>
        <w:spacing w:before="0" w:line="240" w:lineRule="auto"/>
        <w:ind w:left="0" w:right="0" w:firstLine="0"/>
        <w:jc w:val="left"/>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3</w:t>
      </w:r>
      <w:bookmarkEnd w:id="382"/>
      <w:r>
        <w:rPr>
          <w:color w:val="000000"/>
          <w:spacing w:val="0"/>
          <w:w w:val="100"/>
          <w:position w:val="0"/>
        </w:rPr>
        <w:t>、共同对外投资的关联交易</w:t>
      </w:r>
      <w:bookmarkEnd w:id="380"/>
      <w:bookmarkEnd w:id="381"/>
      <w:bookmarkEnd w:id="383"/>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1"/>
        <w:keepNext/>
        <w:keepLines/>
        <w:widowControl w:val="0"/>
        <w:pBdr>
          <w:top w:val="single" w:sz="4" w:space="0" w:color="auto"/>
        </w:pBdr>
        <w:shd w:val="clear" w:color="auto" w:fill="auto"/>
        <w:tabs>
          <w:tab w:pos="378" w:val="left"/>
        </w:tabs>
        <w:bidi w:val="0"/>
        <w:spacing w:before="0" w:after="280" w:line="240" w:lineRule="auto"/>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4</w:t>
      </w:r>
      <w:bookmarkEnd w:id="386"/>
      <w:r>
        <w:rPr>
          <w:color w:val="000000"/>
          <w:spacing w:val="0"/>
          <w:w w:val="100"/>
          <w:position w:val="0"/>
        </w:rPr>
        <w:t>、</w:t>
        <w:tab/>
        <w:t>关联债权债务往来</w:t>
      </w:r>
      <w:bookmarkEnd w:id="384"/>
      <w:bookmarkEnd w:id="385"/>
      <w:bookmarkEnd w:id="387"/>
    </w:p>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80" w:line="319" w:lineRule="exact"/>
        <w:ind w:left="0" w:right="0" w:firstLine="0"/>
        <w:jc w:val="left"/>
      </w:pPr>
      <w:r>
        <w:rPr>
          <w:color w:val="000000"/>
          <w:spacing w:val="0"/>
          <w:w w:val="100"/>
          <w:position w:val="0"/>
        </w:rPr>
        <w:t>公司报告期不存在关联债权债务往来。</w:t>
      </w:r>
    </w:p>
    <w:p>
      <w:pPr>
        <w:pStyle w:val="Style31"/>
        <w:keepNext/>
        <w:keepLines/>
        <w:widowControl w:val="0"/>
        <w:shd w:val="clear" w:color="auto" w:fill="auto"/>
        <w:tabs>
          <w:tab w:pos="378" w:val="left"/>
        </w:tabs>
        <w:bidi w:val="0"/>
        <w:spacing w:before="0" w:after="280" w:line="240" w:lineRule="auto"/>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5</w:t>
      </w:r>
      <w:bookmarkEnd w:id="390"/>
      <w:r>
        <w:rPr>
          <w:color w:val="000000"/>
          <w:spacing w:val="0"/>
          <w:w w:val="100"/>
          <w:position w:val="0"/>
        </w:rPr>
        <w:t>、</w:t>
        <w:tab/>
        <w:t>与存在关联关系的财务公司的往来情况</w:t>
      </w:r>
      <w:bookmarkEnd w:id="388"/>
      <w:bookmarkEnd w:id="389"/>
      <w:bookmarkEnd w:id="391"/>
    </w:p>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80" w:line="319" w:lineRule="exact"/>
        <w:ind w:left="0" w:right="0" w:firstLine="0"/>
        <w:jc w:val="left"/>
      </w:pPr>
      <w:r>
        <w:rPr>
          <w:color w:val="000000"/>
          <w:spacing w:val="0"/>
          <w:w w:val="100"/>
          <w:position w:val="0"/>
        </w:rPr>
        <w:t>公司与存在关联关系的财务公司与关联方之间不存在存款、贷款、授信或其他金融业务。</w:t>
      </w:r>
    </w:p>
    <w:p>
      <w:pPr>
        <w:pStyle w:val="Style31"/>
        <w:keepNext/>
        <w:keepLines/>
        <w:widowControl w:val="0"/>
        <w:shd w:val="clear" w:color="auto" w:fill="auto"/>
        <w:tabs>
          <w:tab w:pos="378" w:val="left"/>
        </w:tabs>
        <w:bidi w:val="0"/>
        <w:spacing w:before="0" w:after="280" w:line="240" w:lineRule="auto"/>
        <w:ind w:left="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6</w:t>
      </w:r>
      <w:bookmarkEnd w:id="394"/>
      <w:r>
        <w:rPr>
          <w:color w:val="000000"/>
          <w:spacing w:val="0"/>
          <w:w w:val="100"/>
          <w:position w:val="0"/>
        </w:rPr>
        <w:t>、</w:t>
        <w:tab/>
        <w:t>公司控股的财务公司与关联方的往来情况</w:t>
      </w:r>
      <w:bookmarkEnd w:id="392"/>
      <w:bookmarkEnd w:id="393"/>
      <w:bookmarkEnd w:id="395"/>
    </w:p>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80" w:line="319" w:lineRule="exact"/>
        <w:ind w:left="0" w:right="0" w:firstLine="0"/>
        <w:jc w:val="left"/>
      </w:pPr>
      <w:r>
        <w:rPr>
          <w:color w:val="000000"/>
          <w:spacing w:val="0"/>
          <w:w w:val="100"/>
          <w:position w:val="0"/>
        </w:rPr>
        <w:t>公司控股的财务公司与关联方之间不存在存款、贷款、授信或其他金融业务。</w:t>
      </w:r>
    </w:p>
    <w:p>
      <w:pPr>
        <w:pStyle w:val="Style31"/>
        <w:keepNext/>
        <w:keepLines/>
        <w:widowControl w:val="0"/>
        <w:shd w:val="clear" w:color="auto" w:fill="auto"/>
        <w:tabs>
          <w:tab w:pos="378" w:val="left"/>
        </w:tabs>
        <w:bidi w:val="0"/>
        <w:spacing w:before="0" w:after="280" w:line="240" w:lineRule="auto"/>
        <w:ind w:left="0" w:right="0" w:firstLine="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7</w:t>
      </w:r>
      <w:bookmarkEnd w:id="398"/>
      <w:r>
        <w:rPr>
          <w:color w:val="000000"/>
          <w:spacing w:val="0"/>
          <w:w w:val="100"/>
          <w:position w:val="0"/>
        </w:rPr>
        <w:t>、</w:t>
        <w:tab/>
        <w:t>其他重大关联交易</w:t>
      </w:r>
      <w:bookmarkEnd w:id="396"/>
      <w:bookmarkEnd w:id="397"/>
      <w:bookmarkEnd w:id="399"/>
    </w:p>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80" w:line="319" w:lineRule="exact"/>
        <w:ind w:left="0" w:right="0" w:firstLine="0"/>
        <w:jc w:val="left"/>
      </w:pPr>
      <w:r>
        <w:rPr>
          <w:color w:val="000000"/>
          <w:spacing w:val="0"/>
          <w:w w:val="100"/>
          <w:position w:val="0"/>
        </w:rPr>
        <w:t>公司报告期无其他重大关联交易。</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24"/>
          <w:szCs w:val="24"/>
        </w:rPr>
        <w:t>十五、重大合同及其履行情况</w:t>
      </w:r>
    </w:p>
    <w:p>
      <w:pPr>
        <w:pStyle w:val="Style31"/>
        <w:keepNext/>
        <w:keepLines/>
        <w:widowControl w:val="0"/>
        <w:shd w:val="clear" w:color="auto" w:fill="auto"/>
        <w:bidi w:val="0"/>
        <w:spacing w:before="0" w:after="380" w:line="240" w:lineRule="auto"/>
        <w:ind w:left="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1</w:t>
      </w:r>
      <w:bookmarkEnd w:id="402"/>
      <w:r>
        <w:rPr>
          <w:color w:val="000000"/>
          <w:spacing w:val="0"/>
          <w:w w:val="100"/>
          <w:position w:val="0"/>
        </w:rPr>
        <w:t>、托管、承包、租赁事项情况</w:t>
      </w:r>
      <w:bookmarkEnd w:id="400"/>
      <w:bookmarkEnd w:id="401"/>
      <w:bookmarkEnd w:id="403"/>
    </w:p>
    <w:p>
      <w:pPr>
        <w:pStyle w:val="Style31"/>
        <w:keepNext/>
        <w:keepLines/>
        <w:widowControl w:val="0"/>
        <w:shd w:val="clear" w:color="auto" w:fill="auto"/>
        <w:tabs>
          <w:tab w:pos="493" w:val="left"/>
        </w:tabs>
        <w:bidi w:val="0"/>
        <w:spacing w:before="0" w:after="380" w:line="240" w:lineRule="auto"/>
        <w:ind w:left="0" w:right="0" w:firstLine="0"/>
        <w:jc w:val="left"/>
      </w:pPr>
      <w:bookmarkStart w:id="400" w:name="bookmark400"/>
      <w:bookmarkStart w:id="401" w:name="bookmark401"/>
      <w:bookmarkStart w:id="404" w:name="bookmark404"/>
      <w:bookmarkStart w:id="405" w:name="bookmark405"/>
      <w:r>
        <w:rPr>
          <w:color w:val="000000"/>
          <w:spacing w:val="0"/>
          <w:w w:val="100"/>
          <w:position w:val="0"/>
        </w:rPr>
        <w:t>（</w:t>
      </w:r>
      <w:bookmarkEnd w:id="404"/>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00"/>
      <w:bookmarkEnd w:id="401"/>
      <w:bookmarkEnd w:id="405"/>
    </w:p>
    <w:p>
      <w:pPr>
        <w:pStyle w:val="Style20"/>
        <w:keepNext w:val="0"/>
        <w:keepLines w:val="0"/>
        <w:widowControl w:val="0"/>
        <w:numPr>
          <w:ilvl w:val="0"/>
          <w:numId w:val="37"/>
        </w:numPr>
        <w:shd w:val="clear" w:color="auto" w:fill="auto"/>
        <w:tabs>
          <w:tab w:pos="324" w:val="left"/>
        </w:tabs>
        <w:bidi w:val="0"/>
        <w:spacing w:before="0" w:after="0"/>
        <w:ind w:left="0" w:right="0" w:firstLine="0"/>
        <w:jc w:val="left"/>
      </w:pPr>
      <w:bookmarkStart w:id="406" w:name="bookmark406"/>
      <w:bookmarkEnd w:id="406"/>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0"/>
        <w:keepNext w:val="0"/>
        <w:keepLines w:val="0"/>
        <w:widowControl w:val="0"/>
        <w:shd w:val="clear" w:color="auto" w:fill="auto"/>
        <w:bidi w:val="0"/>
        <w:spacing w:before="0" w:after="380" w:line="319" w:lineRule="exact"/>
        <w:ind w:left="0" w:right="0" w:firstLine="0"/>
        <w:jc w:val="left"/>
      </w:pPr>
      <w:r>
        <w:rPr>
          <w:color w:val="000000"/>
          <w:spacing w:val="0"/>
          <w:w w:val="100"/>
          <w:position w:val="0"/>
        </w:rPr>
        <w:t>公司报告期不存在托管情况。</w:t>
      </w:r>
    </w:p>
    <w:p>
      <w:pPr>
        <w:pStyle w:val="Style31"/>
        <w:keepNext/>
        <w:keepLines/>
        <w:widowControl w:val="0"/>
        <w:shd w:val="clear" w:color="auto" w:fill="auto"/>
        <w:tabs>
          <w:tab w:pos="493" w:val="left"/>
        </w:tabs>
        <w:bidi w:val="0"/>
        <w:spacing w:before="0" w:after="380" w:line="240" w:lineRule="auto"/>
        <w:ind w:left="0" w:right="0" w:firstLine="0"/>
        <w:jc w:val="left"/>
      </w:pPr>
      <w:bookmarkStart w:id="407" w:name="bookmark407"/>
      <w:bookmarkStart w:id="408" w:name="bookmark408"/>
      <w:bookmarkStart w:id="409" w:name="bookmark409"/>
      <w:bookmarkStart w:id="410" w:name="bookmark410"/>
      <w:r>
        <w:rPr>
          <w:color w:val="000000"/>
          <w:spacing w:val="0"/>
          <w:w w:val="100"/>
          <w:position w:val="0"/>
        </w:rPr>
        <w:t>（</w:t>
      </w:r>
      <w:bookmarkEnd w:id="409"/>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07"/>
      <w:bookmarkEnd w:id="408"/>
      <w:bookmarkEnd w:id="410"/>
    </w:p>
    <w:p>
      <w:pPr>
        <w:pStyle w:val="Style20"/>
        <w:keepNext w:val="0"/>
        <w:keepLines w:val="0"/>
        <w:widowControl w:val="0"/>
        <w:numPr>
          <w:ilvl w:val="0"/>
          <w:numId w:val="37"/>
        </w:numPr>
        <w:shd w:val="clear" w:color="auto" w:fill="auto"/>
        <w:tabs>
          <w:tab w:pos="324" w:val="left"/>
        </w:tabs>
        <w:bidi w:val="0"/>
        <w:spacing w:before="0" w:after="0"/>
        <w:ind w:left="0" w:right="0" w:firstLine="0"/>
        <w:jc w:val="left"/>
      </w:pPr>
      <w:bookmarkStart w:id="411" w:name="bookmark411"/>
      <w:bookmarkEnd w:id="411"/>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0"/>
        <w:keepNext w:val="0"/>
        <w:keepLines w:val="0"/>
        <w:widowControl w:val="0"/>
        <w:shd w:val="clear" w:color="auto" w:fill="auto"/>
        <w:bidi w:val="0"/>
        <w:spacing w:before="0" w:after="380" w:line="319" w:lineRule="exact"/>
        <w:ind w:left="0" w:right="0" w:firstLine="0"/>
        <w:jc w:val="left"/>
      </w:pPr>
      <w:r>
        <w:rPr>
          <w:color w:val="000000"/>
          <w:spacing w:val="0"/>
          <w:w w:val="100"/>
          <w:position w:val="0"/>
        </w:rPr>
        <w:t>公司报告期不存在承包情况。</w:t>
      </w:r>
    </w:p>
    <w:p>
      <w:pPr>
        <w:pStyle w:val="Style31"/>
        <w:keepNext/>
        <w:keepLines/>
        <w:widowControl w:val="0"/>
        <w:shd w:val="clear" w:color="auto" w:fill="auto"/>
        <w:tabs>
          <w:tab w:pos="493" w:val="left"/>
        </w:tabs>
        <w:bidi w:val="0"/>
        <w:spacing w:before="0" w:after="380" w:line="240" w:lineRule="auto"/>
        <w:ind w:left="0" w:right="0" w:firstLine="0"/>
        <w:jc w:val="left"/>
      </w:pPr>
      <w:bookmarkStart w:id="412" w:name="bookmark412"/>
      <w:bookmarkStart w:id="413" w:name="bookmark413"/>
      <w:bookmarkStart w:id="414" w:name="bookmark414"/>
      <w:bookmarkStart w:id="415" w:name="bookmark415"/>
      <w:r>
        <w:rPr>
          <w:color w:val="000000"/>
          <w:spacing w:val="0"/>
          <w:w w:val="100"/>
          <w:position w:val="0"/>
        </w:rPr>
        <w:t>（</w:t>
      </w:r>
      <w:bookmarkEnd w:id="414"/>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12"/>
      <w:bookmarkEnd w:id="413"/>
      <w:bookmarkEnd w:id="415"/>
    </w:p>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租赁情况说明</w:t>
      </w:r>
    </w:p>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（一）报告期内，公司作为承租方的租赁事项主要有：</w:t>
      </w:r>
    </w:p>
    <w:p>
      <w:pPr>
        <w:pStyle w:val="Style20"/>
        <w:keepNext w:val="0"/>
        <w:keepLines w:val="0"/>
        <w:widowControl w:val="0"/>
        <w:numPr>
          <w:ilvl w:val="0"/>
          <w:numId w:val="39"/>
        </w:numPr>
        <w:shd w:val="clear" w:color="auto" w:fill="auto"/>
        <w:bidi w:val="0"/>
        <w:spacing w:before="0" w:after="0" w:line="319" w:lineRule="exact"/>
        <w:ind w:left="0" w:right="0" w:firstLine="0"/>
        <w:jc w:val="left"/>
      </w:pPr>
      <w:bookmarkStart w:id="416" w:name="bookmark416"/>
      <w:bookmarkEnd w:id="416"/>
      <w:r>
        <w:rPr>
          <w:color w:val="000000"/>
          <w:spacing w:val="0"/>
          <w:w w:val="100"/>
          <w:position w:val="0"/>
        </w:rPr>
        <w:t>公司与上海杨浦知识创新区投资发展有限公司（以下简称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上海杨浦知识创新区投资</w:t>
      </w:r>
      <w:r>
        <w:rPr>
          <w:rFonts w:ascii="Times New Roman" w:eastAsia="Times New Roman" w:hAnsi="Times New Roman" w:cs="Times New Roman"/>
          <w:color w:val="000000"/>
          <w:spacing w:val="0"/>
          <w:w w:val="100"/>
          <w:position w:val="0"/>
        </w:rPr>
        <w:t>”</w:t>
      </w:r>
      <w:r>
        <w:rPr>
          <w:color w:val="000000"/>
          <w:spacing w:val="0"/>
          <w:w w:val="100"/>
          <w:position w:val="0"/>
        </w:rPr>
        <w:t>）签订房屋租赁合同情况：</w:t>
      </w:r>
    </w:p>
    <w:p>
      <w:pPr>
        <w:pStyle w:val="Style20"/>
        <w:keepNext w:val="0"/>
        <w:keepLines w:val="0"/>
        <w:widowControl w:val="0"/>
        <w:shd w:val="clear" w:color="auto" w:fill="auto"/>
        <w:bidi w:val="0"/>
        <w:spacing w:before="0" w:after="0" w:line="326" w:lineRule="exact"/>
        <w:ind w:left="0" w:right="0" w:firstLine="0"/>
        <w:jc w:val="left"/>
      </w:pPr>
      <w:bookmarkStart w:id="417" w:name="bookmark417"/>
      <w:r>
        <w:rPr>
          <w:color w:val="000000"/>
          <w:spacing w:val="0"/>
          <w:w w:val="100"/>
          <w:position w:val="0"/>
        </w:rPr>
        <w:t>（</w:t>
      </w:r>
      <w:bookmarkEnd w:id="417"/>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月，双方约定公司向上海杨浦知识创新区投资租入建筑面积为</w:t>
      </w:r>
      <w:r>
        <w:rPr>
          <w:rFonts w:ascii="Times New Roman" w:eastAsia="Times New Roman" w:hAnsi="Times New Roman" w:cs="Times New Roman"/>
          <w:color w:val="000000"/>
          <w:spacing w:val="0"/>
          <w:w w:val="100"/>
          <w:position w:val="0"/>
        </w:rPr>
        <w:t>13,113.83</w:t>
      </w:r>
      <w:r>
        <w:rPr>
          <w:color w:val="000000"/>
          <w:spacing w:val="0"/>
          <w:w w:val="100"/>
          <w:position w:val="0"/>
        </w:rPr>
        <w:t>平方米、土地面积为</w:t>
      </w:r>
      <w:r>
        <w:rPr>
          <w:rFonts w:ascii="Times New Roman" w:eastAsia="Times New Roman" w:hAnsi="Times New Roman" w:cs="Times New Roman"/>
          <w:color w:val="000000"/>
          <w:spacing w:val="0"/>
          <w:w w:val="100"/>
          <w:position w:val="0"/>
        </w:rPr>
        <w:t>7,900</w:t>
      </w:r>
      <w:r>
        <w:rPr>
          <w:color w:val="000000"/>
          <w:spacing w:val="0"/>
          <w:w w:val="100"/>
          <w:position w:val="0"/>
        </w:rPr>
        <w:t>平方米的房 屋，作为创意产业园使用，以商务办公为主。</w:t>
      </w:r>
    </w:p>
    <w:p>
      <w:pPr>
        <w:pStyle w:val="Style2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租赁期限自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日起至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日止，租金水平为：</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日期间，租金按</w:t>
      </w:r>
      <w:r>
        <w:rPr>
          <w:rFonts w:ascii="Times New Roman" w:eastAsia="Times New Roman" w:hAnsi="Times New Roman" w:cs="Times New Roman"/>
          <w:color w:val="000000"/>
          <w:spacing w:val="0"/>
          <w:w w:val="100"/>
          <w:position w:val="0"/>
        </w:rPr>
        <w:t>2.50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平 方米</w:t>
      </w:r>
      <w:r>
        <w:rPr>
          <w:rFonts w:ascii="Times New Roman" w:eastAsia="Times New Roman" w:hAnsi="Times New Roman" w:cs="Times New Roman"/>
          <w:color w:val="000000"/>
          <w:spacing w:val="0"/>
          <w:w w:val="100"/>
          <w:position w:val="0"/>
        </w:rPr>
        <w:t>/</w:t>
      </w:r>
      <w:r>
        <w:rPr>
          <w:color w:val="000000"/>
          <w:spacing w:val="0"/>
          <w:w w:val="100"/>
          <w:position w:val="0"/>
        </w:rPr>
        <w:t>天执行，年租金为</w:t>
      </w:r>
      <w:r>
        <w:rPr>
          <w:rFonts w:ascii="Times New Roman" w:eastAsia="Times New Roman" w:hAnsi="Times New Roman" w:cs="Times New Roman"/>
          <w:color w:val="000000"/>
          <w:spacing w:val="0"/>
          <w:w w:val="100"/>
          <w:position w:val="0"/>
        </w:rPr>
        <w:t>11,966,369.88</w:t>
      </w:r>
      <w:r>
        <w:rPr>
          <w:color w:val="000000"/>
          <w:spacing w:val="0"/>
          <w:w w:val="100"/>
          <w:position w:val="0"/>
        </w:rPr>
        <w:t>元（后根据补充协议，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日期间租金按</w:t>
      </w:r>
      <w:r>
        <w:rPr>
          <w:rFonts w:ascii="Times New Roman" w:eastAsia="Times New Roman" w:hAnsi="Times New Roman" w:cs="Times New Roman"/>
          <w:color w:val="000000"/>
          <w:spacing w:val="0"/>
          <w:w w:val="100"/>
          <w:position w:val="0"/>
        </w:rPr>
        <w:t>1.30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平方米</w:t>
      </w:r>
      <w:r>
        <w:rPr>
          <w:rFonts w:ascii="Times New Roman" w:eastAsia="Times New Roman" w:hAnsi="Times New Roman" w:cs="Times New Roman"/>
          <w:color w:val="000000"/>
          <w:spacing w:val="0"/>
          <w:w w:val="100"/>
          <w:position w:val="0"/>
        </w:rPr>
        <w:t>/</w:t>
      </w:r>
      <w:r>
        <w:rPr>
          <w:color w:val="000000"/>
          <w:spacing w:val="0"/>
          <w:w w:val="100"/>
          <w:position w:val="0"/>
        </w:rPr>
        <w:t>天执</w:t>
      </w:r>
    </w:p>
    <w:p>
      <w:pPr>
        <w:pStyle w:val="Style23"/>
        <w:keepNext w:val="0"/>
        <w:keepLines w:val="0"/>
        <w:widowControl w:val="0"/>
        <w:shd w:val="clear" w:color="auto" w:fill="auto"/>
        <w:bidi w:val="0"/>
        <w:spacing w:before="0" w:after="0" w:line="312" w:lineRule="exact"/>
        <w:ind w:left="0" w:right="0" w:firstLine="4940"/>
        <w:jc w:val="left"/>
      </w:pPr>
      <w:r>
        <w:rPr>
          <w:color w:val="000000"/>
          <w:spacing w:val="0"/>
          <w:w w:val="100"/>
          <w:position w:val="0"/>
          <w:u w:val="single"/>
        </w:rPr>
        <w:t>深圳市建筑科学研究院股份有限公司</w:t>
      </w:r>
      <w:r>
        <w:rPr>
          <w:rFonts w:ascii="Times New Roman" w:eastAsia="Times New Roman" w:hAnsi="Times New Roman" w:cs="Times New Roman"/>
          <w:color w:val="000000"/>
          <w:spacing w:val="0"/>
          <w:w w:val="100"/>
          <w:position w:val="0"/>
          <w:u w:val="single"/>
        </w:rPr>
        <w:t>2021</w:t>
      </w:r>
      <w:r>
        <w:rPr>
          <w:color w:val="000000"/>
          <w:spacing w:val="0"/>
          <w:w w:val="100"/>
          <w:position w:val="0"/>
          <w:u w:val="single"/>
        </w:rPr>
        <w:t xml:space="preserve">年年度报告全文 </w:t>
      </w:r>
      <w:r>
        <w:rPr>
          <w:color w:val="000000"/>
          <w:spacing w:val="0"/>
          <w:w w:val="100"/>
          <w:position w:val="0"/>
        </w:rPr>
        <w:t>行，该期间租金为</w:t>
      </w:r>
      <w:r>
        <w:rPr>
          <w:rFonts w:ascii="Times New Roman" w:eastAsia="Times New Roman" w:hAnsi="Times New Roman" w:cs="Times New Roman"/>
          <w:color w:val="000000"/>
          <w:spacing w:val="0"/>
          <w:w w:val="100"/>
          <w:position w:val="0"/>
        </w:rPr>
        <w:t>3,111,256.16</w:t>
      </w:r>
      <w:r>
        <w:rPr>
          <w:color w:val="000000"/>
          <w:spacing w:val="0"/>
          <w:w w:val="100"/>
          <w:position w:val="0"/>
        </w:rPr>
        <w:t>元）；</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日期间租金按</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平方米</w:t>
      </w:r>
      <w:r>
        <w:rPr>
          <w:rFonts w:ascii="Times New Roman" w:eastAsia="Times New Roman" w:hAnsi="Times New Roman" w:cs="Times New Roman"/>
          <w:color w:val="000000"/>
          <w:spacing w:val="0"/>
          <w:w w:val="100"/>
          <w:position w:val="0"/>
        </w:rPr>
        <w:t>/</w:t>
      </w:r>
      <w:r>
        <w:rPr>
          <w:color w:val="000000"/>
          <w:spacing w:val="0"/>
          <w:w w:val="100"/>
          <w:position w:val="0"/>
        </w:rPr>
        <w:t xml:space="preserve">天执行，年租金为 </w:t>
      </w:r>
      <w:r>
        <w:rPr>
          <w:rFonts w:ascii="Times New Roman" w:eastAsia="Times New Roman" w:hAnsi="Times New Roman" w:cs="Times New Roman"/>
          <w:color w:val="000000"/>
          <w:spacing w:val="0"/>
          <w:w w:val="100"/>
          <w:position w:val="0"/>
        </w:rPr>
        <w:t>13,163,006.86</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日期间租金按</w:t>
      </w:r>
      <w:r>
        <w:rPr>
          <w:rFonts w:ascii="Times New Roman" w:eastAsia="Times New Roman" w:hAnsi="Times New Roman" w:cs="Times New Roman"/>
          <w:color w:val="000000"/>
          <w:spacing w:val="0"/>
          <w:w w:val="100"/>
          <w:position w:val="0"/>
        </w:rPr>
        <w:t>3.025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平方米</w:t>
      </w:r>
      <w:r>
        <w:rPr>
          <w:rFonts w:ascii="Times New Roman" w:eastAsia="Times New Roman" w:hAnsi="Times New Roman" w:cs="Times New Roman"/>
          <w:color w:val="000000"/>
          <w:spacing w:val="0"/>
          <w:w w:val="100"/>
          <w:position w:val="0"/>
        </w:rPr>
        <w:t>/</w:t>
      </w:r>
      <w:r>
        <w:rPr>
          <w:color w:val="000000"/>
          <w:spacing w:val="0"/>
          <w:w w:val="100"/>
          <w:position w:val="0"/>
        </w:rPr>
        <w:t>天执行，年租金为</w:t>
      </w:r>
      <w:r>
        <w:rPr>
          <w:rFonts w:ascii="Times New Roman" w:eastAsia="Times New Roman" w:hAnsi="Times New Roman" w:cs="Times New Roman"/>
          <w:color w:val="000000"/>
          <w:spacing w:val="0"/>
          <w:w w:val="100"/>
          <w:position w:val="0"/>
        </w:rPr>
        <w:t>14,479,307.55</w:t>
      </w:r>
      <w:r>
        <w:rPr>
          <w:color w:val="000000"/>
          <w:spacing w:val="0"/>
          <w:w w:val="100"/>
          <w:position w:val="0"/>
        </w:rPr>
        <w:t>元。</w:t>
      </w:r>
    </w:p>
    <w:p>
      <w:pPr>
        <w:pStyle w:val="Style20"/>
        <w:keepNext w:val="0"/>
        <w:keepLines w:val="0"/>
        <w:widowControl w:val="0"/>
        <w:shd w:val="clear" w:color="auto" w:fill="auto"/>
        <w:tabs>
          <w:tab w:pos="481" w:val="left"/>
        </w:tabs>
        <w:bidi w:val="0"/>
        <w:spacing w:before="0" w:after="0" w:line="312" w:lineRule="exact"/>
        <w:ind w:left="0" w:right="0" w:firstLine="0"/>
        <w:jc w:val="left"/>
      </w:pPr>
      <w:bookmarkStart w:id="418" w:name="bookmark418"/>
      <w:r>
        <w:rPr>
          <w:color w:val="000000"/>
          <w:spacing w:val="0"/>
          <w:w w:val="100"/>
          <w:position w:val="0"/>
        </w:rPr>
        <w:t>（</w:t>
      </w:r>
      <w:bookmarkEnd w:id="418"/>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日，因地铁</w:t>
      </w:r>
      <w:r>
        <w:rPr>
          <w:rFonts w:ascii="Times New Roman" w:eastAsia="Times New Roman" w:hAnsi="Times New Roman" w:cs="Times New Roman"/>
          <w:color w:val="000000"/>
          <w:spacing w:val="0"/>
          <w:w w:val="100"/>
          <w:position w:val="0"/>
        </w:rPr>
        <w:t>18</w:t>
      </w:r>
      <w:r>
        <w:rPr>
          <w:color w:val="000000"/>
          <w:spacing w:val="0"/>
          <w:w w:val="100"/>
          <w:position w:val="0"/>
        </w:rPr>
        <w:t>号线施工需要征借上海杨浦知识创新区投资出租范围内的部分土地，双方就租赁事项签订 补充协议，租赁期限延长为</w:t>
      </w:r>
      <w:r>
        <w:rPr>
          <w:rFonts w:ascii="Times New Roman" w:eastAsia="Times New Roman" w:hAnsi="Times New Roman" w:cs="Times New Roman"/>
          <w:color w:val="000000"/>
          <w:spacing w:val="0"/>
          <w:w w:val="100"/>
          <w:position w:val="0"/>
        </w:rPr>
        <w:t>15</w:t>
      </w:r>
      <w:r>
        <w:rPr>
          <w:color w:val="000000"/>
          <w:spacing w:val="0"/>
          <w:w w:val="100"/>
          <w:position w:val="0"/>
        </w:rPr>
        <w:t>年，租赁期限自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日起至</w:t>
      </w:r>
      <w:r>
        <w:rPr>
          <w:rFonts w:ascii="Times New Roman" w:eastAsia="Times New Roman" w:hAnsi="Times New Roman" w:cs="Times New Roman"/>
          <w:color w:val="000000"/>
          <w:spacing w:val="0"/>
          <w:w w:val="100"/>
          <w:position w:val="0"/>
        </w:rPr>
        <w:t>2029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日止，十五年租赁期内，租金递增条款按原 合同执行，即每</w:t>
      </w:r>
      <w:r>
        <w:rPr>
          <w:rFonts w:ascii="Times New Roman" w:eastAsia="Times New Roman" w:hAnsi="Times New Roman" w:cs="Times New Roman"/>
          <w:color w:val="000000"/>
          <w:spacing w:val="0"/>
          <w:w w:val="100"/>
          <w:position w:val="0"/>
        </w:rPr>
        <w:t>3</w:t>
      </w:r>
      <w:r>
        <w:rPr>
          <w:color w:val="000000"/>
          <w:spacing w:val="0"/>
          <w:w w:val="100"/>
          <w:position w:val="0"/>
        </w:rPr>
        <w:t>年环比递增</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20"/>
        <w:keepNext w:val="0"/>
        <w:keepLines w:val="0"/>
        <w:widowControl w:val="0"/>
        <w:shd w:val="clear" w:color="auto" w:fill="auto"/>
        <w:tabs>
          <w:tab w:pos="481" w:val="left"/>
        </w:tabs>
        <w:bidi w:val="0"/>
        <w:spacing w:before="0" w:after="0" w:line="312" w:lineRule="exact"/>
        <w:ind w:left="0" w:right="0" w:firstLine="0"/>
        <w:jc w:val="left"/>
      </w:pPr>
      <w:bookmarkStart w:id="419" w:name="bookmark419"/>
      <w:r>
        <w:rPr>
          <w:color w:val="000000"/>
          <w:spacing w:val="0"/>
          <w:w w:val="100"/>
          <w:position w:val="0"/>
        </w:rPr>
        <w:t>（</w:t>
      </w:r>
      <w:bookmarkEnd w:id="419"/>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月，针对地铁施工，双方明确轨道建设期间的义务和权利，重新签订了补充协议，协议约定在地铁施工影响 期内，上海杨浦知识创新区投资对公司进行租金减免，减免总额为</w:t>
      </w:r>
      <w:r>
        <w:rPr>
          <w:rFonts w:ascii="Times New Roman" w:eastAsia="Times New Roman" w:hAnsi="Times New Roman" w:cs="Times New Roman"/>
          <w:color w:val="000000"/>
          <w:spacing w:val="0"/>
          <w:w w:val="100"/>
          <w:position w:val="0"/>
        </w:rPr>
        <w:t>520</w:t>
      </w:r>
      <w:r>
        <w:rPr>
          <w:color w:val="000000"/>
          <w:spacing w:val="0"/>
          <w:w w:val="100"/>
          <w:position w:val="0"/>
        </w:rPr>
        <w:t>万，影响期从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月开始，共</w:t>
      </w:r>
      <w:r>
        <w:rPr>
          <w:rFonts w:ascii="Times New Roman" w:eastAsia="Times New Roman" w:hAnsi="Times New Roman" w:cs="Times New Roman"/>
          <w:color w:val="000000"/>
          <w:spacing w:val="0"/>
          <w:w w:val="100"/>
          <w:position w:val="0"/>
        </w:rPr>
        <w:t>40</w:t>
      </w:r>
      <w:r>
        <w:rPr>
          <w:color w:val="000000"/>
          <w:spacing w:val="0"/>
          <w:w w:val="100"/>
          <w:position w:val="0"/>
        </w:rPr>
        <w:t>期。</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月到 期后，公司有权选择是否继续承租至</w:t>
      </w:r>
      <w:r>
        <w:rPr>
          <w:rFonts w:ascii="Times New Roman" w:eastAsia="Times New Roman" w:hAnsi="Times New Roman" w:cs="Times New Roman"/>
          <w:color w:val="000000"/>
          <w:spacing w:val="0"/>
          <w:w w:val="100"/>
          <w:position w:val="0"/>
        </w:rPr>
        <w:t>2029</w:t>
      </w:r>
      <w:r>
        <w:rPr>
          <w:color w:val="000000"/>
          <w:spacing w:val="0"/>
          <w:w w:val="100"/>
          <w:position w:val="0"/>
        </w:rPr>
        <w:t>年。本协议生效后，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日签订的补充协议自行终止。</w:t>
      </w:r>
    </w:p>
    <w:p>
      <w:pPr>
        <w:pStyle w:val="Style20"/>
        <w:keepNext w:val="0"/>
        <w:keepLines w:val="0"/>
        <w:widowControl w:val="0"/>
        <w:shd w:val="clear" w:color="auto" w:fill="auto"/>
        <w:tabs>
          <w:tab w:pos="481" w:val="left"/>
        </w:tabs>
        <w:bidi w:val="0"/>
        <w:spacing w:before="0" w:after="0" w:line="312" w:lineRule="exact"/>
        <w:ind w:left="0" w:right="0" w:firstLine="0"/>
        <w:jc w:val="left"/>
      </w:pPr>
      <w:bookmarkStart w:id="420" w:name="bookmark420"/>
      <w:r>
        <w:rPr>
          <w:color w:val="000000"/>
          <w:spacing w:val="0"/>
          <w:w w:val="100"/>
          <w:position w:val="0"/>
        </w:rPr>
        <w:t>（</w:t>
      </w:r>
      <w:bookmarkEnd w:id="420"/>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月，为响应国家新冠疫情政策，双方签订租金减免协议，减免</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2-3</w:t>
      </w:r>
      <w:r>
        <w:rPr>
          <w:color w:val="000000"/>
          <w:spacing w:val="0"/>
          <w:w w:val="100"/>
          <w:position w:val="0"/>
        </w:rPr>
        <w:t>月租金</w:t>
      </w:r>
      <w:r>
        <w:rPr>
          <w:rFonts w:ascii="Times New Roman" w:eastAsia="Times New Roman" w:hAnsi="Times New Roman" w:cs="Times New Roman"/>
          <w:color w:val="000000"/>
          <w:spacing w:val="0"/>
          <w:w w:val="100"/>
          <w:position w:val="0"/>
        </w:rPr>
        <w:t>745,308.30</w:t>
      </w:r>
      <w:r>
        <w:rPr>
          <w:color w:val="000000"/>
          <w:spacing w:val="0"/>
          <w:w w:val="100"/>
          <w:position w:val="0"/>
        </w:rPr>
        <w:t>元；另于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月签订租金减免协议，减免</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月租金</w:t>
      </w:r>
      <w:r>
        <w:rPr>
          <w:rFonts w:ascii="Times New Roman" w:eastAsia="Times New Roman" w:hAnsi="Times New Roman" w:cs="Times New Roman"/>
          <w:color w:val="000000"/>
          <w:spacing w:val="0"/>
          <w:w w:val="100"/>
          <w:position w:val="0"/>
        </w:rPr>
        <w:t>261,487.05</w:t>
      </w:r>
      <w:r>
        <w:rPr>
          <w:color w:val="000000"/>
          <w:spacing w:val="0"/>
          <w:w w:val="100"/>
          <w:position w:val="0"/>
        </w:rPr>
        <w:t>元。两次租金减免协议合计金额为</w:t>
      </w:r>
      <w:r>
        <w:rPr>
          <w:rFonts w:ascii="Times New Roman" w:eastAsia="Times New Roman" w:hAnsi="Times New Roman" w:cs="Times New Roman"/>
          <w:color w:val="000000"/>
          <w:spacing w:val="0"/>
          <w:w w:val="100"/>
          <w:position w:val="0"/>
        </w:rPr>
        <w:t>1,006,795.35</w:t>
      </w:r>
      <w:r>
        <w:rPr>
          <w:color w:val="000000"/>
          <w:spacing w:val="0"/>
          <w:w w:val="100"/>
          <w:position w:val="0"/>
        </w:rPr>
        <w:t>元。</w:t>
      </w:r>
    </w:p>
    <w:p>
      <w:pPr>
        <w:pStyle w:val="Style20"/>
        <w:keepNext w:val="0"/>
        <w:keepLines w:val="0"/>
        <w:widowControl w:val="0"/>
        <w:shd w:val="clear" w:color="auto" w:fill="auto"/>
        <w:tabs>
          <w:tab w:pos="481" w:val="left"/>
        </w:tabs>
        <w:bidi w:val="0"/>
        <w:spacing w:before="0" w:after="0" w:line="312" w:lineRule="exact"/>
        <w:ind w:left="0" w:right="0" w:firstLine="0"/>
        <w:jc w:val="left"/>
      </w:pPr>
      <w:bookmarkStart w:id="421" w:name="bookmark421"/>
      <w:r>
        <w:rPr>
          <w:color w:val="000000"/>
          <w:spacing w:val="0"/>
          <w:w w:val="100"/>
          <w:position w:val="0"/>
        </w:rPr>
        <w:t>（</w:t>
      </w:r>
      <w:bookmarkEnd w:id="421"/>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月，因地铁</w:t>
      </w:r>
      <w:r>
        <w:rPr>
          <w:rFonts w:ascii="Times New Roman" w:eastAsia="Times New Roman" w:hAnsi="Times New Roman" w:cs="Times New Roman"/>
          <w:color w:val="000000"/>
          <w:spacing w:val="0"/>
          <w:w w:val="100"/>
          <w:position w:val="0"/>
        </w:rPr>
        <w:t>18</w:t>
      </w:r>
      <w:r>
        <w:rPr>
          <w:color w:val="000000"/>
          <w:spacing w:val="0"/>
          <w:w w:val="100"/>
          <w:position w:val="0"/>
        </w:rPr>
        <w:t>号线建设要求，需要继续借用上海杨浦知识创新区出租范围内的部分场地作为施工临时用地， 重新签订了补充协议，约定继续借用土地和房屋的借地费用</w:t>
      </w:r>
      <w:r>
        <w:rPr>
          <w:rFonts w:ascii="Times New Roman" w:eastAsia="Times New Roman" w:hAnsi="Times New Roman" w:cs="Times New Roman"/>
          <w:color w:val="000000"/>
          <w:spacing w:val="0"/>
          <w:w w:val="100"/>
          <w:position w:val="0"/>
        </w:rPr>
        <w:t>1,519,034.00</w:t>
      </w:r>
      <w:r>
        <w:rPr>
          <w:color w:val="000000"/>
          <w:spacing w:val="0"/>
          <w:w w:val="100"/>
          <w:position w:val="0"/>
        </w:rPr>
        <w:t>元，从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日租金中等 额冲抵。</w:t>
      </w:r>
    </w:p>
    <w:p>
      <w:pPr>
        <w:pStyle w:val="Style20"/>
        <w:keepNext w:val="0"/>
        <w:keepLines w:val="0"/>
        <w:widowControl w:val="0"/>
        <w:numPr>
          <w:ilvl w:val="0"/>
          <w:numId w:val="39"/>
        </w:numPr>
        <w:shd w:val="clear" w:color="auto" w:fill="auto"/>
        <w:tabs>
          <w:tab w:pos="260" w:val="left"/>
        </w:tabs>
        <w:bidi w:val="0"/>
        <w:spacing w:before="0" w:after="0" w:line="312" w:lineRule="exact"/>
        <w:ind w:left="0" w:right="0" w:firstLine="0"/>
        <w:jc w:val="left"/>
      </w:pPr>
      <w:bookmarkStart w:id="422" w:name="bookmark422"/>
      <w:bookmarkEnd w:id="422"/>
      <w:r>
        <w:rPr>
          <w:color w:val="000000"/>
          <w:spacing w:val="0"/>
          <w:w w:val="100"/>
          <w:position w:val="0"/>
        </w:rPr>
        <w:t>公司子公司市政中心与信阳新投实业有限责任公司签订房屋租赁合同，租赁其位于深圳市福田区振兴路</w:t>
      </w:r>
      <w:r>
        <w:rPr>
          <w:rFonts w:ascii="Times New Roman" w:eastAsia="Times New Roman" w:hAnsi="Times New Roman" w:cs="Times New Roman"/>
          <w:color w:val="000000"/>
          <w:spacing w:val="0"/>
          <w:w w:val="100"/>
          <w:position w:val="0"/>
        </w:rPr>
        <w:t>3</w:t>
      </w:r>
      <w:r>
        <w:rPr>
          <w:color w:val="000000"/>
          <w:spacing w:val="0"/>
          <w:w w:val="100"/>
          <w:position w:val="0"/>
        </w:rPr>
        <w:t>号建艺大厦</w:t>
      </w:r>
      <w:r>
        <w:rPr>
          <w:rFonts w:ascii="Times New Roman" w:eastAsia="Times New Roman" w:hAnsi="Times New Roman" w:cs="Times New Roman"/>
          <w:color w:val="000000"/>
          <w:spacing w:val="0"/>
          <w:w w:val="100"/>
          <w:position w:val="0"/>
        </w:rPr>
        <w:t xml:space="preserve">17 </w:t>
      </w:r>
      <w:r>
        <w:rPr>
          <w:color w:val="000000"/>
          <w:spacing w:val="0"/>
          <w:w w:val="100"/>
          <w:position w:val="0"/>
        </w:rPr>
        <w:t>楼整层作为办公场所，建筑面积</w:t>
      </w:r>
      <w:r>
        <w:rPr>
          <w:rFonts w:ascii="Times New Roman" w:eastAsia="Times New Roman" w:hAnsi="Times New Roman" w:cs="Times New Roman"/>
          <w:color w:val="000000"/>
          <w:spacing w:val="0"/>
          <w:w w:val="100"/>
          <w:position w:val="0"/>
        </w:rPr>
        <w:t>1,909.17</w:t>
      </w:r>
      <w:r>
        <w:rPr>
          <w:color w:val="000000"/>
          <w:spacing w:val="0"/>
          <w:w w:val="100"/>
          <w:position w:val="0"/>
        </w:rPr>
        <w:t>平方米，租赁期为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0"/>
        <w:keepNext w:val="0"/>
        <w:keepLines w:val="0"/>
        <w:widowControl w:val="0"/>
        <w:numPr>
          <w:ilvl w:val="0"/>
          <w:numId w:val="39"/>
        </w:numPr>
        <w:shd w:val="clear" w:color="auto" w:fill="auto"/>
        <w:tabs>
          <w:tab w:pos="260" w:val="left"/>
        </w:tabs>
        <w:bidi w:val="0"/>
        <w:spacing w:before="0" w:after="0" w:line="312" w:lineRule="exact"/>
        <w:ind w:left="0" w:right="0" w:firstLine="0"/>
        <w:jc w:val="left"/>
      </w:pPr>
      <w:bookmarkStart w:id="423" w:name="bookmark423"/>
      <w:bookmarkEnd w:id="423"/>
      <w:r>
        <w:rPr>
          <w:color w:val="000000"/>
          <w:spacing w:val="0"/>
          <w:w w:val="100"/>
          <w:position w:val="0"/>
        </w:rPr>
        <w:t>公司子公司建研检测与深圳市联泰房地产开发有限公司签订房屋租赁合同，租赁其位于深圳市龙岗区坪地富坪中路</w:t>
      </w:r>
      <w:r>
        <w:rPr>
          <w:rFonts w:ascii="Times New Roman" w:eastAsia="Times New Roman" w:hAnsi="Times New Roman" w:cs="Times New Roman"/>
          <w:color w:val="000000"/>
          <w:spacing w:val="0"/>
          <w:w w:val="100"/>
          <w:position w:val="0"/>
        </w:rPr>
        <w:t>7</w:t>
      </w:r>
      <w:r>
        <w:rPr>
          <w:color w:val="000000"/>
          <w:spacing w:val="0"/>
          <w:w w:val="100"/>
          <w:position w:val="0"/>
        </w:rPr>
        <w:t>号 智居中心的房屋作为办公场所，建筑面积</w:t>
      </w:r>
      <w:r>
        <w:rPr>
          <w:rFonts w:ascii="Times New Roman" w:eastAsia="Times New Roman" w:hAnsi="Times New Roman" w:cs="Times New Roman"/>
          <w:color w:val="000000"/>
          <w:spacing w:val="0"/>
          <w:w w:val="100"/>
          <w:position w:val="0"/>
        </w:rPr>
        <w:t>4,553.4</w:t>
      </w:r>
      <w:r>
        <w:rPr>
          <w:color w:val="000000"/>
          <w:spacing w:val="0"/>
          <w:w w:val="100"/>
          <w:position w:val="0"/>
        </w:rPr>
        <w:t>平方米，租赁期为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0"/>
        <w:keepNext w:val="0"/>
        <w:keepLines w:val="0"/>
        <w:widowControl w:val="0"/>
        <w:numPr>
          <w:ilvl w:val="0"/>
          <w:numId w:val="39"/>
        </w:numPr>
        <w:shd w:val="clear" w:color="auto" w:fill="auto"/>
        <w:tabs>
          <w:tab w:pos="260" w:val="left"/>
        </w:tabs>
        <w:bidi w:val="0"/>
        <w:spacing w:before="0" w:after="0" w:line="312" w:lineRule="exact"/>
        <w:ind w:left="0" w:right="0" w:firstLine="0"/>
        <w:jc w:val="left"/>
      </w:pPr>
      <w:bookmarkStart w:id="424" w:name="bookmark424"/>
      <w:bookmarkEnd w:id="424"/>
      <w:r>
        <w:rPr>
          <w:color w:val="000000"/>
          <w:spacing w:val="0"/>
          <w:w w:val="100"/>
          <w:position w:val="0"/>
        </w:rPr>
        <w:t>公司及子公司北京艾科城与中关村发展集团股份有限公司签订租赁合同，租赁其位于北京市海淀区西三环北路甲</w:t>
      </w:r>
      <w:r>
        <w:rPr>
          <w:rFonts w:ascii="Times New Roman" w:eastAsia="Times New Roman" w:hAnsi="Times New Roman" w:cs="Times New Roman"/>
          <w:color w:val="000000"/>
          <w:spacing w:val="0"/>
          <w:w w:val="100"/>
          <w:position w:val="0"/>
        </w:rPr>
        <w:t>2</w:t>
      </w:r>
      <w:r>
        <w:rPr>
          <w:color w:val="000000"/>
          <w:spacing w:val="0"/>
          <w:w w:val="100"/>
          <w:position w:val="0"/>
        </w:rPr>
        <w:t>号院</w:t>
      </w:r>
      <w:r>
        <w:rPr>
          <w:rFonts w:ascii="Times New Roman" w:eastAsia="Times New Roman" w:hAnsi="Times New Roman" w:cs="Times New Roman"/>
          <w:color w:val="000000"/>
          <w:spacing w:val="0"/>
          <w:w w:val="100"/>
          <w:position w:val="0"/>
        </w:rPr>
        <w:t xml:space="preserve">7 </w:t>
      </w:r>
      <w:r>
        <w:rPr>
          <w:color w:val="000000"/>
          <w:spacing w:val="0"/>
          <w:w w:val="100"/>
          <w:position w:val="0"/>
        </w:rPr>
        <w:t>号楼</w:t>
      </w:r>
      <w:r>
        <w:rPr>
          <w:rFonts w:ascii="Times New Roman" w:eastAsia="Times New Roman" w:hAnsi="Times New Roman" w:cs="Times New Roman"/>
          <w:color w:val="000000"/>
          <w:spacing w:val="0"/>
          <w:w w:val="100"/>
          <w:position w:val="0"/>
        </w:rPr>
        <w:t>BD</w:t>
      </w:r>
      <w:r>
        <w:rPr>
          <w:color w:val="000000"/>
          <w:spacing w:val="0"/>
          <w:w w:val="100"/>
          <w:position w:val="0"/>
        </w:rPr>
        <w:t>连廊之部分写字楼作为办公场所，建筑面积</w:t>
      </w:r>
      <w:r>
        <w:rPr>
          <w:rFonts w:ascii="Times New Roman" w:eastAsia="Times New Roman" w:hAnsi="Times New Roman" w:cs="Times New Roman"/>
          <w:color w:val="000000"/>
          <w:spacing w:val="0"/>
          <w:w w:val="100"/>
          <w:position w:val="0"/>
        </w:rPr>
        <w:t>965.58</w:t>
      </w:r>
      <w:r>
        <w:rPr>
          <w:color w:val="000000"/>
          <w:spacing w:val="0"/>
          <w:w w:val="100"/>
          <w:position w:val="0"/>
        </w:rPr>
        <w:t>平方米，租赁期为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月签 订续租协议约定租赁期限延至</w:t>
      </w: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p>
      <w:pPr>
        <w:pStyle w:val="Style20"/>
        <w:keepNext w:val="0"/>
        <w:keepLines w:val="0"/>
        <w:widowControl w:val="0"/>
        <w:numPr>
          <w:ilvl w:val="0"/>
          <w:numId w:val="39"/>
        </w:numPr>
        <w:shd w:val="clear" w:color="auto" w:fill="auto"/>
        <w:tabs>
          <w:tab w:pos="260" w:val="left"/>
        </w:tabs>
        <w:bidi w:val="0"/>
        <w:spacing w:before="0" w:after="0" w:line="312" w:lineRule="exact"/>
        <w:ind w:left="0" w:right="0" w:firstLine="0"/>
        <w:jc w:val="left"/>
      </w:pPr>
      <w:bookmarkStart w:id="425" w:name="bookmark425"/>
      <w:bookmarkEnd w:id="425"/>
      <w:r>
        <w:rPr>
          <w:color w:val="000000"/>
          <w:spacing w:val="0"/>
          <w:w w:val="100"/>
          <w:position w:val="0"/>
        </w:rPr>
        <w:t>公司子公司建研检测与深圳鑫德泰物业管理有限公司签订房屋租赁合同，租赁其位于深圳市龙岗区龙岗街道清水路</w:t>
      </w:r>
      <w:r>
        <w:rPr>
          <w:rFonts w:ascii="Times New Roman" w:eastAsia="Times New Roman" w:hAnsi="Times New Roman" w:cs="Times New Roman"/>
          <w:color w:val="000000"/>
          <w:spacing w:val="0"/>
          <w:w w:val="100"/>
          <w:position w:val="0"/>
        </w:rPr>
        <w:t>225</w:t>
      </w:r>
      <w:r>
        <w:rPr>
          <w:color w:val="000000"/>
          <w:spacing w:val="0"/>
          <w:w w:val="100"/>
          <w:position w:val="0"/>
        </w:rPr>
        <w:t>号 雄美工业园</w:t>
      </w:r>
      <w:r>
        <w:rPr>
          <w:rFonts w:ascii="Times New Roman" w:eastAsia="Times New Roman" w:hAnsi="Times New Roman" w:cs="Times New Roman"/>
          <w:color w:val="000000"/>
          <w:spacing w:val="0"/>
          <w:w w:val="100"/>
          <w:position w:val="0"/>
        </w:rPr>
        <w:t>10</w:t>
      </w:r>
      <w:r>
        <w:rPr>
          <w:color w:val="000000"/>
          <w:spacing w:val="0"/>
          <w:w w:val="100"/>
          <w:position w:val="0"/>
        </w:rPr>
        <w:t>号商铺作为实验室厂房，建筑面积</w:t>
      </w:r>
      <w:r>
        <w:rPr>
          <w:rFonts w:ascii="Times New Roman" w:eastAsia="Times New Roman" w:hAnsi="Times New Roman" w:cs="Times New Roman"/>
          <w:color w:val="000000"/>
          <w:spacing w:val="0"/>
          <w:w w:val="100"/>
          <w:position w:val="0"/>
        </w:rPr>
        <w:t>1650</w:t>
      </w:r>
      <w:r>
        <w:rPr>
          <w:color w:val="000000"/>
          <w:spacing w:val="0"/>
          <w:w w:val="100"/>
          <w:position w:val="0"/>
        </w:rPr>
        <w:t>平方米，租赁其位于宿舍四楼的五间房屋作为宿舍、办公使用，建筑 面积</w:t>
      </w:r>
      <w:r>
        <w:rPr>
          <w:rFonts w:ascii="Times New Roman" w:eastAsia="Times New Roman" w:hAnsi="Times New Roman" w:cs="Times New Roman"/>
          <w:color w:val="000000"/>
          <w:spacing w:val="0"/>
          <w:w w:val="100"/>
          <w:position w:val="0"/>
        </w:rPr>
        <w:t>180</w:t>
      </w:r>
      <w:r>
        <w:rPr>
          <w:color w:val="000000"/>
          <w:spacing w:val="0"/>
          <w:w w:val="100"/>
          <w:position w:val="0"/>
        </w:rPr>
        <w:t>平方米，租赁期为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日至</w:t>
      </w: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p>
      <w:pPr>
        <w:pStyle w:val="Style20"/>
        <w:keepNext w:val="0"/>
        <w:keepLines w:val="0"/>
        <w:widowControl w:val="0"/>
        <w:numPr>
          <w:ilvl w:val="0"/>
          <w:numId w:val="39"/>
        </w:numPr>
        <w:shd w:val="clear" w:color="auto" w:fill="auto"/>
        <w:tabs>
          <w:tab w:pos="255" w:val="left"/>
        </w:tabs>
        <w:bidi w:val="0"/>
        <w:spacing w:before="0" w:after="0" w:line="312" w:lineRule="exact"/>
        <w:ind w:left="0" w:right="0" w:firstLine="0"/>
        <w:jc w:val="left"/>
      </w:pPr>
      <w:bookmarkStart w:id="426" w:name="bookmark426"/>
      <w:bookmarkEnd w:id="426"/>
      <w:r>
        <w:rPr>
          <w:color w:val="000000"/>
          <w:spacing w:val="0"/>
          <w:w w:val="100"/>
          <w:position w:val="0"/>
        </w:rPr>
        <w:t>公司子公司绿研检验与保定春红制衣有限公司签订租赁合同，租赁其位于容城县贾光乡城子村开发路（广通街）旁场地 内南侧共三栋一层房屋，东侧一栋二层房屋和西侧一栋二层房屋的二层及院内场地作为实验室、办公及员工宿舍使用，建 筑面积约</w:t>
      </w:r>
      <w:r>
        <w:rPr>
          <w:rFonts w:ascii="Times New Roman" w:eastAsia="Times New Roman" w:hAnsi="Times New Roman" w:cs="Times New Roman"/>
          <w:color w:val="000000"/>
          <w:spacing w:val="0"/>
          <w:w w:val="100"/>
          <w:position w:val="0"/>
        </w:rPr>
        <w:t>3300</w:t>
      </w:r>
      <w:r>
        <w:rPr>
          <w:color w:val="000000"/>
          <w:spacing w:val="0"/>
          <w:w w:val="100"/>
          <w:position w:val="0"/>
        </w:rPr>
        <w:t>平方米，租赁期为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月，双方就增加租赁范围、提高原有部分租赁范 围租赁标准事宜签订了补充协议，增加租赁场地北侧一栋二层房屋的一层，房屋出租面积为</w:t>
      </w:r>
      <w:r>
        <w:rPr>
          <w:rFonts w:ascii="Times New Roman" w:eastAsia="Times New Roman" w:hAnsi="Times New Roman" w:cs="Times New Roman"/>
          <w:color w:val="000000"/>
          <w:spacing w:val="0"/>
          <w:w w:val="100"/>
          <w:position w:val="0"/>
        </w:rPr>
        <w:t>16 0</w:t>
      </w:r>
      <w:r>
        <w:rPr>
          <w:color w:val="000000"/>
          <w:spacing w:val="0"/>
          <w:w w:val="100"/>
          <w:position w:val="0"/>
        </w:rPr>
        <w:t>平方米，共</w:t>
      </w:r>
      <w:r>
        <w:rPr>
          <w:rFonts w:ascii="Times New Roman" w:eastAsia="Times New Roman" w:hAnsi="Times New Roman" w:cs="Times New Roman"/>
          <w:color w:val="000000"/>
          <w:spacing w:val="0"/>
          <w:w w:val="100"/>
          <w:position w:val="0"/>
        </w:rPr>
        <w:t>8</w:t>
      </w:r>
      <w:r>
        <w:rPr>
          <w:color w:val="000000"/>
          <w:spacing w:val="0"/>
          <w:w w:val="100"/>
          <w:position w:val="0"/>
        </w:rPr>
        <w:t>间，南侧一栋 平房，房屋出租面积</w:t>
      </w:r>
      <w:r>
        <w:rPr>
          <w:rFonts w:ascii="Times New Roman" w:eastAsia="Times New Roman" w:hAnsi="Times New Roman" w:cs="Times New Roman"/>
          <w:color w:val="000000"/>
          <w:spacing w:val="0"/>
          <w:w w:val="100"/>
          <w:position w:val="0"/>
        </w:rPr>
        <w:t>120</w:t>
      </w:r>
      <w:r>
        <w:rPr>
          <w:color w:val="000000"/>
          <w:spacing w:val="0"/>
          <w:w w:val="100"/>
          <w:position w:val="0"/>
        </w:rPr>
        <w:t>平方米，共</w:t>
      </w:r>
      <w:r>
        <w:rPr>
          <w:rFonts w:ascii="Times New Roman" w:eastAsia="Times New Roman" w:hAnsi="Times New Roman" w:cs="Times New Roman"/>
          <w:color w:val="000000"/>
          <w:spacing w:val="0"/>
          <w:w w:val="100"/>
          <w:position w:val="0"/>
        </w:rPr>
        <w:t>6</w:t>
      </w:r>
      <w:r>
        <w:rPr>
          <w:color w:val="000000"/>
          <w:spacing w:val="0"/>
          <w:w w:val="100"/>
          <w:position w:val="0"/>
        </w:rPr>
        <w:t>间。</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（二）报告期内，公司作为出租方的租赁事项主要有：</w:t>
      </w:r>
    </w:p>
    <w:p>
      <w:pPr>
        <w:pStyle w:val="Style20"/>
        <w:keepNext w:val="0"/>
        <w:keepLines w:val="0"/>
        <w:widowControl w:val="0"/>
        <w:numPr>
          <w:ilvl w:val="0"/>
          <w:numId w:val="41"/>
        </w:numPr>
        <w:shd w:val="clear" w:color="auto" w:fill="auto"/>
        <w:tabs>
          <w:tab w:pos="250" w:val="left"/>
        </w:tabs>
        <w:bidi w:val="0"/>
        <w:spacing w:before="0" w:after="0" w:line="312" w:lineRule="exact"/>
        <w:ind w:left="0" w:right="0" w:firstLine="0"/>
        <w:jc w:val="left"/>
      </w:pPr>
      <w:bookmarkStart w:id="427" w:name="bookmark427"/>
      <w:bookmarkEnd w:id="427"/>
      <w:r>
        <w:rPr>
          <w:color w:val="000000"/>
          <w:spacing w:val="0"/>
          <w:w w:val="100"/>
          <w:position w:val="0"/>
        </w:rPr>
        <w:t>公司将位于深圳市福田区上梅林梅坳三路</w:t>
      </w:r>
      <w:r>
        <w:rPr>
          <w:rFonts w:ascii="Times New Roman" w:eastAsia="Times New Roman" w:hAnsi="Times New Roman" w:cs="Times New Roman"/>
          <w:color w:val="000000"/>
          <w:spacing w:val="0"/>
          <w:w w:val="100"/>
          <w:position w:val="0"/>
        </w:rPr>
        <w:t>29</w:t>
      </w:r>
      <w:r>
        <w:rPr>
          <w:color w:val="000000"/>
          <w:spacing w:val="0"/>
          <w:w w:val="100"/>
          <w:position w:val="0"/>
        </w:rPr>
        <w:t>号建科大楼部分房屋对外出租，报告期共有租户</w:t>
      </w:r>
      <w:r>
        <w:rPr>
          <w:rFonts w:ascii="Times New Roman" w:eastAsia="Times New Roman" w:hAnsi="Times New Roman" w:cs="Times New Roman"/>
          <w:color w:val="000000"/>
          <w:spacing w:val="0"/>
          <w:w w:val="100"/>
          <w:position w:val="0"/>
        </w:rPr>
        <w:t>4</w:t>
      </w:r>
      <w:r>
        <w:rPr>
          <w:color w:val="000000"/>
          <w:spacing w:val="0"/>
          <w:w w:val="100"/>
          <w:position w:val="0"/>
        </w:rPr>
        <w:t>家，其中主要的租赁合同 有：</w:t>
      </w:r>
    </w:p>
    <w:p>
      <w:pPr>
        <w:pStyle w:val="Style20"/>
        <w:keepNext w:val="0"/>
        <w:keepLines w:val="0"/>
        <w:widowControl w:val="0"/>
        <w:shd w:val="clear" w:color="auto" w:fill="auto"/>
        <w:tabs>
          <w:tab w:pos="481" w:val="left"/>
        </w:tabs>
        <w:bidi w:val="0"/>
        <w:spacing w:before="0" w:after="0" w:line="312" w:lineRule="exact"/>
        <w:ind w:left="0" w:right="0" w:firstLine="0"/>
        <w:jc w:val="left"/>
      </w:pPr>
      <w:bookmarkStart w:id="428" w:name="bookmark428"/>
      <w:r>
        <w:rPr>
          <w:color w:val="000000"/>
          <w:spacing w:val="0"/>
          <w:w w:val="100"/>
          <w:position w:val="0"/>
        </w:rPr>
        <w:t>（</w:t>
      </w:r>
      <w:bookmarkEnd w:id="428"/>
      <w:r>
        <w:rPr>
          <w:rFonts w:ascii="Times New Roman" w:eastAsia="Times New Roman" w:hAnsi="Times New Roman" w:cs="Times New Roman"/>
          <w:color w:val="000000"/>
          <w:spacing w:val="0"/>
          <w:w w:val="100"/>
          <w:position w:val="0"/>
        </w:rPr>
        <w:t>1</w:t>
      </w:r>
      <w:r>
        <w:rPr>
          <w:color w:val="000000"/>
          <w:spacing w:val="0"/>
          <w:w w:val="100"/>
          <w:position w:val="0"/>
        </w:rPr>
        <w:t>）</w:t>
        <w:tab/>
        <w:t>公司将建科大楼之二层南、北区的房屋出租给深圳市红源旅游景观发展集团有限公司，建筑面积</w:t>
      </w:r>
      <w:r>
        <w:rPr>
          <w:rFonts w:ascii="Times New Roman" w:eastAsia="Times New Roman" w:hAnsi="Times New Roman" w:cs="Times New Roman"/>
          <w:color w:val="000000"/>
          <w:spacing w:val="0"/>
          <w:w w:val="100"/>
          <w:position w:val="0"/>
        </w:rPr>
        <w:t>1,050.38</w:t>
      </w:r>
      <w:r>
        <w:rPr>
          <w:color w:val="000000"/>
          <w:spacing w:val="0"/>
          <w:w w:val="100"/>
          <w:position w:val="0"/>
        </w:rPr>
        <w:t>平方米，租 赁期限为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年到期后续租二层北区，建筑面积</w:t>
      </w:r>
      <w:r>
        <w:rPr>
          <w:rFonts w:ascii="Times New Roman" w:eastAsia="Times New Roman" w:hAnsi="Times New Roman" w:cs="Times New Roman"/>
          <w:color w:val="000000"/>
          <w:spacing w:val="0"/>
          <w:w w:val="100"/>
          <w:position w:val="0"/>
        </w:rPr>
        <w:t>612.38</w:t>
      </w:r>
      <w:r>
        <w:rPr>
          <w:color w:val="000000"/>
          <w:spacing w:val="0"/>
          <w:w w:val="100"/>
          <w:position w:val="0"/>
        </w:rPr>
        <w:t>平方米，租赁期限为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0"/>
        <w:keepNext w:val="0"/>
        <w:keepLines w:val="0"/>
        <w:widowControl w:val="0"/>
        <w:shd w:val="clear" w:color="auto" w:fill="auto"/>
        <w:tabs>
          <w:tab w:pos="452" w:val="left"/>
        </w:tabs>
        <w:bidi w:val="0"/>
        <w:spacing w:before="0" w:after="0" w:line="312" w:lineRule="exact"/>
        <w:ind w:left="0" w:right="0" w:firstLine="0"/>
        <w:jc w:val="left"/>
      </w:pPr>
      <w:bookmarkStart w:id="429" w:name="bookmark429"/>
      <w:r>
        <w:rPr>
          <w:color w:val="000000"/>
          <w:spacing w:val="0"/>
          <w:w w:val="100"/>
          <w:position w:val="0"/>
        </w:rPr>
        <w:t>（</w:t>
      </w:r>
      <w:bookmarkEnd w:id="429"/>
      <w:r>
        <w:rPr>
          <w:rFonts w:ascii="Times New Roman" w:eastAsia="Times New Roman" w:hAnsi="Times New Roman" w:cs="Times New Roman"/>
          <w:color w:val="000000"/>
          <w:spacing w:val="0"/>
          <w:w w:val="100"/>
          <w:position w:val="0"/>
        </w:rPr>
        <w:t>2</w:t>
      </w:r>
      <w:r>
        <w:rPr>
          <w:color w:val="000000"/>
          <w:spacing w:val="0"/>
          <w:w w:val="100"/>
          <w:position w:val="0"/>
        </w:rPr>
        <w:t>）</w:t>
        <w:tab/>
        <w:t>公司将建科大楼之三层北区</w:t>
      </w:r>
      <w:r>
        <w:rPr>
          <w:rFonts w:ascii="Times New Roman" w:eastAsia="Times New Roman" w:hAnsi="Times New Roman" w:cs="Times New Roman"/>
          <w:color w:val="000000"/>
          <w:spacing w:val="0"/>
          <w:w w:val="100"/>
          <w:position w:val="0"/>
        </w:rPr>
        <w:t>3A</w:t>
      </w:r>
      <w:r>
        <w:rPr>
          <w:color w:val="000000"/>
          <w:spacing w:val="0"/>
          <w:w w:val="100"/>
          <w:position w:val="0"/>
        </w:rPr>
        <w:t>出租给深圳市福田区政府物业管理中心，建筑面积</w:t>
      </w:r>
      <w:r>
        <w:rPr>
          <w:rFonts w:ascii="Times New Roman" w:eastAsia="Times New Roman" w:hAnsi="Times New Roman" w:cs="Times New Roman"/>
          <w:color w:val="000000"/>
          <w:spacing w:val="0"/>
          <w:w w:val="100"/>
          <w:position w:val="0"/>
        </w:rPr>
        <w:t>253</w:t>
      </w:r>
      <w:r>
        <w:rPr>
          <w:color w:val="000000"/>
          <w:spacing w:val="0"/>
          <w:w w:val="100"/>
          <w:position w:val="0"/>
        </w:rPr>
        <w:t>平方米，租赁期限为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年到期后续租至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0"/>
        <w:keepNext w:val="0"/>
        <w:keepLines w:val="0"/>
        <w:widowControl w:val="0"/>
        <w:shd w:val="clear" w:color="auto" w:fill="auto"/>
        <w:tabs>
          <w:tab w:pos="481" w:val="left"/>
        </w:tabs>
        <w:bidi w:val="0"/>
        <w:spacing w:before="0" w:after="0" w:line="312" w:lineRule="exact"/>
        <w:ind w:left="0" w:right="0" w:firstLine="0"/>
        <w:jc w:val="left"/>
      </w:pPr>
      <w:bookmarkStart w:id="430" w:name="bookmark430"/>
      <w:r>
        <w:rPr>
          <w:color w:val="000000"/>
          <w:spacing w:val="0"/>
          <w:w w:val="100"/>
          <w:position w:val="0"/>
        </w:rPr>
        <w:t>（</w:t>
      </w:r>
      <w:bookmarkEnd w:id="430"/>
      <w:r>
        <w:rPr>
          <w:rFonts w:ascii="Times New Roman" w:eastAsia="Times New Roman" w:hAnsi="Times New Roman" w:cs="Times New Roman"/>
          <w:color w:val="000000"/>
          <w:spacing w:val="0"/>
          <w:w w:val="100"/>
          <w:position w:val="0"/>
        </w:rPr>
        <w:t>3</w:t>
      </w:r>
      <w:r>
        <w:rPr>
          <w:color w:val="000000"/>
          <w:spacing w:val="0"/>
          <w:w w:val="100"/>
          <w:position w:val="0"/>
        </w:rPr>
        <w:t>）</w:t>
        <w:tab/>
        <w:t>公司将建科大楼之四层北区的房屋出租给深圳市海德伦工程咨询有限公司，建筑面积</w:t>
      </w:r>
      <w:r>
        <w:rPr>
          <w:rFonts w:ascii="Times New Roman" w:eastAsia="Times New Roman" w:hAnsi="Times New Roman" w:cs="Times New Roman"/>
          <w:color w:val="000000"/>
          <w:spacing w:val="0"/>
          <w:w w:val="100"/>
          <w:position w:val="0"/>
        </w:rPr>
        <w:t>438</w:t>
      </w:r>
      <w:r>
        <w:rPr>
          <w:color w:val="000000"/>
          <w:spacing w:val="0"/>
          <w:w w:val="100"/>
          <w:position w:val="0"/>
        </w:rPr>
        <w:t>平方米，租赁期限为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年到期后续租至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0"/>
        <w:keepNext w:val="0"/>
        <w:keepLines w:val="0"/>
        <w:widowControl w:val="0"/>
        <w:shd w:val="clear" w:color="auto" w:fill="auto"/>
        <w:tabs>
          <w:tab w:pos="481" w:val="left"/>
        </w:tabs>
        <w:bidi w:val="0"/>
        <w:spacing w:before="0" w:after="0" w:line="312" w:lineRule="exact"/>
        <w:ind w:left="0" w:right="0" w:firstLine="0"/>
        <w:jc w:val="left"/>
      </w:pPr>
      <w:bookmarkStart w:id="431" w:name="bookmark431"/>
      <w:r>
        <w:rPr>
          <w:color w:val="000000"/>
          <w:spacing w:val="0"/>
          <w:w w:val="100"/>
          <w:position w:val="0"/>
        </w:rPr>
        <w:t>（</w:t>
      </w:r>
      <w:bookmarkEnd w:id="431"/>
      <w:r>
        <w:rPr>
          <w:rFonts w:ascii="Times New Roman" w:eastAsia="Times New Roman" w:hAnsi="Times New Roman" w:cs="Times New Roman"/>
          <w:color w:val="000000"/>
          <w:spacing w:val="0"/>
          <w:w w:val="100"/>
          <w:position w:val="0"/>
        </w:rPr>
        <w:t>4</w:t>
      </w:r>
      <w:r>
        <w:rPr>
          <w:color w:val="000000"/>
          <w:spacing w:val="0"/>
          <w:w w:val="100"/>
          <w:position w:val="0"/>
        </w:rPr>
        <w:t>）</w:t>
        <w:tab/>
        <w:t>公司将建科大楼之四层南区</w:t>
      </w:r>
      <w:r>
        <w:rPr>
          <w:rFonts w:ascii="Times New Roman" w:eastAsia="Times New Roman" w:hAnsi="Times New Roman" w:cs="Times New Roman"/>
          <w:color w:val="000000"/>
          <w:spacing w:val="0"/>
          <w:w w:val="100"/>
          <w:position w:val="0"/>
        </w:rPr>
        <w:t>4B</w:t>
      </w:r>
      <w:r>
        <w:rPr>
          <w:color w:val="000000"/>
          <w:spacing w:val="0"/>
          <w:w w:val="100"/>
          <w:position w:val="0"/>
        </w:rPr>
        <w:t>的房屋出租给深圳市海德伦工程咨询有限公司，建筑面积</w:t>
      </w:r>
      <w:r>
        <w:rPr>
          <w:rFonts w:ascii="Times New Roman" w:eastAsia="Times New Roman" w:hAnsi="Times New Roman" w:cs="Times New Roman"/>
          <w:color w:val="000000"/>
          <w:spacing w:val="0"/>
          <w:w w:val="100"/>
          <w:position w:val="0"/>
        </w:rPr>
        <w:t>336</w:t>
      </w:r>
      <w:r>
        <w:rPr>
          <w:color w:val="000000"/>
          <w:spacing w:val="0"/>
          <w:w w:val="100"/>
          <w:position w:val="0"/>
        </w:rPr>
        <w:t>平方米，租赁期限为</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年到期后续租至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0"/>
        <w:keepNext w:val="0"/>
        <w:keepLines w:val="0"/>
        <w:widowControl w:val="0"/>
        <w:numPr>
          <w:ilvl w:val="0"/>
          <w:numId w:val="41"/>
        </w:numPr>
        <w:shd w:val="clear" w:color="auto" w:fill="auto"/>
        <w:tabs>
          <w:tab w:pos="260" w:val="left"/>
        </w:tabs>
        <w:bidi w:val="0"/>
        <w:spacing w:before="0" w:after="0" w:line="312" w:lineRule="exact"/>
        <w:ind w:left="0" w:right="0" w:firstLine="0"/>
        <w:jc w:val="left"/>
      </w:pPr>
      <w:bookmarkStart w:id="432" w:name="bookmark432"/>
      <w:bookmarkEnd w:id="432"/>
      <w:r>
        <w:rPr>
          <w:color w:val="000000"/>
          <w:spacing w:val="0"/>
          <w:w w:val="100"/>
          <w:position w:val="0"/>
        </w:rPr>
        <w:t>公司子公司上海爱轲将位于上海市杨浦区江浦路</w:t>
      </w:r>
      <w:r>
        <w:rPr>
          <w:rFonts w:ascii="Times New Roman" w:eastAsia="Times New Roman" w:hAnsi="Times New Roman" w:cs="Times New Roman"/>
          <w:color w:val="000000"/>
          <w:spacing w:val="0"/>
          <w:w w:val="100"/>
          <w:position w:val="0"/>
        </w:rPr>
        <w:t>627</w:t>
      </w:r>
      <w:r>
        <w:rPr>
          <w:color w:val="000000"/>
          <w:spacing w:val="0"/>
          <w:w w:val="100"/>
          <w:position w:val="0"/>
        </w:rPr>
        <w:t>号上海</w:t>
      </w:r>
      <w:r>
        <w:rPr>
          <w:rFonts w:ascii="Times New Roman" w:eastAsia="Times New Roman" w:hAnsi="Times New Roman" w:cs="Times New Roman"/>
          <w:color w:val="000000"/>
          <w:spacing w:val="0"/>
          <w:w w:val="100"/>
          <w:position w:val="0"/>
        </w:rPr>
        <w:t>E</w:t>
      </w:r>
      <w:r>
        <w:rPr>
          <w:color w:val="000000"/>
          <w:spacing w:val="0"/>
          <w:w w:val="100"/>
          <w:position w:val="0"/>
        </w:rPr>
        <w:t>朋汇绿色建筑产业园对外出租，报告期内共有租户</w:t>
      </w:r>
      <w:r>
        <w:rPr>
          <w:rFonts w:ascii="Times New Roman" w:eastAsia="Times New Roman" w:hAnsi="Times New Roman" w:cs="Times New Roman"/>
          <w:color w:val="000000"/>
          <w:spacing w:val="0"/>
          <w:w w:val="100"/>
          <w:position w:val="0"/>
        </w:rPr>
        <w:t>24</w:t>
      </w:r>
      <w:r>
        <w:rPr>
          <w:color w:val="000000"/>
          <w:spacing w:val="0"/>
          <w:w w:val="100"/>
          <w:position w:val="0"/>
        </w:rPr>
        <w:t>家，其 中主要的租赁合同有：</w:t>
      </w:r>
    </w:p>
    <w:p>
      <w:pPr>
        <w:pStyle w:val="Style20"/>
        <w:keepNext w:val="0"/>
        <w:keepLines w:val="0"/>
        <w:widowControl w:val="0"/>
        <w:shd w:val="clear" w:color="auto" w:fill="auto"/>
        <w:bidi w:val="0"/>
        <w:spacing w:before="0" w:after="0" w:line="312" w:lineRule="exact"/>
        <w:ind w:left="0" w:right="0" w:firstLine="0"/>
        <w:jc w:val="left"/>
      </w:pPr>
      <w:bookmarkStart w:id="433" w:name="bookmark433"/>
      <w:r>
        <w:rPr>
          <w:color w:val="000000"/>
          <w:spacing w:val="0"/>
          <w:w w:val="100"/>
          <w:position w:val="0"/>
        </w:rPr>
        <w:t>（</w:t>
      </w:r>
      <w:bookmarkEnd w:id="433"/>
      <w:r>
        <w:rPr>
          <w:rFonts w:ascii="Times New Roman" w:eastAsia="Times New Roman" w:hAnsi="Times New Roman" w:cs="Times New Roman"/>
          <w:color w:val="000000"/>
          <w:spacing w:val="0"/>
          <w:w w:val="100"/>
          <w:position w:val="0"/>
        </w:rPr>
        <w:t>1</w:t>
      </w:r>
      <w:r>
        <w:rPr>
          <w:color w:val="000000"/>
          <w:spacing w:val="0"/>
          <w:w w:val="100"/>
          <w:position w:val="0"/>
        </w:rPr>
        <w:t>）上海爱轲将上海</w:t>
      </w:r>
      <w:r>
        <w:rPr>
          <w:rFonts w:ascii="Times New Roman" w:eastAsia="Times New Roman" w:hAnsi="Times New Roman" w:cs="Times New Roman"/>
          <w:color w:val="000000"/>
          <w:spacing w:val="0"/>
          <w:w w:val="100"/>
          <w:position w:val="0"/>
        </w:rPr>
        <w:t>E</w:t>
      </w:r>
      <w:r>
        <w:rPr>
          <w:color w:val="000000"/>
          <w:spacing w:val="0"/>
          <w:w w:val="100"/>
          <w:position w:val="0"/>
        </w:rPr>
        <w:t>朋汇之</w:t>
      </w:r>
      <w:r>
        <w:rPr>
          <w:rFonts w:ascii="Times New Roman" w:eastAsia="Times New Roman" w:hAnsi="Times New Roman" w:cs="Times New Roman"/>
          <w:color w:val="000000"/>
          <w:spacing w:val="0"/>
          <w:w w:val="100"/>
          <w:position w:val="0"/>
        </w:rPr>
        <w:t>31</w:t>
      </w:r>
      <w:r>
        <w:rPr>
          <w:color w:val="000000"/>
          <w:spacing w:val="0"/>
          <w:w w:val="100"/>
          <w:position w:val="0"/>
        </w:rPr>
        <w:t>幢</w:t>
      </w:r>
      <w:r>
        <w:rPr>
          <w:rFonts w:ascii="Times New Roman" w:eastAsia="Times New Roman" w:hAnsi="Times New Roman" w:cs="Times New Roman"/>
          <w:color w:val="000000"/>
          <w:spacing w:val="0"/>
          <w:w w:val="100"/>
          <w:position w:val="0"/>
        </w:rPr>
        <w:t>601</w:t>
      </w:r>
      <w:r>
        <w:rPr>
          <w:color w:val="000000"/>
          <w:spacing w:val="0"/>
          <w:w w:val="100"/>
          <w:position w:val="0"/>
        </w:rPr>
        <w:t>室的房屋出租给上海市杨浦区民政局（杨浦区社会组织创新实践基地），面积为</w:t>
      </w:r>
      <w:r>
        <w:rPr>
          <w:rFonts w:ascii="Times New Roman" w:eastAsia="Times New Roman" w:hAnsi="Times New Roman" w:cs="Times New Roman"/>
          <w:color w:val="000000"/>
          <w:spacing w:val="0"/>
          <w:w w:val="100"/>
          <w:position w:val="0"/>
        </w:rPr>
        <w:t xml:space="preserve">820 </w:t>
      </w:r>
      <w:r>
        <w:rPr>
          <w:color w:val="000000"/>
          <w:spacing w:val="0"/>
          <w:w w:val="100"/>
          <w:position w:val="0"/>
        </w:rPr>
        <w:t>平方米，租赁期为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年到期后续租至</w:t>
      </w: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p>
      <w:pPr>
        <w:pStyle w:val="Style20"/>
        <w:keepNext w:val="0"/>
        <w:keepLines w:val="0"/>
        <w:widowControl w:val="0"/>
        <w:shd w:val="clear" w:color="auto" w:fill="auto"/>
        <w:tabs>
          <w:tab w:pos="541" w:val="left"/>
        </w:tabs>
        <w:bidi w:val="0"/>
        <w:spacing w:before="0" w:after="0" w:line="312" w:lineRule="exact"/>
        <w:ind w:left="0" w:right="0" w:firstLine="0"/>
        <w:jc w:val="left"/>
      </w:pPr>
      <w:bookmarkStart w:id="434" w:name="bookmark434"/>
      <w:r>
        <w:rPr>
          <w:color w:val="000000"/>
          <w:spacing w:val="0"/>
          <w:w w:val="100"/>
          <w:position w:val="0"/>
        </w:rPr>
        <w:t>（</w:t>
      </w:r>
      <w:bookmarkEnd w:id="434"/>
      <w:r>
        <w:rPr>
          <w:rFonts w:ascii="Times New Roman" w:eastAsia="Times New Roman" w:hAnsi="Times New Roman" w:cs="Times New Roman"/>
          <w:color w:val="000000"/>
          <w:spacing w:val="0"/>
          <w:w w:val="100"/>
          <w:position w:val="0"/>
        </w:rPr>
        <w:t>2</w:t>
      </w:r>
      <w:r>
        <w:rPr>
          <w:color w:val="000000"/>
          <w:spacing w:val="0"/>
          <w:w w:val="100"/>
          <w:position w:val="0"/>
        </w:rPr>
        <w:t>）</w:t>
        <w:tab/>
        <w:t>上海爱轲将上海</w:t>
      </w:r>
      <w:r>
        <w:rPr>
          <w:rFonts w:ascii="Times New Roman" w:eastAsia="Times New Roman" w:hAnsi="Times New Roman" w:cs="Times New Roman"/>
          <w:color w:val="000000"/>
          <w:spacing w:val="0"/>
          <w:w w:val="100"/>
          <w:position w:val="0"/>
        </w:rPr>
        <w:t>E</w:t>
      </w:r>
      <w:r>
        <w:rPr>
          <w:color w:val="000000"/>
          <w:spacing w:val="0"/>
          <w:w w:val="100"/>
          <w:position w:val="0"/>
        </w:rPr>
        <w:t>朋汇之</w:t>
      </w:r>
      <w:r>
        <w:rPr>
          <w:rFonts w:ascii="Times New Roman" w:eastAsia="Times New Roman" w:hAnsi="Times New Roman" w:cs="Times New Roman"/>
          <w:color w:val="000000"/>
          <w:spacing w:val="0"/>
          <w:w w:val="100"/>
          <w:position w:val="0"/>
        </w:rPr>
        <w:t>31</w:t>
      </w:r>
      <w:r>
        <w:rPr>
          <w:color w:val="000000"/>
          <w:spacing w:val="0"/>
          <w:w w:val="100"/>
          <w:position w:val="0"/>
        </w:rPr>
        <w:t>幢</w:t>
      </w:r>
      <w:r>
        <w:rPr>
          <w:rFonts w:ascii="Times New Roman" w:eastAsia="Times New Roman" w:hAnsi="Times New Roman" w:cs="Times New Roman"/>
          <w:color w:val="000000"/>
          <w:spacing w:val="0"/>
          <w:w w:val="100"/>
          <w:position w:val="0"/>
        </w:rPr>
        <w:t>501</w:t>
      </w:r>
      <w:r>
        <w:rPr>
          <w:color w:val="000000"/>
          <w:spacing w:val="0"/>
          <w:w w:val="100"/>
          <w:position w:val="0"/>
        </w:rPr>
        <w:t>室的房屋出租给上海源净环境技术有限责任公司，面积为</w:t>
      </w:r>
      <w:r>
        <w:rPr>
          <w:rFonts w:ascii="Times New Roman" w:eastAsia="Times New Roman" w:hAnsi="Times New Roman" w:cs="Times New Roman"/>
          <w:color w:val="000000"/>
          <w:spacing w:val="0"/>
          <w:w w:val="100"/>
          <w:position w:val="0"/>
        </w:rPr>
        <w:t>820</w:t>
      </w:r>
      <w:r>
        <w:rPr>
          <w:color w:val="000000"/>
          <w:spacing w:val="0"/>
          <w:w w:val="100"/>
          <w:position w:val="0"/>
        </w:rPr>
        <w:t>平方米，租赁期为</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p>
      <w:pPr>
        <w:pStyle w:val="Style20"/>
        <w:keepNext w:val="0"/>
        <w:keepLines w:val="0"/>
        <w:widowControl w:val="0"/>
        <w:shd w:val="clear" w:color="auto" w:fill="auto"/>
        <w:bidi w:val="0"/>
        <w:spacing w:before="0" w:after="0" w:line="312" w:lineRule="exact"/>
        <w:ind w:left="0" w:right="0" w:firstLine="0"/>
        <w:jc w:val="left"/>
      </w:pPr>
      <w:bookmarkStart w:id="435" w:name="bookmark435"/>
      <w:r>
        <w:rPr>
          <w:color w:val="000000"/>
          <w:spacing w:val="0"/>
          <w:w w:val="100"/>
          <w:position w:val="0"/>
        </w:rPr>
        <w:t>（</w:t>
      </w:r>
      <w:bookmarkEnd w:id="435"/>
      <w:r>
        <w:rPr>
          <w:rFonts w:ascii="Times New Roman" w:eastAsia="Times New Roman" w:hAnsi="Times New Roman" w:cs="Times New Roman"/>
          <w:color w:val="000000"/>
          <w:spacing w:val="0"/>
          <w:w w:val="100"/>
          <w:position w:val="0"/>
        </w:rPr>
        <w:t>3</w:t>
      </w:r>
      <w:r>
        <w:rPr>
          <w:color w:val="000000"/>
          <w:spacing w:val="0"/>
          <w:w w:val="100"/>
          <w:position w:val="0"/>
        </w:rPr>
        <w:t>） 上海爱轲将上海</w:t>
      </w:r>
      <w:r>
        <w:rPr>
          <w:rFonts w:ascii="Times New Roman" w:eastAsia="Times New Roman" w:hAnsi="Times New Roman" w:cs="Times New Roman"/>
          <w:color w:val="000000"/>
          <w:spacing w:val="0"/>
          <w:w w:val="100"/>
          <w:position w:val="0"/>
        </w:rPr>
        <w:t>E</w:t>
      </w:r>
      <w:r>
        <w:rPr>
          <w:color w:val="000000"/>
          <w:spacing w:val="0"/>
          <w:w w:val="100"/>
          <w:position w:val="0"/>
        </w:rPr>
        <w:t>朋汇之</w:t>
      </w:r>
      <w:r>
        <w:rPr>
          <w:rFonts w:ascii="Times New Roman" w:eastAsia="Times New Roman" w:hAnsi="Times New Roman" w:cs="Times New Roman"/>
          <w:color w:val="000000"/>
          <w:spacing w:val="0"/>
          <w:w w:val="100"/>
          <w:position w:val="0"/>
        </w:rPr>
        <w:t>24</w:t>
      </w:r>
      <w:r>
        <w:rPr>
          <w:color w:val="000000"/>
          <w:spacing w:val="0"/>
          <w:w w:val="100"/>
          <w:position w:val="0"/>
        </w:rPr>
        <w:t>幢</w:t>
      </w:r>
      <w:r>
        <w:rPr>
          <w:rFonts w:ascii="Times New Roman" w:eastAsia="Times New Roman" w:hAnsi="Times New Roman" w:cs="Times New Roman"/>
          <w:color w:val="000000"/>
          <w:spacing w:val="0"/>
          <w:w w:val="100"/>
          <w:position w:val="0"/>
        </w:rPr>
        <w:t>108</w:t>
      </w:r>
      <w:r>
        <w:rPr>
          <w:color w:val="000000"/>
          <w:spacing w:val="0"/>
          <w:w w:val="100"/>
          <w:position w:val="0"/>
        </w:rPr>
        <w:t>室、</w:t>
      </w:r>
      <w:r>
        <w:rPr>
          <w:rFonts w:ascii="Times New Roman" w:eastAsia="Times New Roman" w:hAnsi="Times New Roman" w:cs="Times New Roman"/>
          <w:color w:val="000000"/>
          <w:spacing w:val="0"/>
          <w:w w:val="100"/>
          <w:position w:val="0"/>
        </w:rPr>
        <w:t>210</w:t>
      </w:r>
      <w:r>
        <w:rPr>
          <w:color w:val="000000"/>
          <w:spacing w:val="0"/>
          <w:w w:val="100"/>
          <w:position w:val="0"/>
        </w:rPr>
        <w:t>室的房屋出租给上海鸿沣餐饮有限公司，面积为</w:t>
      </w:r>
      <w:r>
        <w:rPr>
          <w:rFonts w:ascii="Times New Roman" w:eastAsia="Times New Roman" w:hAnsi="Times New Roman" w:cs="Times New Roman"/>
          <w:color w:val="000000"/>
          <w:spacing w:val="0"/>
          <w:w w:val="100"/>
          <w:position w:val="0"/>
        </w:rPr>
        <w:t>715.39</w:t>
      </w:r>
      <w:r>
        <w:rPr>
          <w:color w:val="000000"/>
          <w:spacing w:val="0"/>
          <w:w w:val="100"/>
          <w:position w:val="0"/>
        </w:rPr>
        <w:t>平方米，</w:t>
      </w:r>
      <w:r>
        <w:rPr>
          <w:rFonts w:ascii="Times New Roman" w:eastAsia="Times New Roman" w:hAnsi="Times New Roman" w:cs="Times New Roman"/>
          <w:color w:val="000000"/>
          <w:spacing w:val="0"/>
          <w:w w:val="100"/>
          <w:position w:val="0"/>
        </w:rPr>
        <w:t>108</w:t>
      </w:r>
      <w:r>
        <w:rPr>
          <w:color w:val="000000"/>
          <w:spacing w:val="0"/>
          <w:w w:val="100"/>
          <w:position w:val="0"/>
        </w:rPr>
        <w:t>室租赁期 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210</w:t>
      </w:r>
      <w:r>
        <w:rPr>
          <w:color w:val="000000"/>
          <w:spacing w:val="0"/>
          <w:w w:val="100"/>
          <w:position w:val="0"/>
        </w:rPr>
        <w:t>室租赁期为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r>
        <w:rPr>
          <w:rFonts w:ascii="Times New Roman" w:eastAsia="Times New Roman" w:hAnsi="Times New Roman" w:cs="Times New Roman"/>
          <w:color w:val="000000"/>
          <w:spacing w:val="0"/>
          <w:w w:val="100"/>
          <w:position w:val="0"/>
        </w:rPr>
        <w:t>210</w:t>
      </w:r>
      <w:r>
        <w:rPr>
          <w:color w:val="000000"/>
          <w:spacing w:val="0"/>
          <w:w w:val="100"/>
          <w:position w:val="0"/>
        </w:rPr>
        <w:t>室在</w:t>
      </w:r>
      <w:r>
        <w:rPr>
          <w:rFonts w:ascii="Times New Roman" w:eastAsia="Times New Roman" w:hAnsi="Times New Roman" w:cs="Times New Roman"/>
          <w:color w:val="000000"/>
          <w:spacing w:val="0"/>
          <w:w w:val="100"/>
          <w:position w:val="0"/>
        </w:rPr>
        <w:t>2021</w:t>
      </w:r>
      <w:r>
        <w:rPr>
          <w:color w:val="000000"/>
          <w:spacing w:val="0"/>
          <w:w w:val="100"/>
          <w:position w:val="0"/>
        </w:rPr>
        <w:t>年到期后续租至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p>
      <w:pPr>
        <w:pStyle w:val="Style20"/>
        <w:keepNext w:val="0"/>
        <w:keepLines w:val="0"/>
        <w:widowControl w:val="0"/>
        <w:shd w:val="clear" w:color="auto" w:fill="auto"/>
        <w:tabs>
          <w:tab w:pos="550" w:val="left"/>
        </w:tabs>
        <w:bidi w:val="0"/>
        <w:spacing w:before="0" w:after="0" w:line="312" w:lineRule="exact"/>
        <w:ind w:left="0" w:right="0" w:firstLine="0"/>
        <w:jc w:val="left"/>
      </w:pPr>
      <w:bookmarkStart w:id="436" w:name="bookmark436"/>
      <w:r>
        <w:rPr>
          <w:color w:val="000000"/>
          <w:spacing w:val="0"/>
          <w:w w:val="100"/>
          <w:position w:val="0"/>
        </w:rPr>
        <w:t>（</w:t>
      </w:r>
      <w:bookmarkEnd w:id="436"/>
      <w:r>
        <w:rPr>
          <w:rFonts w:ascii="Times New Roman" w:eastAsia="Times New Roman" w:hAnsi="Times New Roman" w:cs="Times New Roman"/>
          <w:color w:val="000000"/>
          <w:spacing w:val="0"/>
          <w:w w:val="100"/>
          <w:position w:val="0"/>
        </w:rPr>
        <w:t>4</w:t>
      </w:r>
      <w:r>
        <w:rPr>
          <w:color w:val="000000"/>
          <w:spacing w:val="0"/>
          <w:w w:val="100"/>
          <w:position w:val="0"/>
        </w:rPr>
        <w:t>）</w:t>
        <w:tab/>
        <w:t>上海爱轲将上海</w:t>
      </w:r>
      <w:r>
        <w:rPr>
          <w:rFonts w:ascii="Times New Roman" w:eastAsia="Times New Roman" w:hAnsi="Times New Roman" w:cs="Times New Roman"/>
          <w:color w:val="000000"/>
          <w:spacing w:val="0"/>
          <w:w w:val="100"/>
          <w:position w:val="0"/>
        </w:rPr>
        <w:t>E</w:t>
      </w:r>
      <w:r>
        <w:rPr>
          <w:color w:val="000000"/>
          <w:spacing w:val="0"/>
          <w:w w:val="100"/>
          <w:position w:val="0"/>
        </w:rPr>
        <w:t>朋汇之</w:t>
      </w:r>
      <w:r>
        <w:rPr>
          <w:rFonts w:ascii="Times New Roman" w:eastAsia="Times New Roman" w:hAnsi="Times New Roman" w:cs="Times New Roman"/>
          <w:color w:val="000000"/>
          <w:spacing w:val="0"/>
          <w:w w:val="100"/>
          <w:position w:val="0"/>
        </w:rPr>
        <w:t>24</w:t>
      </w:r>
      <w:r>
        <w:rPr>
          <w:color w:val="000000"/>
          <w:spacing w:val="0"/>
          <w:w w:val="100"/>
          <w:position w:val="0"/>
        </w:rPr>
        <w:t>幢</w:t>
      </w:r>
      <w:r>
        <w:rPr>
          <w:rFonts w:ascii="Times New Roman" w:eastAsia="Times New Roman" w:hAnsi="Times New Roman" w:cs="Times New Roman"/>
          <w:color w:val="000000"/>
          <w:spacing w:val="0"/>
          <w:w w:val="100"/>
          <w:position w:val="0"/>
        </w:rPr>
        <w:t>101</w:t>
      </w:r>
      <w:r>
        <w:rPr>
          <w:color w:val="000000"/>
          <w:spacing w:val="0"/>
          <w:w w:val="100"/>
          <w:position w:val="0"/>
        </w:rPr>
        <w:t>室的房屋出租给上海统一星巴克咖啡有限公司，建筑面积为</w:t>
      </w:r>
      <w:r>
        <w:rPr>
          <w:rFonts w:ascii="Times New Roman" w:eastAsia="Times New Roman" w:hAnsi="Times New Roman" w:cs="Times New Roman"/>
          <w:color w:val="000000"/>
          <w:spacing w:val="0"/>
          <w:w w:val="100"/>
          <w:position w:val="0"/>
        </w:rPr>
        <w:t>180</w:t>
      </w:r>
      <w:r>
        <w:rPr>
          <w:color w:val="000000"/>
          <w:spacing w:val="0"/>
          <w:w w:val="100"/>
          <w:position w:val="0"/>
        </w:rPr>
        <w:t xml:space="preserve">平方米，租赁期为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p>
      <w:pPr>
        <w:pStyle w:val="Style20"/>
        <w:keepNext w:val="0"/>
        <w:keepLines w:val="0"/>
        <w:widowControl w:val="0"/>
        <w:shd w:val="clear" w:color="auto" w:fill="auto"/>
        <w:bidi w:val="0"/>
        <w:spacing w:before="0" w:after="140" w:line="312"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20"/>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31"/>
        <w:keepNext/>
        <w:keepLines/>
        <w:widowControl w:val="0"/>
        <w:shd w:val="clear" w:color="auto" w:fill="auto"/>
        <w:bidi w:val="0"/>
        <w:spacing w:before="0" w:line="240" w:lineRule="auto"/>
        <w:ind w:left="0" w:right="0" w:firstLine="0"/>
        <w:jc w:val="both"/>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2</w:t>
      </w:r>
      <w:bookmarkEnd w:id="439"/>
      <w:r>
        <w:rPr>
          <w:color w:val="000000"/>
          <w:spacing w:val="0"/>
          <w:w w:val="100"/>
          <w:position w:val="0"/>
        </w:rPr>
        <w:t>、重大担保</w:t>
      </w:r>
      <w:bookmarkEnd w:id="437"/>
      <w:bookmarkEnd w:id="438"/>
      <w:bookmarkEnd w:id="440"/>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公司报告期不存在重大担保情况。</w:t>
      </w:r>
    </w:p>
    <w:p>
      <w:pPr>
        <w:pStyle w:val="Style31"/>
        <w:keepNext/>
        <w:keepLines/>
        <w:widowControl w:val="0"/>
        <w:shd w:val="clear" w:color="auto" w:fill="auto"/>
        <w:tabs>
          <w:tab w:pos="378" w:val="left"/>
        </w:tabs>
        <w:bidi w:val="0"/>
        <w:spacing w:before="0" w:line="240" w:lineRule="auto"/>
        <w:ind w:left="0" w:right="0" w:firstLine="0"/>
        <w:jc w:val="both"/>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3</w:t>
      </w:r>
      <w:bookmarkEnd w:id="443"/>
      <w:r>
        <w:rPr>
          <w:color w:val="000000"/>
          <w:spacing w:val="0"/>
          <w:w w:val="100"/>
          <w:position w:val="0"/>
        </w:rPr>
        <w:t>、</w:t>
        <w:tab/>
        <w:t>委托他人进行现金资产管理情况</w:t>
      </w:r>
      <w:bookmarkEnd w:id="441"/>
      <w:bookmarkEnd w:id="442"/>
      <w:bookmarkEnd w:id="444"/>
    </w:p>
    <w:p>
      <w:pPr>
        <w:pStyle w:val="Style31"/>
        <w:keepNext/>
        <w:keepLines/>
        <w:widowControl w:val="0"/>
        <w:shd w:val="clear" w:color="auto" w:fill="auto"/>
        <w:tabs>
          <w:tab w:pos="493" w:val="left"/>
        </w:tabs>
        <w:bidi w:val="0"/>
        <w:spacing w:before="0" w:line="240" w:lineRule="auto"/>
        <w:ind w:left="0" w:right="0" w:firstLine="0"/>
        <w:jc w:val="both"/>
      </w:pPr>
      <w:bookmarkStart w:id="441" w:name="bookmark441"/>
      <w:bookmarkStart w:id="442" w:name="bookmark442"/>
      <w:bookmarkStart w:id="445" w:name="bookmark445"/>
      <w:bookmarkStart w:id="446" w:name="bookmark446"/>
      <w:r>
        <w:rPr>
          <w:color w:val="000000"/>
          <w:spacing w:val="0"/>
          <w:w w:val="100"/>
          <w:position w:val="0"/>
        </w:rPr>
        <w:t>（</w:t>
      </w:r>
      <w:bookmarkEnd w:id="445"/>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441"/>
      <w:bookmarkEnd w:id="442"/>
      <w:bookmarkEnd w:id="446"/>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公司报告期不存在委托理财。</w:t>
      </w:r>
    </w:p>
    <w:p>
      <w:pPr>
        <w:pStyle w:val="Style31"/>
        <w:keepNext/>
        <w:keepLines/>
        <w:widowControl w:val="0"/>
        <w:shd w:val="clear" w:color="auto" w:fill="auto"/>
        <w:tabs>
          <w:tab w:pos="493" w:val="left"/>
        </w:tabs>
        <w:bidi w:val="0"/>
        <w:spacing w:before="0" w:line="240" w:lineRule="auto"/>
        <w:ind w:left="0" w:right="0" w:firstLine="0"/>
        <w:jc w:val="both"/>
      </w:pPr>
      <w:bookmarkStart w:id="447" w:name="bookmark447"/>
      <w:bookmarkStart w:id="448" w:name="bookmark448"/>
      <w:bookmarkStart w:id="449" w:name="bookmark449"/>
      <w:bookmarkStart w:id="450" w:name="bookmark450"/>
      <w:r>
        <w:rPr>
          <w:color w:val="000000"/>
          <w:spacing w:val="0"/>
          <w:w w:val="100"/>
          <w:position w:val="0"/>
        </w:rPr>
        <w:t>（</w:t>
      </w:r>
      <w:bookmarkEnd w:id="449"/>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47"/>
      <w:bookmarkEnd w:id="448"/>
      <w:bookmarkEnd w:id="450"/>
    </w:p>
    <w:p>
      <w:pPr>
        <w:pStyle w:val="Style20"/>
        <w:keepNext w:val="0"/>
        <w:keepLines w:val="0"/>
        <w:widowControl w:val="0"/>
        <w:numPr>
          <w:ilvl w:val="0"/>
          <w:numId w:val="37"/>
        </w:numPr>
        <w:shd w:val="clear" w:color="auto" w:fill="auto"/>
        <w:tabs>
          <w:tab w:pos="282" w:val="left"/>
        </w:tabs>
        <w:bidi w:val="0"/>
        <w:spacing w:before="0" w:after="140" w:line="240" w:lineRule="auto"/>
        <w:ind w:left="0" w:right="0" w:firstLine="0"/>
        <w:jc w:val="both"/>
      </w:pPr>
      <w:bookmarkStart w:id="451" w:name="bookmark451"/>
      <w:bookmarkEnd w:id="451"/>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公司报告期不存在委托贷款。</w:t>
      </w:r>
    </w:p>
    <w:p>
      <w:pPr>
        <w:pStyle w:val="Style31"/>
        <w:keepNext/>
        <w:keepLines/>
        <w:widowControl w:val="0"/>
        <w:shd w:val="clear" w:color="auto" w:fill="auto"/>
        <w:tabs>
          <w:tab w:pos="378" w:val="left"/>
        </w:tabs>
        <w:bidi w:val="0"/>
        <w:spacing w:before="0" w:line="240" w:lineRule="auto"/>
        <w:ind w:left="0" w:right="0" w:firstLine="0"/>
        <w:jc w:val="both"/>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4</w:t>
      </w:r>
      <w:bookmarkEnd w:id="454"/>
      <w:r>
        <w:rPr>
          <w:color w:val="000000"/>
          <w:spacing w:val="0"/>
          <w:w w:val="100"/>
          <w:position w:val="0"/>
        </w:rPr>
        <w:t>、</w:t>
        <w:tab/>
        <w:t>其他重大合同</w:t>
      </w:r>
      <w:bookmarkEnd w:id="452"/>
      <w:bookmarkEnd w:id="453"/>
      <w:bookmarkEnd w:id="455"/>
    </w:p>
    <w:p>
      <w:pPr>
        <w:pStyle w:val="Style20"/>
        <w:keepNext w:val="0"/>
        <w:keepLines w:val="0"/>
        <w:widowControl w:val="0"/>
        <w:numPr>
          <w:ilvl w:val="0"/>
          <w:numId w:val="37"/>
        </w:numPr>
        <w:shd w:val="clear" w:color="auto" w:fill="auto"/>
        <w:tabs>
          <w:tab w:pos="282" w:val="left"/>
        </w:tabs>
        <w:bidi w:val="0"/>
        <w:spacing w:before="0" w:after="140" w:line="240" w:lineRule="auto"/>
        <w:ind w:left="0" w:right="0" w:firstLine="0"/>
        <w:jc w:val="both"/>
      </w:pPr>
      <w:bookmarkStart w:id="456" w:name="bookmark456"/>
      <w:bookmarkEnd w:id="456"/>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公司报告期不存在其他重大合同。</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sz w:val="24"/>
          <w:szCs w:val="24"/>
        </w:rPr>
        <w:t>十六、其他重大事项的说明</w:t>
      </w:r>
    </w:p>
    <w:p>
      <w:pPr>
        <w:pStyle w:val="Style20"/>
        <w:keepNext w:val="0"/>
        <w:keepLines w:val="0"/>
        <w:widowControl w:val="0"/>
        <w:numPr>
          <w:ilvl w:val="0"/>
          <w:numId w:val="37"/>
        </w:numPr>
        <w:shd w:val="clear" w:color="auto" w:fill="auto"/>
        <w:tabs>
          <w:tab w:pos="282" w:val="left"/>
        </w:tabs>
        <w:bidi w:val="0"/>
        <w:spacing w:before="0" w:after="140" w:line="240" w:lineRule="auto"/>
        <w:ind w:left="0" w:right="0" w:firstLine="0"/>
        <w:jc w:val="both"/>
      </w:pPr>
      <w:bookmarkStart w:id="457" w:name="bookmark457"/>
      <w:bookmarkEnd w:id="457"/>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公司报告期不存在需要说明的其他重大事项。</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sz w:val="24"/>
          <w:szCs w:val="24"/>
        </w:rPr>
        <w:t>十七、公司子公司重大事项</w:t>
      </w:r>
    </w:p>
    <w:p>
      <w:pPr>
        <w:pStyle w:val="Style20"/>
        <w:keepNext w:val="0"/>
        <w:keepLines w:val="0"/>
        <w:widowControl w:val="0"/>
        <w:numPr>
          <w:ilvl w:val="0"/>
          <w:numId w:val="37"/>
        </w:numPr>
        <w:shd w:val="clear" w:color="auto" w:fill="auto"/>
        <w:tabs>
          <w:tab w:pos="282" w:val="left"/>
        </w:tabs>
        <w:bidi w:val="0"/>
        <w:spacing w:before="0" w:after="360" w:line="240" w:lineRule="auto"/>
        <w:ind w:left="0" w:right="0" w:firstLine="0"/>
        <w:jc w:val="both"/>
      </w:pPr>
      <w:bookmarkStart w:id="458" w:name="bookmark458"/>
      <w:bookmarkEnd w:id="458"/>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r>
        <w:br w:type="page"/>
      </w:r>
    </w:p>
    <w:p>
      <w:pPr>
        <w:pStyle w:val="Style13"/>
        <w:keepNext/>
        <w:keepLines/>
        <w:widowControl w:val="0"/>
        <w:shd w:val="clear" w:color="auto" w:fill="auto"/>
        <w:bidi w:val="0"/>
        <w:spacing w:before="0" w:after="540" w:line="240" w:lineRule="auto"/>
        <w:ind w:left="0" w:right="0" w:firstLine="0"/>
        <w:jc w:val="center"/>
      </w:pPr>
      <w:bookmarkStart w:id="459" w:name="bookmark459"/>
      <w:bookmarkStart w:id="460" w:name="bookmark460"/>
      <w:bookmarkStart w:id="461" w:name="bookmark461"/>
      <w:r>
        <w:rPr>
          <w:color w:val="000000"/>
          <w:spacing w:val="0"/>
          <w:w w:val="100"/>
          <w:position w:val="0"/>
        </w:rPr>
        <w:t>第七节股份变动及股东情况</w:t>
      </w:r>
      <w:bookmarkEnd w:id="459"/>
      <w:bookmarkEnd w:id="460"/>
      <w:bookmarkEnd w:id="461"/>
    </w:p>
    <w:p>
      <w:pPr>
        <w:pStyle w:val="Style26"/>
        <w:keepNext w:val="0"/>
        <w:keepLines w:val="0"/>
        <w:widowControl w:val="0"/>
        <w:shd w:val="clear" w:color="auto" w:fill="auto"/>
        <w:bidi w:val="0"/>
        <w:spacing w:before="0" w:after="360" w:line="240" w:lineRule="auto"/>
        <w:ind w:left="0" w:right="0" w:firstLine="0"/>
        <w:jc w:val="left"/>
      </w:pPr>
      <w:bookmarkStart w:id="462" w:name="bookmark462"/>
      <w:r>
        <w:rPr>
          <w:color w:val="000000"/>
          <w:spacing w:val="0"/>
          <w:w w:val="100"/>
          <w:position w:val="0"/>
          <w:sz w:val="24"/>
          <w:szCs w:val="24"/>
        </w:rPr>
        <w:t>一</w:t>
      </w:r>
      <w:bookmarkEnd w:id="462"/>
      <w:r>
        <w:rPr>
          <w:color w:val="000000"/>
          <w:spacing w:val="0"/>
          <w:w w:val="100"/>
          <w:position w:val="0"/>
          <w:sz w:val="24"/>
          <w:szCs w:val="24"/>
        </w:rPr>
        <w:t>、股份变动情况</w:t>
      </w:r>
    </w:p>
    <w:p>
      <w:pPr>
        <w:pStyle w:val="Style31"/>
        <w:keepNext/>
        <w:keepLines/>
        <w:widowControl w:val="0"/>
        <w:shd w:val="clear" w:color="auto" w:fill="auto"/>
        <w:bidi w:val="0"/>
        <w:spacing w:before="0" w:line="240" w:lineRule="auto"/>
        <w:ind w:left="0" w:right="0" w:firstLine="0"/>
        <w:jc w:val="left"/>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1</w:t>
      </w:r>
      <w:bookmarkEnd w:id="465"/>
      <w:r>
        <w:rPr>
          <w:color w:val="000000"/>
          <w:spacing w:val="0"/>
          <w:w w:val="100"/>
          <w:position w:val="0"/>
        </w:rPr>
        <w:t>、股份变动情况</w:t>
      </w:r>
      <w:bookmarkEnd w:id="463"/>
      <w:bookmarkEnd w:id="464"/>
      <w:bookmarkEnd w:id="46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70"/>
        <w:gridCol w:w="994"/>
        <w:gridCol w:w="994"/>
        <w:gridCol w:w="677"/>
        <w:gridCol w:w="682"/>
        <w:gridCol w:w="682"/>
        <w:gridCol w:w="682"/>
        <w:gridCol w:w="677"/>
        <w:gridCol w:w="1123"/>
        <w:gridCol w:w="80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146,666,700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146,666,700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146,666,700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146,666,700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146,666,700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146,666,700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2</w:t>
      </w:r>
      <w:bookmarkEnd w:id="469"/>
      <w:r>
        <w:rPr>
          <w:color w:val="000000"/>
          <w:spacing w:val="0"/>
          <w:w w:val="100"/>
          <w:position w:val="0"/>
        </w:rPr>
        <w:t>、限售股份变动情况</w:t>
      </w:r>
      <w:bookmarkEnd w:id="467"/>
      <w:bookmarkEnd w:id="468"/>
      <w:bookmarkEnd w:id="470"/>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tabs>
          <w:tab w:pos="517" w:val="left"/>
        </w:tabs>
        <w:bidi w:val="0"/>
        <w:spacing w:before="0" w:after="360" w:line="240" w:lineRule="auto"/>
        <w:ind w:left="0" w:right="0" w:firstLine="0"/>
        <w:jc w:val="left"/>
      </w:pPr>
      <w:bookmarkStart w:id="471" w:name="bookmark471"/>
      <w:r>
        <w:rPr>
          <w:color w:val="000000"/>
          <w:spacing w:val="0"/>
          <w:w w:val="100"/>
          <w:position w:val="0"/>
          <w:sz w:val="24"/>
          <w:szCs w:val="24"/>
        </w:rPr>
        <w:t>二</w:t>
      </w:r>
      <w:bookmarkEnd w:id="471"/>
      <w:r>
        <w:rPr>
          <w:color w:val="000000"/>
          <w:spacing w:val="0"/>
          <w:w w:val="100"/>
          <w:position w:val="0"/>
          <w:sz w:val="24"/>
          <w:szCs w:val="24"/>
        </w:rPr>
        <w:t>、</w:t>
        <w:tab/>
        <w:t>证券发行与上市情况</w:t>
      </w:r>
    </w:p>
    <w:p>
      <w:pPr>
        <w:pStyle w:val="Style31"/>
        <w:keepNext/>
        <w:keepLines/>
        <w:widowControl w:val="0"/>
        <w:shd w:val="clear" w:color="auto" w:fill="auto"/>
        <w:tabs>
          <w:tab w:pos="368" w:val="left"/>
        </w:tabs>
        <w:bidi w:val="0"/>
        <w:spacing w:before="0" w:line="240" w:lineRule="auto"/>
        <w:ind w:left="0" w:right="0" w:firstLine="0"/>
        <w:jc w:val="left"/>
      </w:pPr>
      <w:bookmarkStart w:id="472" w:name="bookmark472"/>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1</w:t>
      </w:r>
      <w:bookmarkEnd w:id="474"/>
      <w:r>
        <w:rPr>
          <w:color w:val="000000"/>
          <w:spacing w:val="0"/>
          <w:w w:val="100"/>
          <w:position w:val="0"/>
        </w:rPr>
        <w:t>、</w:t>
        <w:tab/>
        <w:t>报告期内证券发行（不含优先股）情况</w:t>
      </w:r>
      <w:bookmarkEnd w:id="472"/>
      <w:bookmarkEnd w:id="473"/>
      <w:bookmarkEnd w:id="475"/>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rPr>
        <w:t>2</w:t>
      </w:r>
      <w:bookmarkEnd w:id="478"/>
      <w:r>
        <w:rPr>
          <w:color w:val="000000"/>
          <w:spacing w:val="0"/>
          <w:w w:val="100"/>
          <w:position w:val="0"/>
        </w:rPr>
        <w:t>、</w:t>
        <w:tab/>
        <w:t>公司股份总数及股东结构的变动、公司资产和负债结构的变动情况说明</w:t>
      </w:r>
      <w:bookmarkEnd w:id="476"/>
      <w:bookmarkEnd w:id="477"/>
      <w:bookmarkEnd w:id="479"/>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3</w:t>
      </w:r>
      <w:bookmarkEnd w:id="482"/>
      <w:r>
        <w:rPr>
          <w:color w:val="000000"/>
          <w:spacing w:val="0"/>
          <w:w w:val="100"/>
          <w:position w:val="0"/>
        </w:rPr>
        <w:t>、</w:t>
        <w:tab/>
        <w:t>现存的内部职工股情况</w:t>
      </w:r>
      <w:bookmarkEnd w:id="480"/>
      <w:bookmarkEnd w:id="481"/>
      <w:bookmarkEnd w:id="483"/>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tabs>
          <w:tab w:pos="517" w:val="left"/>
        </w:tabs>
        <w:bidi w:val="0"/>
        <w:spacing w:before="0" w:after="360" w:line="240" w:lineRule="auto"/>
        <w:ind w:left="0" w:right="0" w:firstLine="0"/>
        <w:jc w:val="left"/>
      </w:pPr>
      <w:bookmarkStart w:id="484" w:name="bookmark484"/>
      <w:r>
        <w:rPr>
          <w:color w:val="000000"/>
          <w:spacing w:val="0"/>
          <w:w w:val="100"/>
          <w:position w:val="0"/>
          <w:sz w:val="24"/>
          <w:szCs w:val="24"/>
        </w:rPr>
        <w:t>三</w:t>
      </w:r>
      <w:bookmarkEnd w:id="484"/>
      <w:r>
        <w:rPr>
          <w:color w:val="000000"/>
          <w:spacing w:val="0"/>
          <w:w w:val="100"/>
          <w:position w:val="0"/>
          <w:sz w:val="24"/>
          <w:szCs w:val="24"/>
        </w:rPr>
        <w:t>、</w:t>
        <w:tab/>
        <w:t>股东和实际控制人情况</w:t>
      </w:r>
    </w:p>
    <w:p>
      <w:pPr>
        <w:pStyle w:val="Style31"/>
        <w:keepNext/>
        <w:keepLines/>
        <w:widowControl w:val="0"/>
        <w:shd w:val="clear" w:color="auto" w:fill="auto"/>
        <w:bidi w:val="0"/>
        <w:spacing w:before="0" w:line="240" w:lineRule="auto"/>
        <w:ind w:left="0" w:right="0" w:firstLine="0"/>
        <w:jc w:val="left"/>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1</w:t>
      </w:r>
      <w:bookmarkEnd w:id="487"/>
      <w:r>
        <w:rPr>
          <w:color w:val="000000"/>
          <w:spacing w:val="0"/>
          <w:w w:val="100"/>
          <w:position w:val="0"/>
        </w:rPr>
        <w:t>、公司股东数量及持股情况</w:t>
      </w:r>
      <w:bookmarkEnd w:id="485"/>
      <w:bookmarkEnd w:id="486"/>
      <w:bookmarkEnd w:id="488"/>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21"/>
        <w:gridCol w:w="710"/>
        <w:gridCol w:w="989"/>
        <w:gridCol w:w="427"/>
        <w:gridCol w:w="427"/>
        <w:gridCol w:w="226"/>
        <w:gridCol w:w="480"/>
        <w:gridCol w:w="994"/>
        <w:gridCol w:w="283"/>
        <w:gridCol w:w="283"/>
        <w:gridCol w:w="427"/>
        <w:gridCol w:w="850"/>
        <w:gridCol w:w="994"/>
        <w:gridCol w:w="139"/>
        <w:gridCol w:w="710"/>
        <w:gridCol w:w="566"/>
        <w:gridCol w:w="254"/>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普通股股</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东总数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19,367</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22,854</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报告期末表决权恢复</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的优先股股东总数</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年度报告披露日前上一月末 表决权恢复的优先股股东总 数（如有）（参见注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持有特别表决</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权股份的股东</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总数（如有）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1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715" w:hRule="exact"/>
        </w:trPr>
        <w:tc>
          <w:tcPr>
            <w:gridSpan w:val="3"/>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报告期末持</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股数量</w:t>
            </w:r>
          </w:p>
        </w:tc>
        <w:tc>
          <w:tcPr>
            <w:gridSpan w:val="3"/>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报告期内增</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减变动情况</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持有无限售</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条件的股份</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质押、标记或冻结 情况</w:t>
            </w:r>
          </w:p>
        </w:tc>
      </w:tr>
      <w:tr>
        <w:trPr>
          <w:trHeight w:val="403" w:hRule="exact"/>
        </w:trPr>
        <w:tc>
          <w:tcPr>
            <w:gridSpan w:val="3"/>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3"/>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深圳市资本运营集团有限公司</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62,857,143</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62,857,143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深圳市建科投资股份有限公司</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11,996,100</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11,996,100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中关村发展集团股份有限公司</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6,859,649</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6,859,649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深圳市英龙建安（集团）有限 公司</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5,744,825</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5,744,825</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3,405,000</w:t>
            </w:r>
          </w:p>
        </w:tc>
      </w:tr>
      <w:tr>
        <w:trPr>
          <w:trHeight w:val="1027" w:hRule="exact"/>
        </w:trPr>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JPMORGAN CHASE</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BANK,NATIONAL</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ASSOCIATION</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562,896</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562,896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3"/>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王彦青</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境内自然</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487,200</w:t>
            </w:r>
          </w:p>
        </w:tc>
        <w:tc>
          <w:tcPr>
            <w:gridSpan w:val="3"/>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487,200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20"/>
        <w:gridCol w:w="854"/>
        <w:gridCol w:w="706"/>
        <w:gridCol w:w="994"/>
        <w:gridCol w:w="994"/>
        <w:gridCol w:w="850"/>
        <w:gridCol w:w="994"/>
        <w:gridCol w:w="850"/>
        <w:gridCol w:w="821"/>
      </w:tblGrid>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UBS AG</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399,544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333,302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399,544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深圳市华和兴机电环保有限公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366,500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366,500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陈兴微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境内自然</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315,700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315,700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法国兴业银行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312,500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309,600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312,500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注：</w:t>
      </w:r>
    </w:p>
    <w:p>
      <w:pPr>
        <w:pStyle w:val="Style20"/>
        <w:keepNext w:val="0"/>
        <w:keepLines w:val="0"/>
        <w:widowControl w:val="0"/>
        <w:shd w:val="clear" w:color="auto" w:fill="auto"/>
        <w:tabs>
          <w:tab w:pos="445" w:val="left"/>
        </w:tabs>
        <w:bidi w:val="0"/>
        <w:spacing w:before="0" w:after="0" w:line="322" w:lineRule="exact"/>
        <w:ind w:left="0" w:right="0" w:firstLine="0"/>
        <w:jc w:val="left"/>
      </w:pPr>
      <w:bookmarkStart w:id="489" w:name="bookmark489"/>
      <w:r>
        <w:rPr>
          <w:color w:val="000000"/>
          <w:spacing w:val="0"/>
          <w:w w:val="100"/>
          <w:position w:val="0"/>
        </w:rPr>
        <w:t>（</w:t>
      </w:r>
      <w:bookmarkEnd w:id="489"/>
      <w:r>
        <w:rPr>
          <w:rFonts w:ascii="Times New Roman" w:eastAsia="Times New Roman" w:hAnsi="Times New Roman" w:cs="Times New Roman"/>
          <w:color w:val="000000"/>
          <w:spacing w:val="0"/>
          <w:w w:val="100"/>
          <w:position w:val="0"/>
        </w:rPr>
        <w:t>1</w:t>
      </w:r>
      <w:r>
        <w:rPr>
          <w:color w:val="000000"/>
          <w:spacing w:val="0"/>
          <w:w w:val="100"/>
          <w:position w:val="0"/>
        </w:rPr>
        <w:t>）</w:t>
        <w:tab/>
        <w:t>战略投资者或一般法人因配售新股成为前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名股东的情况（如有）（参见注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20"/>
        <w:keepNext w:val="0"/>
        <w:keepLines w:val="0"/>
        <w:widowControl w:val="0"/>
        <w:shd w:val="clear" w:color="auto" w:fill="auto"/>
        <w:tabs>
          <w:tab w:pos="541" w:val="left"/>
        </w:tabs>
        <w:bidi w:val="0"/>
        <w:spacing w:before="0" w:after="0" w:line="322" w:lineRule="exact"/>
        <w:ind w:left="0" w:right="0" w:firstLine="0"/>
        <w:jc w:val="left"/>
      </w:pPr>
      <w:bookmarkStart w:id="490" w:name="bookmark490"/>
      <w:r>
        <w:rPr>
          <w:color w:val="000000"/>
          <w:spacing w:val="0"/>
          <w:w w:val="100"/>
          <w:position w:val="0"/>
        </w:rPr>
        <w:t>（</w:t>
      </w:r>
      <w:bookmarkEnd w:id="490"/>
      <w:r>
        <w:rPr>
          <w:rFonts w:ascii="Times New Roman" w:eastAsia="Times New Roman" w:hAnsi="Times New Roman" w:cs="Times New Roman"/>
          <w:color w:val="000000"/>
          <w:spacing w:val="0"/>
          <w:w w:val="100"/>
          <w:position w:val="0"/>
        </w:rPr>
        <w:t>2</w:t>
      </w:r>
      <w:r>
        <w:rPr>
          <w:color w:val="000000"/>
          <w:spacing w:val="0"/>
          <w:w w:val="100"/>
          <w:position w:val="0"/>
        </w:rPr>
        <w:t>）</w:t>
        <w:tab/>
        <w:t>上述股东关联关系或一致行动的说明：司前</w:t>
      </w:r>
      <w:r>
        <w:rPr>
          <w:rFonts w:ascii="Times New Roman" w:eastAsia="Times New Roman" w:hAnsi="Times New Roman" w:cs="Times New Roman"/>
          <w:color w:val="000000"/>
          <w:spacing w:val="0"/>
          <w:w w:val="100"/>
          <w:position w:val="0"/>
        </w:rPr>
        <w:t>4</w:t>
      </w:r>
      <w:r>
        <w:rPr>
          <w:color w:val="000000"/>
          <w:spacing w:val="0"/>
          <w:w w:val="100"/>
          <w:position w:val="0"/>
        </w:rPr>
        <w:t>名股东之间不存在关联关系，也不属于一致行动人。公司未知前</w:t>
      </w:r>
      <w:r>
        <w:rPr>
          <w:rFonts w:ascii="Times New Roman" w:eastAsia="Times New Roman" w:hAnsi="Times New Roman" w:cs="Times New Roman"/>
          <w:color w:val="000000"/>
          <w:spacing w:val="0"/>
          <w:w w:val="100"/>
          <w:position w:val="0"/>
        </w:rPr>
        <w:t xml:space="preserve">5-10 </w:t>
      </w:r>
      <w:r>
        <w:rPr>
          <w:color w:val="000000"/>
          <w:spacing w:val="0"/>
          <w:w w:val="100"/>
          <w:position w:val="0"/>
        </w:rPr>
        <w:t>名股东之间是否存在关联关系，也未知是否属于一致行动人。</w:t>
      </w:r>
    </w:p>
    <w:p>
      <w:pPr>
        <w:pStyle w:val="Style20"/>
        <w:keepNext w:val="0"/>
        <w:keepLines w:val="0"/>
        <w:widowControl w:val="0"/>
        <w:shd w:val="clear" w:color="auto" w:fill="auto"/>
        <w:bidi w:val="0"/>
        <w:spacing w:before="0" w:after="0" w:line="322" w:lineRule="exact"/>
        <w:ind w:left="0" w:right="0" w:firstLine="0"/>
        <w:jc w:val="left"/>
      </w:pPr>
      <w:bookmarkStart w:id="491" w:name="bookmark491"/>
      <w:r>
        <w:rPr>
          <w:color w:val="000000"/>
          <w:spacing w:val="0"/>
          <w:w w:val="100"/>
          <w:position w:val="0"/>
        </w:rPr>
        <w:t>（</w:t>
      </w:r>
      <w:bookmarkEnd w:id="491"/>
      <w:r>
        <w:rPr>
          <w:rFonts w:ascii="Times New Roman" w:eastAsia="Times New Roman" w:hAnsi="Times New Roman" w:cs="Times New Roman"/>
          <w:color w:val="000000"/>
          <w:spacing w:val="0"/>
          <w:w w:val="100"/>
          <w:position w:val="0"/>
        </w:rPr>
        <w:t>3</w:t>
      </w:r>
      <w:r>
        <w:rPr>
          <w:color w:val="000000"/>
          <w:spacing w:val="0"/>
          <w:w w:val="100"/>
          <w:position w:val="0"/>
        </w:rPr>
        <w:t>） 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受托表决权、放弃表决权情况的说明：不适用。</w:t>
      </w:r>
    </w:p>
    <w:p>
      <w:pPr>
        <w:pStyle w:val="Style20"/>
        <w:keepNext w:val="0"/>
        <w:keepLines w:val="0"/>
        <w:widowControl w:val="0"/>
        <w:shd w:val="clear" w:color="auto" w:fill="auto"/>
        <w:tabs>
          <w:tab w:pos="445" w:val="left"/>
        </w:tabs>
        <w:bidi w:val="0"/>
        <w:spacing w:before="0" w:after="440" w:line="322" w:lineRule="exact"/>
        <w:ind w:left="0" w:right="0" w:firstLine="0"/>
        <w:jc w:val="left"/>
      </w:pPr>
      <w:bookmarkStart w:id="492" w:name="bookmark492"/>
      <w:r>
        <w:rPr>
          <w:color w:val="000000"/>
          <w:spacing w:val="0"/>
          <w:w w:val="100"/>
          <w:position w:val="0"/>
        </w:rPr>
        <w:t>（</w:t>
      </w:r>
      <w:bookmarkEnd w:id="492"/>
      <w:r>
        <w:rPr>
          <w:rFonts w:ascii="Times New Roman" w:eastAsia="Times New Roman" w:hAnsi="Times New Roman" w:cs="Times New Roman"/>
          <w:color w:val="000000"/>
          <w:spacing w:val="0"/>
          <w:w w:val="100"/>
          <w:position w:val="0"/>
        </w:rPr>
        <w:t>4</w:t>
      </w:r>
      <w:r>
        <w:rPr>
          <w:color w:val="000000"/>
          <w:spacing w:val="0"/>
          <w:w w:val="100"/>
          <w:position w:val="0"/>
        </w:rPr>
        <w:t>）</w:t>
        <w:tab/>
        <w:t>前</w:t>
      </w:r>
      <w:r>
        <w:rPr>
          <w:rFonts w:ascii="Times New Roman" w:eastAsia="Times New Roman" w:hAnsi="Times New Roman" w:cs="Times New Roman"/>
          <w:color w:val="000000"/>
          <w:spacing w:val="0"/>
          <w:w w:val="100"/>
          <w:position w:val="0"/>
        </w:rPr>
        <w:t>10</w:t>
      </w:r>
      <w:r>
        <w:rPr>
          <w:color w:val="000000"/>
          <w:spacing w:val="0"/>
          <w:w w:val="100"/>
          <w:position w:val="0"/>
        </w:rPr>
        <w:t>名股东中存在回购专户的特别说明（如有）（参见注</w:t>
      </w:r>
      <w:r>
        <w:rPr>
          <w:rFonts w:ascii="Times New Roman" w:eastAsia="Times New Roman" w:hAnsi="Times New Roman" w:cs="Times New Roman"/>
          <w:color w:val="000000"/>
          <w:spacing w:val="0"/>
          <w:w w:val="100"/>
          <w:position w:val="0"/>
        </w:rPr>
        <w:t>10</w:t>
      </w:r>
      <w:r>
        <w:rPr>
          <w:color w:val="000000"/>
          <w:spacing w:val="0"/>
          <w:w w:val="100"/>
          <w:position w:val="0"/>
        </w:rPr>
        <w:t>）：不适用。</w:t>
      </w:r>
    </w:p>
    <w:tbl>
      <w:tblPr>
        <w:tblOverlap w:val="never"/>
        <w:jc w:val="center"/>
        <w:tblLayout w:type="fixed"/>
      </w:tblPr>
      <w:tblGrid>
        <w:gridCol w:w="4934"/>
        <w:gridCol w:w="1838"/>
        <w:gridCol w:w="1277"/>
        <w:gridCol w:w="1531"/>
      </w:tblGrid>
      <w:tr>
        <w:trPr>
          <w:trHeight w:val="403" w:hRule="exact"/>
        </w:trPr>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报告期末持有无限售 条件股份数量</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深圳市资本运营集团有限公司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62,857,143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62,857,143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深圳市建科投资股份有限公司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11,996,100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11,996,100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中关村发展集团股份有限公司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6,859,649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6,859,649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深圳市英龙建安（集团）有限公司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5,744,825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5,744,825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JPMORGAN CHASE BANK,NATIONAL ASSOCIATION</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562,896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562,896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王彦青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487,200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UBS AG</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399,544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399,544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深圳市华和兴机电环保有限公司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陈兴微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315,700</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法国兴业银行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312,500</w:t>
            </w:r>
          </w:p>
        </w:tc>
      </w:tr>
    </w:tbl>
    <w:p>
      <w:pPr>
        <w:widowControl w:val="0"/>
        <w:spacing w:after="99" w:line="1" w:lineRule="exact"/>
      </w:pP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w:t>
      </w:r>
    </w:p>
    <w:p>
      <w:pPr>
        <w:pStyle w:val="Style20"/>
        <w:keepNext w:val="0"/>
        <w:keepLines w:val="0"/>
        <w:widowControl w:val="0"/>
        <w:shd w:val="clear" w:color="auto" w:fill="auto"/>
        <w:tabs>
          <w:tab w:pos="550" w:val="left"/>
        </w:tabs>
        <w:bidi w:val="0"/>
        <w:spacing w:before="0" w:after="0" w:line="312" w:lineRule="exact"/>
        <w:ind w:left="0" w:right="0" w:firstLine="0"/>
        <w:jc w:val="left"/>
      </w:pPr>
      <w:bookmarkStart w:id="493" w:name="bookmark493"/>
      <w:r>
        <w:rPr>
          <w:color w:val="000000"/>
          <w:spacing w:val="0"/>
          <w:w w:val="100"/>
          <w:position w:val="0"/>
        </w:rPr>
        <w:t>（</w:t>
      </w:r>
      <w:bookmarkEnd w:id="493"/>
      <w:r>
        <w:rPr>
          <w:rFonts w:ascii="Times New Roman" w:eastAsia="Times New Roman" w:hAnsi="Times New Roman" w:cs="Times New Roman"/>
          <w:color w:val="000000"/>
          <w:spacing w:val="0"/>
          <w:w w:val="100"/>
          <w:position w:val="0"/>
        </w:rPr>
        <w:t>1</w:t>
      </w:r>
      <w:r>
        <w:rPr>
          <w:color w:val="000000"/>
          <w:spacing w:val="0"/>
          <w:w w:val="100"/>
          <w:position w:val="0"/>
        </w:rPr>
        <w:t>）</w:t>
        <w:tab/>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名股东之间关联关系或一致行动的说明：前 </w:t>
      </w:r>
      <w:r>
        <w:rPr>
          <w:rFonts w:ascii="Times New Roman" w:eastAsia="Times New Roman" w:hAnsi="Times New Roman" w:cs="Times New Roman"/>
          <w:color w:val="000000"/>
          <w:spacing w:val="0"/>
          <w:w w:val="100"/>
          <w:position w:val="0"/>
        </w:rPr>
        <w:t>4</w:t>
      </w:r>
      <w:r>
        <w:rPr>
          <w:color w:val="000000"/>
          <w:spacing w:val="0"/>
          <w:w w:val="100"/>
          <w:position w:val="0"/>
        </w:rPr>
        <w:t>名无限售流通股股东之间不存在关联关系，也不属于一致行动人。公司未知前</w:t>
      </w:r>
      <w:r>
        <w:rPr>
          <w:rFonts w:ascii="Times New Roman" w:eastAsia="Times New Roman" w:hAnsi="Times New Roman" w:cs="Times New Roman"/>
          <w:color w:val="000000"/>
          <w:spacing w:val="0"/>
          <w:w w:val="100"/>
          <w:position w:val="0"/>
        </w:rPr>
        <w:t>5-10</w:t>
      </w:r>
      <w:r>
        <w:rPr>
          <w:color w:val="000000"/>
          <w:spacing w:val="0"/>
          <w:w w:val="100"/>
          <w:position w:val="0"/>
        </w:rPr>
        <w:t>名无限售流通股股东之间是否存在关 联关系，也未知是否属于一致行动人。</w:t>
      </w:r>
    </w:p>
    <w:p>
      <w:pPr>
        <w:pStyle w:val="Style20"/>
        <w:keepNext w:val="0"/>
        <w:keepLines w:val="0"/>
        <w:widowControl w:val="0"/>
        <w:shd w:val="clear" w:color="auto" w:fill="auto"/>
        <w:bidi w:val="0"/>
        <w:spacing w:before="0" w:after="380" w:line="312" w:lineRule="exact"/>
        <w:ind w:left="0" w:right="0" w:firstLine="0"/>
        <w:jc w:val="left"/>
      </w:pPr>
      <w:bookmarkStart w:id="494" w:name="bookmark494"/>
      <w:r>
        <w:rPr>
          <w:color w:val="000000"/>
          <w:spacing w:val="0"/>
          <w:w w:val="100"/>
          <w:position w:val="0"/>
        </w:rPr>
        <w:t>（</w:t>
      </w:r>
      <w:bookmarkEnd w:id="494"/>
      <w:r>
        <w:rPr>
          <w:rFonts w:ascii="Times New Roman" w:eastAsia="Times New Roman" w:hAnsi="Times New Roman" w:cs="Times New Roman"/>
          <w:color w:val="000000"/>
          <w:spacing w:val="0"/>
          <w:w w:val="100"/>
          <w:position w:val="0"/>
        </w:rPr>
        <w:t>2</w:t>
      </w:r>
      <w:r>
        <w:rPr>
          <w:color w:val="000000"/>
          <w:spacing w:val="0"/>
          <w:w w:val="100"/>
          <w:position w:val="0"/>
        </w:rPr>
        <w:t>） 参与融资融券业务股东情况说明（如有）（参见注</w:t>
      </w:r>
      <w:r>
        <w:rPr>
          <w:rFonts w:ascii="Times New Roman" w:eastAsia="Times New Roman" w:hAnsi="Times New Roman" w:cs="Times New Roman"/>
          <w:color w:val="000000"/>
          <w:spacing w:val="0"/>
          <w:w w:val="100"/>
          <w:position w:val="0"/>
        </w:rPr>
        <w:t>5</w:t>
      </w:r>
      <w:r>
        <w:rPr>
          <w:color w:val="000000"/>
          <w:spacing w:val="0"/>
          <w:w w:val="100"/>
          <w:position w:val="0"/>
        </w:rPr>
        <w:t>）：公司股东陈兴微通过东莞证券股份有限公司客户信用交易担保 证券账户持有</w:t>
      </w:r>
      <w:r>
        <w:rPr>
          <w:rFonts w:ascii="Times New Roman" w:eastAsia="Times New Roman" w:hAnsi="Times New Roman" w:cs="Times New Roman"/>
          <w:color w:val="000000"/>
          <w:spacing w:val="0"/>
          <w:w w:val="100"/>
          <w:position w:val="0"/>
        </w:rPr>
        <w:t>82,000</w:t>
      </w:r>
      <w:r>
        <w:rPr>
          <w:color w:val="000000"/>
          <w:spacing w:val="0"/>
          <w:w w:val="100"/>
          <w:position w:val="0"/>
        </w:rPr>
        <w:t>股，实际合计持有</w:t>
      </w:r>
      <w:r>
        <w:rPr>
          <w:rFonts w:ascii="Times New Roman" w:eastAsia="Times New Roman" w:hAnsi="Times New Roman" w:cs="Times New Roman"/>
          <w:color w:val="000000"/>
          <w:spacing w:val="0"/>
          <w:w w:val="100"/>
          <w:position w:val="0"/>
        </w:rPr>
        <w:t>315,700</w:t>
      </w:r>
      <w:r>
        <w:rPr>
          <w:color w:val="000000"/>
          <w:spacing w:val="0"/>
          <w:w w:val="100"/>
          <w:position w:val="0"/>
        </w:rPr>
        <w:t>股。</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公司是否具有表决权差异安排</w:t>
      </w:r>
    </w:p>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br w:type="page"/>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1"/>
        <w:keepNext/>
        <w:keepLines/>
        <w:widowControl w:val="0"/>
        <w:shd w:val="clear" w:color="auto" w:fill="auto"/>
        <w:bidi w:val="0"/>
        <w:spacing w:before="0" w:after="380" w:line="240" w:lineRule="auto"/>
        <w:ind w:left="0" w:right="0" w:firstLine="0"/>
        <w:jc w:val="left"/>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2</w:t>
      </w:r>
      <w:bookmarkEnd w:id="497"/>
      <w:r>
        <w:rPr>
          <w:color w:val="000000"/>
          <w:spacing w:val="0"/>
          <w:w w:val="100"/>
          <w:position w:val="0"/>
        </w:rPr>
        <w:t>、公司控股股东情况</w:t>
      </w:r>
      <w:bookmarkEnd w:id="495"/>
      <w:bookmarkEnd w:id="496"/>
      <w:bookmarkEnd w:id="498"/>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控股股东性质：地方国有控股</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554"/>
        <w:gridCol w:w="1138"/>
        <w:gridCol w:w="850"/>
        <w:gridCol w:w="1843"/>
        <w:gridCol w:w="3197"/>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深圳市资本运营集团有限公司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胡国斌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91440300664187170P</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一般经营项目是：投资兴办各类实业</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（具体项目另行申报）；投资业务；投</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资管理；资产管理。</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控股股东报告期内控股和参股 的其他境内外上市公司的股权 情况</w:t>
            </w:r>
          </w:p>
        </w:tc>
        <w:tc>
          <w:tcPr>
            <w:gridSpan w:val="4"/>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1"/>
        <w:keepNext/>
        <w:keepLines/>
        <w:widowControl w:val="0"/>
        <w:shd w:val="clear" w:color="auto" w:fill="auto"/>
        <w:bidi w:val="0"/>
        <w:spacing w:before="0" w:after="380" w:line="240" w:lineRule="auto"/>
        <w:ind w:left="0" w:right="0" w:firstLine="0"/>
        <w:jc w:val="left"/>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3</w:t>
      </w:r>
      <w:bookmarkEnd w:id="501"/>
      <w:r>
        <w:rPr>
          <w:color w:val="000000"/>
          <w:spacing w:val="0"/>
          <w:w w:val="100"/>
          <w:position w:val="0"/>
        </w:rPr>
        <w:t>、公司实际控制人及其一致行动人</w:t>
      </w:r>
      <w:bookmarkEnd w:id="499"/>
      <w:bookmarkEnd w:id="500"/>
      <w:bookmarkEnd w:id="502"/>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实际控制人性质：地方国资管理机构</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实际控制人类型：法人</w:t>
      </w:r>
    </w:p>
    <w:tbl>
      <w:tblPr>
        <w:tblOverlap w:val="never"/>
        <w:jc w:val="center"/>
        <w:tblLayout w:type="fixed"/>
      </w:tblPr>
      <w:tblGrid>
        <w:gridCol w:w="2203"/>
        <w:gridCol w:w="1790"/>
        <w:gridCol w:w="1435"/>
        <w:gridCol w:w="1594"/>
        <w:gridCol w:w="255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深圳市人民政府国有资产 监督管理委员会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王勇健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2004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K31728067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根据市政府授权，依照法律规 履行出资人职责，依法维护国 有资产出人权益等。</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实际控制人报告期内控制 的其他境内外上市公司的 股权情况</w:t>
            </w:r>
          </w:p>
        </w:tc>
        <w:tc>
          <w:tcPr>
            <w:gridSpan w:val="4"/>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据查询公开信息，公司实际控制人报告期内控制的其他境内外上市公司包括深圳机场、盐田 港、能源集团、深振业</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天健集团、农产品、深纺织</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深圳能源、特发信息、沙河股 份、特发服务等上市公司。</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0"/>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1461" w:right="1060" w:bottom="1285" w:left="1058" w:header="0" w:footer="3" w:gutter="0"/>
          <w:cols w:space="720"/>
          <w:noEndnote/>
          <w:rtlGutter w:val="0"/>
          <w:docGrid w:linePitch="360"/>
        </w:sectPr>
      </w:pPr>
      <w:r>
        <w:rPr>
          <w:color w:val="000000"/>
          <w:spacing w:val="0"/>
          <w:w w:val="100"/>
          <w:position w:val="0"/>
        </w:rPr>
        <w:t>公司与实际控制人之间的产权及控制关系的方框图</w:t>
      </w:r>
    </w:p>
    <w:p>
      <w:pPr>
        <w:pStyle w:val="Style26"/>
        <w:keepNext w:val="0"/>
        <w:keepLines w:val="0"/>
        <w:widowControl w:val="0"/>
        <w:shd w:val="clear" w:color="auto" w:fill="auto"/>
        <w:bidi w:val="0"/>
        <w:spacing w:before="0" w:line="240" w:lineRule="auto"/>
        <w:ind w:left="0" w:right="0" w:firstLine="0"/>
        <w:jc w:val="center"/>
      </w:pPr>
      <w:r>
        <w:rPr>
          <w:color w:val="555555"/>
          <w:spacing w:val="0"/>
          <w:w w:val="100"/>
          <w:position w:val="0"/>
          <w:sz w:val="24"/>
          <w:szCs w:val="24"/>
        </w:rPr>
        <w:t>深圳市人民政府国有资产监督管理委员会</w:t>
      </w:r>
    </w:p>
    <w:p>
      <w:pPr>
        <w:pStyle w:val="Style54"/>
        <w:keepNext/>
        <w:keepLines/>
        <w:widowControl w:val="0"/>
        <w:shd w:val="clear" w:color="auto" w:fill="auto"/>
        <w:bidi w:val="0"/>
        <w:spacing w:before="0" w:line="240" w:lineRule="auto"/>
        <w:ind w:left="0" w:right="0" w:firstLine="0"/>
        <w:jc w:val="center"/>
      </w:pPr>
      <w:bookmarkStart w:id="503" w:name="bookmark503"/>
      <w:bookmarkStart w:id="504" w:name="bookmark504"/>
      <w:bookmarkStart w:id="505" w:name="bookmark505"/>
      <w:r>
        <w:rPr>
          <w:rFonts w:ascii="Times New Roman" w:eastAsia="Times New Roman" w:hAnsi="Times New Roman" w:cs="Times New Roman"/>
          <w:b/>
          <w:bCs/>
          <w:spacing w:val="0"/>
          <w:w w:val="100"/>
          <w:position w:val="0"/>
          <w:sz w:val="20"/>
          <w:szCs w:val="20"/>
        </w:rPr>
        <w:t>I</w:t>
      </w:r>
      <w:r>
        <w:rPr>
          <w:spacing w:val="0"/>
          <w:w w:val="100"/>
          <w:position w:val="0"/>
        </w:rPr>
        <w:t>。照</w:t>
      </w:r>
      <w:bookmarkEnd w:id="503"/>
      <w:bookmarkEnd w:id="504"/>
      <w:bookmarkEnd w:id="505"/>
    </w:p>
    <w:p>
      <w:pPr>
        <w:pStyle w:val="Style26"/>
        <w:keepNext w:val="0"/>
        <w:keepLines w:val="0"/>
        <w:widowControl w:val="0"/>
        <w:shd w:val="clear" w:color="auto" w:fill="auto"/>
        <w:bidi w:val="0"/>
        <w:spacing w:before="0" w:after="940" w:line="240" w:lineRule="auto"/>
        <w:ind w:left="0" w:right="0" w:firstLine="0"/>
        <w:jc w:val="center"/>
      </w:pPr>
      <w:r>
        <w:rPr>
          <w:color w:val="555555"/>
          <w:spacing w:val="0"/>
          <w:w w:val="100"/>
          <w:position w:val="0"/>
          <w:sz w:val="24"/>
          <w:szCs w:val="24"/>
        </w:rPr>
        <w:t>深圳市资本运营集团有限公司</w:t>
      </w:r>
    </w:p>
    <w:p>
      <w:pPr>
        <w:pStyle w:val="Style26"/>
        <w:keepNext w:val="0"/>
        <w:keepLines w:val="0"/>
        <w:widowControl w:val="0"/>
        <w:shd w:val="clear" w:color="auto" w:fill="auto"/>
        <w:bidi w:val="0"/>
        <w:spacing w:before="0" w:after="560" w:line="240" w:lineRule="auto"/>
        <w:ind w:left="0" w:right="0" w:firstLine="0"/>
        <w:jc w:val="center"/>
      </w:pPr>
      <w:r>
        <w:rPr>
          <w:color w:val="555555"/>
          <w:spacing w:val="0"/>
          <w:w w:val="100"/>
          <w:position w:val="0"/>
          <w:sz w:val="24"/>
          <w:szCs w:val="24"/>
        </w:rPr>
        <w:t>深圳市建筑科学研究院股份有限公司</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tabs>
          <w:tab w:pos="378" w:val="left"/>
        </w:tabs>
        <w:bidi w:val="0"/>
        <w:spacing w:before="0" w:after="380" w:line="240" w:lineRule="auto"/>
        <w:ind w:left="0" w:right="0" w:firstLine="0"/>
        <w:jc w:val="left"/>
        <w:rPr>
          <w:sz w:val="20"/>
          <w:szCs w:val="20"/>
        </w:rPr>
      </w:pPr>
      <w:bookmarkStart w:id="506" w:name="bookmark506"/>
      <w:r>
        <w:rPr>
          <w:rFonts w:ascii="Times New Roman" w:eastAsia="Times New Roman" w:hAnsi="Times New Roman" w:cs="Times New Roman"/>
          <w:b/>
          <w:bCs/>
          <w:color w:val="000000"/>
          <w:spacing w:val="0"/>
          <w:w w:val="100"/>
          <w:position w:val="0"/>
          <w:sz w:val="20"/>
          <w:szCs w:val="20"/>
        </w:rPr>
        <w:t>4</w:t>
      </w:r>
      <w:bookmarkEnd w:id="506"/>
      <w:r>
        <w:rPr>
          <w:b/>
          <w:bCs/>
          <w:color w:val="000000"/>
          <w:spacing w:val="0"/>
          <w:w w:val="100"/>
          <w:position w:val="0"/>
          <w:sz w:val="20"/>
          <w:szCs w:val="20"/>
        </w:rPr>
        <w:t>、</w:t>
        <w:tab/>
        <w:t>公司控股股东或第一大股东及其一致行动人累计质押股份数量占其所持公司股份数量比例达到</w:t>
      </w:r>
      <w:r>
        <w:rPr>
          <w:rFonts w:ascii="Times New Roman" w:eastAsia="Times New Roman" w:hAnsi="Times New Roman" w:cs="Times New Roman"/>
          <w:b/>
          <w:bCs/>
          <w:color w:val="000000"/>
          <w:spacing w:val="0"/>
          <w:w w:val="100"/>
          <w:position w:val="0"/>
          <w:sz w:val="20"/>
          <w:szCs w:val="20"/>
        </w:rPr>
        <w:t>80%</w:t>
      </w:r>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tabs>
          <w:tab w:pos="378" w:val="left"/>
        </w:tabs>
        <w:bidi w:val="0"/>
        <w:spacing w:before="0" w:after="380" w:line="240" w:lineRule="auto"/>
        <w:ind w:left="0" w:right="0" w:firstLine="0"/>
        <w:jc w:val="left"/>
        <w:rPr>
          <w:sz w:val="20"/>
          <w:szCs w:val="20"/>
        </w:rPr>
      </w:pPr>
      <w:bookmarkStart w:id="507" w:name="bookmark507"/>
      <w:r>
        <w:rPr>
          <w:rFonts w:ascii="Times New Roman" w:eastAsia="Times New Roman" w:hAnsi="Times New Roman" w:cs="Times New Roman"/>
          <w:b/>
          <w:bCs/>
          <w:color w:val="000000"/>
          <w:spacing w:val="0"/>
          <w:w w:val="100"/>
          <w:position w:val="0"/>
          <w:sz w:val="20"/>
          <w:szCs w:val="20"/>
        </w:rPr>
        <w:t>5</w:t>
      </w:r>
      <w:bookmarkEnd w:id="507"/>
      <w:r>
        <w:rPr>
          <w:b/>
          <w:bCs/>
          <w:color w:val="000000"/>
          <w:spacing w:val="0"/>
          <w:w w:val="100"/>
          <w:position w:val="0"/>
          <w:sz w:val="20"/>
          <w:szCs w:val="20"/>
        </w:rPr>
        <w:t>、</w:t>
        <w:tab/>
        <w:t>其他持股在</w:t>
      </w:r>
      <w:r>
        <w:rPr>
          <w:rFonts w:ascii="Times New Roman" w:eastAsia="Times New Roman" w:hAnsi="Times New Roman" w:cs="Times New Roman"/>
          <w:b/>
          <w:bCs/>
          <w:color w:val="000000"/>
          <w:spacing w:val="0"/>
          <w:w w:val="100"/>
          <w:position w:val="0"/>
          <w:sz w:val="20"/>
          <w:szCs w:val="20"/>
        </w:rPr>
        <w:t>10%</w:t>
      </w:r>
      <w:r>
        <w:rPr>
          <w:b/>
          <w:bCs/>
          <w:color w:val="000000"/>
          <w:spacing w:val="0"/>
          <w:w w:val="100"/>
          <w:position w:val="0"/>
          <w:sz w:val="20"/>
          <w:szCs w:val="20"/>
        </w:rPr>
        <w:t>以上的法人股东</w:t>
      </w:r>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tabs>
          <w:tab w:pos="378" w:val="left"/>
        </w:tabs>
        <w:bidi w:val="0"/>
        <w:spacing w:before="0" w:after="380" w:line="240" w:lineRule="auto"/>
        <w:ind w:left="0" w:right="0" w:firstLine="0"/>
        <w:jc w:val="left"/>
        <w:rPr>
          <w:sz w:val="20"/>
          <w:szCs w:val="20"/>
        </w:rPr>
      </w:pPr>
      <w:bookmarkStart w:id="508" w:name="bookmark508"/>
      <w:r>
        <w:rPr>
          <w:rFonts w:ascii="Times New Roman" w:eastAsia="Times New Roman" w:hAnsi="Times New Roman" w:cs="Times New Roman"/>
          <w:b/>
          <w:bCs/>
          <w:color w:val="000000"/>
          <w:spacing w:val="0"/>
          <w:w w:val="100"/>
          <w:position w:val="0"/>
          <w:sz w:val="20"/>
          <w:szCs w:val="20"/>
        </w:rPr>
        <w:t>6</w:t>
      </w:r>
      <w:bookmarkEnd w:id="508"/>
      <w:r>
        <w:rPr>
          <w:b/>
          <w:bCs/>
          <w:color w:val="000000"/>
          <w:spacing w:val="0"/>
          <w:w w:val="100"/>
          <w:position w:val="0"/>
          <w:sz w:val="20"/>
          <w:szCs w:val="20"/>
        </w:rPr>
        <w:t>、</w:t>
        <w:tab/>
        <w:t>控股股东、实际控制人、重组方及其他承诺主体股份限制减持情况</w:t>
      </w:r>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bookmarkStart w:id="509" w:name="bookmark509"/>
      <w:r>
        <w:rPr>
          <w:color w:val="000000"/>
          <w:spacing w:val="0"/>
          <w:w w:val="100"/>
          <w:position w:val="0"/>
          <w:sz w:val="24"/>
          <w:szCs w:val="24"/>
        </w:rPr>
        <w:t>四</w:t>
      </w:r>
      <w:bookmarkEnd w:id="509"/>
      <w:r>
        <w:rPr>
          <w:color w:val="000000"/>
          <w:spacing w:val="0"/>
          <w:w w:val="100"/>
          <w:position w:val="0"/>
          <w:sz w:val="24"/>
          <w:szCs w:val="24"/>
        </w:rPr>
        <w:t>、股份回购在报告期的具体实施情况</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0"/>
        <w:keepNext w:val="0"/>
        <w:keepLines w:val="0"/>
        <w:widowControl w:val="0"/>
        <w:numPr>
          <w:ilvl w:val="0"/>
          <w:numId w:val="37"/>
        </w:numPr>
        <w:shd w:val="clear" w:color="auto" w:fill="auto"/>
        <w:tabs>
          <w:tab w:pos="282" w:val="left"/>
        </w:tabs>
        <w:bidi w:val="0"/>
        <w:spacing w:before="0" w:after="140" w:line="240" w:lineRule="auto"/>
        <w:ind w:left="0" w:right="0" w:firstLine="0"/>
        <w:jc w:val="both"/>
      </w:pPr>
      <w:bookmarkStart w:id="510" w:name="bookmark510"/>
      <w:bookmarkEnd w:id="510"/>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20"/>
        <w:keepNext w:val="0"/>
        <w:keepLines w:val="0"/>
        <w:widowControl w:val="0"/>
        <w:numPr>
          <w:ilvl w:val="0"/>
          <w:numId w:val="37"/>
        </w:numPr>
        <w:shd w:val="clear" w:color="auto" w:fill="auto"/>
        <w:tabs>
          <w:tab w:pos="282" w:val="left"/>
        </w:tabs>
        <w:bidi w:val="0"/>
        <w:spacing w:before="0" w:after="380" w:line="240" w:lineRule="auto"/>
        <w:ind w:left="0" w:right="0" w:firstLine="0"/>
        <w:jc w:val="both"/>
        <w:sectPr>
          <w:footnotePr>
            <w:pos w:val="pageBottom"/>
            <w:numFmt w:val="decimal"/>
            <w:numRestart w:val="continuous"/>
          </w:footnotePr>
          <w:pgSz w:w="11900" w:h="16840"/>
          <w:pgMar w:top="1830" w:right="1316" w:bottom="1830" w:left="1105" w:header="0" w:footer="3" w:gutter="0"/>
          <w:cols w:space="720"/>
          <w:noEndnote/>
          <w:rtlGutter w:val="0"/>
          <w:docGrid w:linePitch="360"/>
        </w:sectPr>
      </w:pPr>
      <w:bookmarkStart w:id="511" w:name="bookmark511"/>
      <w:bookmarkEnd w:id="511"/>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3"/>
        <w:keepNext/>
        <w:keepLines/>
        <w:widowControl w:val="0"/>
        <w:shd w:val="clear" w:color="auto" w:fill="auto"/>
        <w:bidi w:val="0"/>
        <w:spacing w:before="0" w:after="580" w:line="240" w:lineRule="auto"/>
        <w:ind w:left="0" w:right="0" w:firstLine="0"/>
        <w:jc w:val="center"/>
      </w:pPr>
      <w:bookmarkStart w:id="512" w:name="bookmark512"/>
      <w:bookmarkStart w:id="513" w:name="bookmark513"/>
      <w:bookmarkStart w:id="514" w:name="bookmark514"/>
      <w:r>
        <w:rPr>
          <w:color w:val="000000"/>
          <w:spacing w:val="0"/>
          <w:w w:val="100"/>
          <w:position w:val="0"/>
        </w:rPr>
        <w:t>第八节优先股相关情况</w:t>
      </w:r>
      <w:bookmarkEnd w:id="512"/>
      <w:bookmarkEnd w:id="513"/>
      <w:bookmarkEnd w:id="514"/>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45" w:right="1315" w:bottom="1945" w:left="1104" w:header="0" w:footer="3" w:gutter="0"/>
          <w:cols w:space="720"/>
          <w:noEndnote/>
          <w:rtlGutter w:val="0"/>
          <w:docGrid w:linePitch="360"/>
        </w:sectPr>
      </w:pPr>
      <w:r>
        <w:rPr>
          <w:color w:val="000000"/>
          <w:spacing w:val="0"/>
          <w:w w:val="100"/>
          <w:position w:val="0"/>
        </w:rPr>
        <w:t>报告期公司不存在优先股。</w:t>
      </w:r>
    </w:p>
    <w:p>
      <w:pPr>
        <w:widowControl w:val="0"/>
        <w:spacing w:before="79" w:after="79" w:line="240" w:lineRule="exact"/>
        <w:rPr>
          <w:sz w:val="19"/>
          <w:szCs w:val="19"/>
        </w:rPr>
      </w:pPr>
    </w:p>
    <w:p>
      <w:pPr>
        <w:widowControl w:val="0"/>
        <w:spacing w:line="1" w:lineRule="exact"/>
        <w:sectPr>
          <w:footnotePr>
            <w:pos w:val="pageBottom"/>
            <w:numFmt w:val="decimal"/>
            <w:numRestart w:val="continuous"/>
          </w:footnotePr>
          <w:pgSz w:w="11900" w:h="16840"/>
          <w:pgMar w:top="1493" w:right="1143" w:bottom="1253" w:left="1100" w:header="0" w:footer="3" w:gutter="0"/>
          <w:cols w:space="720"/>
          <w:noEndnote/>
          <w:rtlGutter w:val="0"/>
          <w:docGrid w:linePitch="360"/>
        </w:sectPr>
      </w:pPr>
    </w:p>
    <w:p>
      <w:pPr>
        <w:pStyle w:val="Style20"/>
        <w:keepNext w:val="0"/>
        <w:keepLines w:val="0"/>
        <w:framePr w:w="1416" w:h="259" w:wrap="none" w:vAnchor="text" w:hAnchor="page" w:x="1115" w:y="91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3"/>
        <w:keepNext/>
        <w:keepLines/>
        <w:framePr w:w="3091" w:h="389" w:wrap="none" w:vAnchor="text" w:hAnchor="page" w:x="4403" w:y="21"/>
        <w:widowControl w:val="0"/>
        <w:shd w:val="clear" w:color="auto" w:fill="auto"/>
        <w:bidi w:val="0"/>
        <w:spacing w:before="0" w:after="0" w:line="240" w:lineRule="auto"/>
        <w:ind w:left="0" w:right="0" w:firstLine="0"/>
        <w:jc w:val="center"/>
      </w:pPr>
      <w:bookmarkStart w:id="515" w:name="bookmark515"/>
      <w:bookmarkStart w:id="516" w:name="bookmark516"/>
      <w:bookmarkStart w:id="517" w:name="bookmark517"/>
      <w:r>
        <w:rPr>
          <w:color w:val="000000"/>
          <w:spacing w:val="0"/>
          <w:w w:val="100"/>
          <w:position w:val="0"/>
        </w:rPr>
        <w:t>第九节债券相关情况</w:t>
      </w:r>
      <w:bookmarkEnd w:id="515"/>
      <w:bookmarkEnd w:id="516"/>
      <w:bookmarkEnd w:id="517"/>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type w:val="continuous"/>
          <w:pgSz w:w="11900" w:h="16840"/>
          <w:pgMar w:top="1493" w:right="1143" w:bottom="1253" w:left="1100" w:header="0" w:footer="3" w:gutter="0"/>
          <w:cols w:space="720"/>
          <w:noEndnote/>
          <w:rtlGutter w:val="0"/>
          <w:docGrid w:linePitch="360"/>
        </w:sectPr>
      </w:pPr>
    </w:p>
    <w:p>
      <w:pPr>
        <w:pStyle w:val="Style13"/>
        <w:keepNext/>
        <w:keepLines/>
        <w:widowControl w:val="0"/>
        <w:shd w:val="clear" w:color="auto" w:fill="auto"/>
        <w:bidi w:val="0"/>
        <w:spacing w:before="460" w:after="540" w:line="240" w:lineRule="auto"/>
        <w:ind w:left="0" w:right="0" w:firstLine="0"/>
        <w:jc w:val="center"/>
      </w:pPr>
      <w:bookmarkStart w:id="518" w:name="bookmark518"/>
      <w:bookmarkStart w:id="519" w:name="bookmark519"/>
      <w:bookmarkStart w:id="520" w:name="bookmark520"/>
      <w:r>
        <w:rPr>
          <w:color w:val="000000"/>
          <w:spacing w:val="0"/>
          <w:w w:val="100"/>
          <w:position w:val="0"/>
        </w:rPr>
        <w:t>第十节财务报告</w:t>
      </w:r>
      <w:bookmarkEnd w:id="518"/>
      <w:bookmarkEnd w:id="519"/>
      <w:bookmarkEnd w:id="520"/>
    </w:p>
    <w:p>
      <w:pPr>
        <w:pStyle w:val="Style26"/>
        <w:keepNext w:val="0"/>
        <w:keepLines w:val="0"/>
        <w:widowControl w:val="0"/>
        <w:shd w:val="clear" w:color="auto" w:fill="auto"/>
        <w:bidi w:val="0"/>
        <w:spacing w:before="0" w:after="300" w:line="240" w:lineRule="auto"/>
        <w:ind w:left="0" w:right="0" w:firstLine="260"/>
        <w:jc w:val="left"/>
      </w:pPr>
      <w:r>
        <w:rPr>
          <w:color w:val="000000"/>
          <w:spacing w:val="0"/>
          <w:w w:val="100"/>
          <w:position w:val="0"/>
          <w:sz w:val="24"/>
          <w:szCs w:val="24"/>
        </w:rPr>
        <w:t>、审计报告</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毕马威华振会计师事务所（特殊普通合伙）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毕马威华振审字第</w:t>
            </w:r>
            <w:r>
              <w:rPr>
                <w:rFonts w:ascii="Times New Roman" w:eastAsia="Times New Roman" w:hAnsi="Times New Roman" w:cs="Times New Roman"/>
                <w:color w:val="000000"/>
                <w:spacing w:val="0"/>
                <w:w w:val="100"/>
                <w:position w:val="0"/>
              </w:rPr>
              <w:t>2202439</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陈泳意、刘琬婷</w:t>
            </w:r>
          </w:p>
        </w:tc>
      </w:tr>
    </w:tbl>
    <w:p>
      <w:pPr>
        <w:pStyle w:val="Style29"/>
        <w:keepNext w:val="0"/>
        <w:keepLines w:val="0"/>
        <w:widowControl w:val="0"/>
        <w:shd w:val="clear" w:color="auto" w:fill="auto"/>
        <w:bidi w:val="0"/>
        <w:spacing w:before="0" w:after="0" w:line="240" w:lineRule="auto"/>
        <w:ind w:left="4238" w:right="0" w:firstLine="0"/>
        <w:jc w:val="left"/>
      </w:pPr>
      <w:r>
        <w:rPr>
          <w:color w:val="000000"/>
          <w:spacing w:val="0"/>
          <w:w w:val="100"/>
          <w:position w:val="0"/>
        </w:rPr>
        <w:t>审计报告正文</w:t>
      </w:r>
    </w:p>
    <w:p>
      <w:pPr>
        <w:pStyle w:val="Style20"/>
        <w:keepNext w:val="0"/>
        <w:keepLines w:val="0"/>
        <w:widowControl w:val="0"/>
        <w:shd w:val="clear" w:color="auto" w:fill="auto"/>
        <w:tabs>
          <w:tab w:pos="435" w:val="left"/>
        </w:tabs>
        <w:bidi w:val="0"/>
        <w:spacing w:before="0" w:after="0" w:line="312" w:lineRule="exact"/>
        <w:ind w:left="0" w:right="0" w:firstLine="0"/>
        <w:jc w:val="left"/>
      </w:pPr>
      <w:bookmarkStart w:id="521" w:name="bookmark521"/>
      <w:r>
        <w:rPr>
          <w:color w:val="000000"/>
          <w:spacing w:val="0"/>
          <w:w w:val="100"/>
          <w:position w:val="0"/>
        </w:rPr>
        <w:t>一</w:t>
      </w:r>
      <w:bookmarkEnd w:id="521"/>
      <w:r>
        <w:rPr>
          <w:color w:val="000000"/>
          <w:spacing w:val="0"/>
          <w:w w:val="100"/>
          <w:position w:val="0"/>
        </w:rPr>
        <w:t>、</w:t>
        <w:tab/>
        <w:t>审计意见</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我们审计了后附的深圳市建筑科学研究院股份有限公司</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建科院集团</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 及母公司资产负债表，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年度的合并及母公司利润表、合并及母公司现金流量表、合并及母公司股东权益变动表以及相 关财务报表附注。</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我们认为，后附的财务报表在所有重大方面按照中华人民共和国财政部颁布的企业会计准则</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的规定编制，公允反映了建科院集团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 金流量。</w:t>
      </w:r>
    </w:p>
    <w:p>
      <w:pPr>
        <w:pStyle w:val="Style20"/>
        <w:keepNext w:val="0"/>
        <w:keepLines w:val="0"/>
        <w:widowControl w:val="0"/>
        <w:shd w:val="clear" w:color="auto" w:fill="auto"/>
        <w:tabs>
          <w:tab w:pos="435" w:val="left"/>
        </w:tabs>
        <w:bidi w:val="0"/>
        <w:spacing w:before="0" w:after="0" w:line="312" w:lineRule="exact"/>
        <w:ind w:left="0" w:right="0" w:firstLine="0"/>
        <w:jc w:val="left"/>
      </w:pPr>
      <w:bookmarkStart w:id="522" w:name="bookmark522"/>
      <w:r>
        <w:rPr>
          <w:color w:val="000000"/>
          <w:spacing w:val="0"/>
          <w:w w:val="100"/>
          <w:position w:val="0"/>
        </w:rPr>
        <w:t>二</w:t>
      </w:r>
      <w:bookmarkEnd w:id="522"/>
      <w:r>
        <w:rPr>
          <w:color w:val="000000"/>
          <w:spacing w:val="0"/>
          <w:w w:val="100"/>
          <w:position w:val="0"/>
        </w:rPr>
        <w:t>、</w:t>
        <w:tab/>
        <w:t>形成审计意见的基础</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我们按照中国注册会计师审计准则</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审计准则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 计的责任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部分进一步阐述了我们在这些准则下的责任。按照中国注册会计师职业道德守则，我们独立于建科院集团，并履 行了职业道德方面的其他责任。我们相信，我们获取的审计证据是充分、适当的，为发表审计意见提供了基础。</w:t>
      </w:r>
    </w:p>
    <w:p>
      <w:pPr>
        <w:pStyle w:val="Style20"/>
        <w:keepNext w:val="0"/>
        <w:keepLines w:val="0"/>
        <w:widowControl w:val="0"/>
        <w:shd w:val="clear" w:color="auto" w:fill="auto"/>
        <w:tabs>
          <w:tab w:pos="435" w:val="left"/>
        </w:tabs>
        <w:bidi w:val="0"/>
        <w:spacing w:before="0" w:after="0" w:line="312" w:lineRule="exact"/>
        <w:ind w:left="0" w:right="0" w:firstLine="0"/>
        <w:jc w:val="left"/>
      </w:pPr>
      <w:bookmarkStart w:id="523" w:name="bookmark523"/>
      <w:r>
        <w:rPr>
          <w:color w:val="000000"/>
          <w:spacing w:val="0"/>
          <w:w w:val="100"/>
          <w:position w:val="0"/>
        </w:rPr>
        <w:t>三</w:t>
      </w:r>
      <w:bookmarkEnd w:id="523"/>
      <w:r>
        <w:rPr>
          <w:color w:val="000000"/>
          <w:spacing w:val="0"/>
          <w:w w:val="100"/>
          <w:position w:val="0"/>
        </w:rPr>
        <w:t>、</w:t>
        <w:tab/>
        <w:t>关键审计事项</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关键审计事项是我们根据职业判断，认为对本期财务报表审计最为重要的事项。这些事项的应对以对财务报表整体进行审 计并形成审计意见为背景，我们不对这些事项单独发表意见。</w:t>
      </w:r>
    </w:p>
    <w:tbl>
      <w:tblPr>
        <w:tblOverlap w:val="never"/>
        <w:jc w:val="center"/>
        <w:tblLayout w:type="fixed"/>
      </w:tblPr>
      <w:tblGrid>
        <w:gridCol w:w="4229"/>
        <w:gridCol w:w="5357"/>
      </w:tblGrid>
      <w:tr>
        <w:trPr>
          <w:trHeight w:val="360"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收入确认</w:t>
            </w:r>
          </w:p>
        </w:tc>
      </w:tr>
      <w:tr>
        <w:trPr>
          <w:trHeight w:val="658"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请参阅财务报表附注</w:t>
            </w:r>
            <w:r>
              <w:rPr>
                <w:rFonts w:ascii="Times New Roman" w:eastAsia="Times New Roman" w:hAnsi="Times New Roman" w:cs="Times New Roman"/>
                <w:color w:val="000000"/>
                <w:spacing w:val="0"/>
                <w:w w:val="100"/>
                <w:position w:val="0"/>
              </w:rPr>
              <w:t>“</w:t>
            </w:r>
            <w:r>
              <w:rPr>
                <w:color w:val="000000"/>
                <w:spacing w:val="0"/>
                <w:w w:val="100"/>
                <w:position w:val="0"/>
              </w:rPr>
              <w:t>五、公司重要会计政策、会计估计</w:t>
            </w:r>
            <w:r>
              <w:rPr>
                <w:rFonts w:ascii="Times New Roman" w:eastAsia="Times New Roman" w:hAnsi="Times New Roman" w:cs="Times New Roman"/>
                <w:color w:val="000000"/>
                <w:spacing w:val="0"/>
                <w:w w:val="100"/>
                <w:position w:val="0"/>
              </w:rPr>
              <w:t>”25</w:t>
            </w:r>
            <w:r>
              <w:rPr>
                <w:color w:val="000000"/>
                <w:spacing w:val="0"/>
                <w:w w:val="100"/>
                <w:position w:val="0"/>
              </w:rPr>
              <w:t>所述的会计政策、</w:t>
            </w:r>
            <w:r>
              <w:rPr>
                <w:rFonts w:ascii="Times New Roman" w:eastAsia="Times New Roman" w:hAnsi="Times New Roman" w:cs="Times New Roman"/>
                <w:color w:val="000000"/>
                <w:spacing w:val="0"/>
                <w:w w:val="100"/>
                <w:position w:val="0"/>
              </w:rPr>
              <w:t>“</w:t>
            </w:r>
            <w:r>
              <w:rPr>
                <w:color w:val="000000"/>
                <w:spacing w:val="0"/>
                <w:w w:val="100"/>
                <w:position w:val="0"/>
              </w:rPr>
              <w:t>七、合并财务报表项目注释</w:t>
            </w:r>
            <w:r>
              <w:rPr>
                <w:rFonts w:ascii="Times New Roman" w:eastAsia="Times New Roman" w:hAnsi="Times New Roman" w:cs="Times New Roman"/>
                <w:color w:val="000000"/>
                <w:spacing w:val="0"/>
                <w:w w:val="100"/>
                <w:position w:val="0"/>
              </w:rPr>
              <w:t>”34</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十七、 母公司财务报表主要项目注释</w:t>
            </w:r>
            <w:r>
              <w:rPr>
                <w:rFonts w:ascii="Times New Roman" w:eastAsia="Times New Roman" w:hAnsi="Times New Roman" w:cs="Times New Roman"/>
                <w:color w:val="000000"/>
                <w:spacing w:val="0"/>
                <w:w w:val="100"/>
                <w:position w:val="0"/>
              </w:rPr>
              <w:t>”6</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在审计中如何应对该事项</w:t>
            </w:r>
          </w:p>
        </w:tc>
      </w:tr>
      <w:tr>
        <w:trPr>
          <w:trHeight w:val="379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建科院集团的主要业务包括建筑设计业务、绿色建筑 咨询业务、生态城市规划业务、</w:t>
            </w:r>
            <w:r>
              <w:rPr>
                <w:rFonts w:ascii="Times New Roman" w:eastAsia="Times New Roman" w:hAnsi="Times New Roman" w:cs="Times New Roman"/>
                <w:color w:val="000000"/>
                <w:spacing w:val="0"/>
                <w:w w:val="100"/>
                <w:position w:val="0"/>
              </w:rPr>
              <w:t>EPC</w:t>
            </w:r>
            <w:r>
              <w:rPr>
                <w:color w:val="000000"/>
                <w:spacing w:val="0"/>
                <w:w w:val="100"/>
                <w:position w:val="0"/>
              </w:rPr>
              <w:t>及项目全过程管 理业务及公信业务。</w:t>
            </w:r>
            <w:r>
              <w:rPr>
                <w:rFonts w:ascii="Times New Roman" w:eastAsia="Times New Roman" w:hAnsi="Times New Roman" w:cs="Times New Roman"/>
                <w:color w:val="000000"/>
                <w:spacing w:val="0"/>
                <w:w w:val="100"/>
                <w:position w:val="0"/>
              </w:rPr>
              <w:t>2021</w:t>
            </w:r>
            <w:r>
              <w:rPr>
                <w:color w:val="000000"/>
                <w:spacing w:val="0"/>
                <w:w w:val="100"/>
                <w:position w:val="0"/>
              </w:rPr>
              <w:t>年度，建科院集团确认的营 业收入为人民币</w:t>
            </w:r>
            <w:r>
              <w:rPr>
                <w:rFonts w:ascii="Times New Roman" w:eastAsia="Times New Roman" w:hAnsi="Times New Roman" w:cs="Times New Roman"/>
                <w:color w:val="000000"/>
                <w:spacing w:val="0"/>
                <w:w w:val="100"/>
                <w:position w:val="0"/>
              </w:rPr>
              <w:t>5.03</w:t>
            </w:r>
            <w:r>
              <w:rPr>
                <w:color w:val="000000"/>
                <w:spacing w:val="0"/>
                <w:w w:val="100"/>
                <w:position w:val="0"/>
              </w:rPr>
              <w:t>亿元。</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建科院集团综合评估相关合同和业务安排，识别合同 中的各项履约义务，判断相关履约义务属于在某一时 段内履行，还是在某一时点履行。</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对于建筑设计业务、绿色建筑咨询业务、生态城市规 划业务及</w:t>
            </w:r>
            <w:r>
              <w:rPr>
                <w:rFonts w:ascii="Times New Roman" w:eastAsia="Times New Roman" w:hAnsi="Times New Roman" w:cs="Times New Roman"/>
                <w:color w:val="000000"/>
                <w:spacing w:val="0"/>
                <w:w w:val="100"/>
                <w:position w:val="0"/>
              </w:rPr>
              <w:t>EPC</w:t>
            </w:r>
            <w:r>
              <w:rPr>
                <w:color w:val="000000"/>
                <w:spacing w:val="0"/>
                <w:w w:val="100"/>
                <w:position w:val="0"/>
              </w:rPr>
              <w:t>及项目全过程管理业务，由于建科院集 团履约过程中所提供的服务具有不可替代用途，且建 科院集团在整个合同期间内有权就累计至今已完成的 履约部分收取款项，因此建科院集团将其作为在某一</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120" w:line="313" w:lineRule="exact"/>
              <w:ind w:left="0" w:right="0" w:firstLine="0"/>
              <w:jc w:val="left"/>
            </w:pPr>
            <w:r>
              <w:rPr>
                <w:color w:val="000000"/>
                <w:spacing w:val="0"/>
                <w:w w:val="100"/>
                <w:position w:val="0"/>
              </w:rPr>
              <w:t>本期财务报表审计中，与收入确认相关的审计程序中包括以下程</w:t>
            </w:r>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序：</w:t>
            </w:r>
          </w:p>
          <w:p>
            <w:pPr>
              <w:pStyle w:val="Style23"/>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了解与收入确认相关的关键财务报告内部控制，并评价其设计和运 行有效性；</w:t>
            </w:r>
          </w:p>
          <w:p>
            <w:pPr>
              <w:pStyle w:val="Style23"/>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选取建科院集团与客户签订的服务合同，检查其主要条款，评价建 科院集团收入确认的会计政策是否符合企业会计准则的要求；</w:t>
            </w:r>
          </w:p>
          <w:p>
            <w:pPr>
              <w:pStyle w:val="Style23"/>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对于按履约进度确认的收入，在抽样的基础上，将本年度确认的收 入核对至经客户确认的成果交付件等确认证明、政府批文、第三方 审验证明或其他能够证明该阶段工作已完成的支持性文件，以评价 收入是否按照建科院集团的会计政策予以确认；</w:t>
            </w:r>
          </w:p>
        </w:tc>
      </w:tr>
    </w:tbl>
    <w:p>
      <w:pPr>
        <w:widowControl w:val="0"/>
        <w:spacing w:line="1" w:lineRule="exact"/>
      </w:pPr>
      <w:r>
        <w:br w:type="page"/>
      </w:r>
    </w:p>
    <w:tbl>
      <w:tblPr>
        <w:tblOverlap w:val="never"/>
        <w:jc w:val="center"/>
        <w:tblLayout w:type="fixed"/>
      </w:tblPr>
      <w:tblGrid>
        <w:gridCol w:w="4229"/>
        <w:gridCol w:w="5357"/>
      </w:tblGrid>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时段内履行的履约义务，按照履约进度确认收入。</w:t>
            </w:r>
          </w:p>
        </w:tc>
        <w:tc>
          <w:tcPr>
            <w:tcBorders>
              <w:top w:val="single" w:sz="4"/>
              <w:left w:val="single" w:sz="4"/>
              <w:right w:val="single" w:sz="4"/>
            </w:tcBorders>
            <w:shd w:val="clear" w:color="auto" w:fill="FFFFFF"/>
            <w:vAlign w:val="top"/>
          </w:tcPr>
          <w:p>
            <w:pPr>
              <w:widowControl w:val="0"/>
              <w:rPr>
                <w:sz w:val="10"/>
                <w:szCs w:val="10"/>
              </w:rPr>
            </w:pPr>
          </w:p>
        </w:tc>
      </w:tr>
      <w:tr>
        <w:trPr>
          <w:trHeight w:val="2851"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对于公信业务，建科院集团在向客户提交相关检测报 告时确认收入。</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由于收入是衡量建科院集团的关键业绩指标之一，且 根据合同条款和业务安排，在识别履约义务及确定是 在某一时间段内还是某一时点完成履约义务涉及管理 层判断，存在管理层为了达到特定目标或预期而提前 或推迟收入确认的风险，我们将收入确认识别为关键 审计事项。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对于以提交相关检测报告时确认的收入，在抽样的基础上，将本年 度确认的收入核对至经客户确认的成果交付件等证明相关报告已提 交的支持性文件，以评价收入是否按照建科院集团的会计政策予以 确认；</w:t>
            </w:r>
          </w:p>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选取本年度收入项目，就项目已完成工作量实施函证程序；</w:t>
            </w:r>
          </w:p>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选取接近资产负债表日前后的收入确认记录，核对至相关收入确认 的支持性文件，以评价收入是否记录于恰当的会计期间；及</w:t>
            </w:r>
          </w:p>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选取符合特定风险标准的营业收入会计分录，向管理层询问作出以 上会计分录的原因，并检查相关支持性文件。</w:t>
            </w:r>
          </w:p>
        </w:tc>
      </w:tr>
    </w:tbl>
    <w:p>
      <w:pPr>
        <w:widowControl w:val="0"/>
        <w:spacing w:after="299" w:line="1" w:lineRule="exact"/>
      </w:pPr>
    </w:p>
    <w:p>
      <w:pPr>
        <w:widowControl w:val="0"/>
        <w:spacing w:line="1" w:lineRule="exact"/>
      </w:pPr>
    </w:p>
    <w:tbl>
      <w:tblPr>
        <w:tblOverlap w:val="never"/>
        <w:jc w:val="center"/>
        <w:tblLayout w:type="fixed"/>
      </w:tblPr>
      <w:tblGrid>
        <w:gridCol w:w="3518"/>
        <w:gridCol w:w="6067"/>
      </w:tblGrid>
      <w:tr>
        <w:trPr>
          <w:trHeight w:val="355"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应收账款和合同资产减值准备</w:t>
            </w:r>
          </w:p>
        </w:tc>
      </w:tr>
      <w:tr>
        <w:trPr>
          <w:trHeight w:val="662"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请参阅财务报表附注</w:t>
            </w:r>
            <w:r>
              <w:rPr>
                <w:rFonts w:ascii="Times New Roman" w:eastAsia="Times New Roman" w:hAnsi="Times New Roman" w:cs="Times New Roman"/>
                <w:color w:val="000000"/>
                <w:spacing w:val="0"/>
                <w:w w:val="100"/>
                <w:position w:val="0"/>
              </w:rPr>
              <w:t>“</w:t>
            </w:r>
            <w:r>
              <w:rPr>
                <w:color w:val="000000"/>
                <w:spacing w:val="0"/>
                <w:w w:val="100"/>
                <w:position w:val="0"/>
              </w:rPr>
              <w:t>五、公司重要会计政策、会计估计</w:t>
            </w:r>
            <w:r>
              <w:rPr>
                <w:rFonts w:ascii="Times New Roman" w:eastAsia="Times New Roman" w:hAnsi="Times New Roman" w:cs="Times New Roman"/>
                <w:color w:val="000000"/>
                <w:spacing w:val="0"/>
                <w:w w:val="100"/>
                <w:position w:val="0"/>
              </w:rPr>
              <w:t>”9(6)</w:t>
            </w:r>
            <w:r>
              <w:rPr>
                <w:color w:val="000000"/>
                <w:spacing w:val="0"/>
                <w:w w:val="100"/>
                <w:position w:val="0"/>
              </w:rPr>
              <w:t>所述的会计政策、</w:t>
            </w:r>
            <w:r>
              <w:rPr>
                <w:rFonts w:ascii="Times New Roman" w:eastAsia="Times New Roman" w:hAnsi="Times New Roman" w:cs="Times New Roman"/>
                <w:color w:val="000000"/>
                <w:spacing w:val="0"/>
                <w:w w:val="100"/>
                <w:position w:val="0"/>
              </w:rPr>
              <w:t>“</w:t>
            </w:r>
            <w:r>
              <w:rPr>
                <w:color w:val="000000"/>
                <w:spacing w:val="0"/>
                <w:w w:val="100"/>
                <w:position w:val="0"/>
              </w:rPr>
              <w:t>七、合并财务报表项目注释</w:t>
            </w:r>
            <w:r>
              <w:rPr>
                <w:rFonts w:ascii="Times New Roman" w:eastAsia="Times New Roman" w:hAnsi="Times New Roman" w:cs="Times New Roman"/>
                <w:color w:val="000000"/>
                <w:spacing w:val="0"/>
                <w:w w:val="100"/>
                <w:position w:val="0"/>
              </w:rPr>
              <w:t>”3</w:t>
            </w:r>
            <w:r>
              <w:rPr>
                <w:color w:val="000000"/>
                <w:spacing w:val="0"/>
                <w:w w:val="100"/>
                <w:position w:val="0"/>
              </w:rPr>
              <w:t>和</w:t>
            </w:r>
            <w:r>
              <w:rPr>
                <w:rFonts w:ascii="Times New Roman" w:eastAsia="Times New Roman" w:hAnsi="Times New Roman" w:cs="Times New Roman"/>
                <w:color w:val="000000"/>
                <w:spacing w:val="0"/>
                <w:w w:val="100"/>
                <w:position w:val="0"/>
              </w:rPr>
              <w:t>8</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十 七、母公司财务报表主要项目注释</w:t>
            </w:r>
            <w:r>
              <w:rPr>
                <w:rFonts w:ascii="Times New Roman" w:eastAsia="Times New Roman" w:hAnsi="Times New Roman" w:cs="Times New Roman"/>
                <w:color w:val="000000"/>
                <w:spacing w:val="0"/>
                <w:w w:val="100"/>
                <w:position w:val="0"/>
              </w:rPr>
              <w:t>”1</w:t>
            </w:r>
            <w:r>
              <w:rPr>
                <w:color w:val="000000"/>
                <w:spacing w:val="0"/>
                <w:w w:val="100"/>
                <w:position w:val="0"/>
              </w:rPr>
              <w:t>和</w:t>
            </w:r>
            <w:r>
              <w:rPr>
                <w:rFonts w:ascii="Times New Roman" w:eastAsia="Times New Roman" w:hAnsi="Times New Roman" w:cs="Times New Roman"/>
                <w:color w:val="000000"/>
                <w:spacing w:val="0"/>
                <w:w w:val="100"/>
                <w:position w:val="0"/>
              </w:rPr>
              <w:t>4</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在审计中如何应对该事项</w:t>
            </w:r>
          </w:p>
        </w:tc>
      </w:tr>
      <w:tr>
        <w:trPr>
          <w:trHeight w:val="503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日，建科院集团应收账款原 值为人民币</w:t>
            </w:r>
            <w:r>
              <w:rPr>
                <w:rFonts w:ascii="Times New Roman" w:eastAsia="Times New Roman" w:hAnsi="Times New Roman" w:cs="Times New Roman"/>
                <w:color w:val="000000"/>
                <w:spacing w:val="0"/>
                <w:w w:val="100"/>
                <w:position w:val="0"/>
              </w:rPr>
              <w:t>4.06</w:t>
            </w:r>
            <w:r>
              <w:rPr>
                <w:color w:val="000000"/>
                <w:spacing w:val="0"/>
                <w:w w:val="100"/>
                <w:position w:val="0"/>
              </w:rPr>
              <w:t>亿元，已计提的应收账款减 值准备金额为人民币</w:t>
            </w:r>
            <w:r>
              <w:rPr>
                <w:rFonts w:ascii="Times New Roman" w:eastAsia="Times New Roman" w:hAnsi="Times New Roman" w:cs="Times New Roman"/>
                <w:color w:val="000000"/>
                <w:spacing w:val="0"/>
                <w:w w:val="100"/>
                <w:position w:val="0"/>
              </w:rPr>
              <w:t>7,775</w:t>
            </w:r>
            <w:r>
              <w:rPr>
                <w:color w:val="000000"/>
                <w:spacing w:val="0"/>
                <w:w w:val="100"/>
                <w:position w:val="0"/>
              </w:rPr>
              <w:t>万元；合同资产原 值为人民币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13</w:t>
            </w:r>
            <w:r>
              <w:rPr>
                <w:color w:val="000000"/>
                <w:spacing w:val="0"/>
                <w:w w:val="100"/>
                <w:position w:val="0"/>
              </w:rPr>
              <w:t>亿元，已计提的合同资产减 值准备金额为人民币</w:t>
            </w:r>
            <w:r>
              <w:rPr>
                <w:rFonts w:ascii="Times New Roman" w:eastAsia="Times New Roman" w:hAnsi="Times New Roman" w:cs="Times New Roman"/>
                <w:color w:val="000000"/>
                <w:spacing w:val="0"/>
                <w:w w:val="100"/>
                <w:position w:val="0"/>
              </w:rPr>
              <w:t>565</w:t>
            </w:r>
            <w:r>
              <w:rPr>
                <w:color w:val="000000"/>
                <w:spacing w:val="0"/>
                <w:w w:val="100"/>
                <w:position w:val="0"/>
              </w:rPr>
              <w:t>万元。</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管理层基于依据信用风险特征划分的每类应 收账款和合同资产的预期信用损失率，按照 相当于整个存续期内预期信用损失的金额计 量损失准备。预期信用损失率考虑应收账款 和合同资产的逾期账龄、客户的回收历史、 当前市场情况和前瞻性信息。该评估涉及重 大的管理层判断和估计。</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由于应收账款减值准备及合同资产减值准备 的确定涉及重大的管理层判断，且其存在固 有不确定性，我们将应收账款减值准备、合 同资产减值准备识别为关键审计事项。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本期财务报表审计中，与应收账款和合同资产减值准备相关的审计程序中包 括以下程序： </w:t>
            </w:r>
            <w:r>
              <w:rPr>
                <w:rFonts w:ascii="Times New Roman" w:eastAsia="Times New Roman" w:hAnsi="Times New Roman" w:cs="Times New Roman"/>
                <w:color w:val="000000"/>
                <w:spacing w:val="0"/>
                <w:w w:val="100"/>
                <w:position w:val="0"/>
              </w:rPr>
              <w:t>•</w:t>
            </w:r>
            <w:r>
              <w:rPr>
                <w:color w:val="000000"/>
                <w:spacing w:val="0"/>
                <w:w w:val="100"/>
                <w:position w:val="0"/>
              </w:rPr>
              <w:t xml:space="preserve">了解与信用风险控制及预期信用损失估计相关的关键财务报告内部控制，并 评价其设计和运行有效性； </w:t>
            </w:r>
            <w:r>
              <w:rPr>
                <w:rFonts w:ascii="Times New Roman" w:eastAsia="Times New Roman" w:hAnsi="Times New Roman" w:cs="Times New Roman"/>
                <w:color w:val="000000"/>
                <w:spacing w:val="0"/>
                <w:w w:val="100"/>
                <w:position w:val="0"/>
              </w:rPr>
              <w:t>•</w:t>
            </w:r>
            <w:r>
              <w:rPr>
                <w:color w:val="000000"/>
                <w:spacing w:val="0"/>
                <w:w w:val="100"/>
                <w:position w:val="0"/>
              </w:rPr>
              <w:t>评价建科院集团估计信用损失准备的会计政策是否符合相关会计准则的要 求；</w:t>
            </w:r>
          </w:p>
          <w:p>
            <w:pPr>
              <w:pStyle w:val="Style23"/>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从应收账款和合同资产账龄表中选取测试项目，核对至相关支持性文件，结 合客户信用期政策，评价逾期账龄区间划分的准确性；</w:t>
            </w:r>
          </w:p>
          <w:p>
            <w:pPr>
              <w:pStyle w:val="Style23"/>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了解管理层预期信用损失模型中所运用的关键参数及假设，包括管理层基于 客户信用风险特征对应收账款和合同资产进行分组的基础、以及管理层预期 信用损失率中包含的历史损失数据等；</w:t>
            </w:r>
          </w:p>
          <w:p>
            <w:pPr>
              <w:pStyle w:val="Style23"/>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 xml:space="preserve">通过检查管理层用于作出判断的信息，包括测试历史损失数据的准确性，评 估管理层确定预期信用损失率时是否已考虑并根据当前市场情况及前瞻性信 息对历史损失率进行调整，评价管理层对于预期信用损失估计的适当性；及 </w:t>
            </w:r>
            <w:r>
              <w:rPr>
                <w:rFonts w:ascii="Times New Roman" w:eastAsia="Times New Roman" w:hAnsi="Times New Roman" w:cs="Times New Roman"/>
                <w:color w:val="000000"/>
                <w:spacing w:val="0"/>
                <w:w w:val="100"/>
                <w:position w:val="0"/>
              </w:rPr>
              <w:t>•</w:t>
            </w:r>
            <w:r>
              <w:rPr>
                <w:color w:val="000000"/>
                <w:spacing w:val="0"/>
                <w:w w:val="100"/>
                <w:position w:val="0"/>
              </w:rPr>
              <w:t>基于建科院集团的预期信用损失模型重新计算于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日的应收账款 和合同资产减值准备金额。</w:t>
            </w:r>
          </w:p>
        </w:tc>
      </w:tr>
    </w:tbl>
    <w:p>
      <w:pPr>
        <w:pStyle w:val="Style20"/>
        <w:keepNext w:val="0"/>
        <w:keepLines w:val="0"/>
        <w:widowControl w:val="0"/>
        <w:shd w:val="clear" w:color="auto" w:fill="auto"/>
        <w:tabs>
          <w:tab w:pos="421" w:val="left"/>
        </w:tabs>
        <w:bidi w:val="0"/>
        <w:spacing w:before="0" w:after="0" w:line="316" w:lineRule="exact"/>
        <w:ind w:left="0" w:right="0" w:firstLine="0"/>
        <w:jc w:val="left"/>
      </w:pPr>
      <w:bookmarkStart w:id="524" w:name="bookmark524"/>
      <w:r>
        <w:rPr>
          <w:color w:val="000000"/>
          <w:spacing w:val="0"/>
          <w:w w:val="100"/>
          <w:position w:val="0"/>
        </w:rPr>
        <w:t>四</w:t>
      </w:r>
      <w:bookmarkEnd w:id="524"/>
      <w:r>
        <w:rPr>
          <w:color w:val="000000"/>
          <w:spacing w:val="0"/>
          <w:w w:val="100"/>
          <w:position w:val="0"/>
        </w:rPr>
        <w:t>、</w:t>
        <w:tab/>
        <w:t>其他信息</w:t>
      </w:r>
    </w:p>
    <w:p>
      <w:pPr>
        <w:pStyle w:val="Style20"/>
        <w:keepNext w:val="0"/>
        <w:keepLines w:val="0"/>
        <w:widowControl w:val="0"/>
        <w:shd w:val="clear" w:color="auto" w:fill="auto"/>
        <w:bidi w:val="0"/>
        <w:spacing w:before="0" w:after="0" w:line="316" w:lineRule="exact"/>
        <w:ind w:left="0" w:right="0" w:firstLine="0"/>
        <w:jc w:val="left"/>
      </w:pPr>
      <w:r>
        <w:rPr>
          <w:color w:val="000000"/>
          <w:spacing w:val="0"/>
          <w:w w:val="100"/>
          <w:position w:val="0"/>
        </w:rPr>
        <w:t>建科院集团管理层对其他信息负责。其他信息包括建科院集团</w:t>
      </w:r>
      <w:r>
        <w:rPr>
          <w:rFonts w:ascii="Times New Roman" w:eastAsia="Times New Roman" w:hAnsi="Times New Roman" w:cs="Times New Roman"/>
          <w:color w:val="000000"/>
          <w:spacing w:val="0"/>
          <w:w w:val="100"/>
          <w:position w:val="0"/>
        </w:rPr>
        <w:t>2021</w:t>
      </w:r>
      <w:r>
        <w:rPr>
          <w:color w:val="000000"/>
          <w:spacing w:val="0"/>
          <w:w w:val="100"/>
          <w:position w:val="0"/>
        </w:rPr>
        <w:t>年年度报告中涵盖的信息，但不包括财务报表和我们的 审计报告。</w:t>
      </w:r>
    </w:p>
    <w:p>
      <w:pPr>
        <w:pStyle w:val="Style20"/>
        <w:keepNext w:val="0"/>
        <w:keepLines w:val="0"/>
        <w:widowControl w:val="0"/>
        <w:shd w:val="clear" w:color="auto" w:fill="auto"/>
        <w:bidi w:val="0"/>
        <w:spacing w:before="0" w:after="0" w:line="316" w:lineRule="exact"/>
        <w:ind w:left="0" w:right="0" w:firstLine="0"/>
        <w:jc w:val="left"/>
      </w:pPr>
      <w:r>
        <w:rPr>
          <w:color w:val="000000"/>
          <w:spacing w:val="0"/>
          <w:w w:val="100"/>
          <w:position w:val="0"/>
        </w:rPr>
        <w:t>我们对财务报表发表的审计意见不涵盖其他信息，我们也不对其他信息发表任何形式的鉴证结论。</w:t>
      </w:r>
    </w:p>
    <w:p>
      <w:pPr>
        <w:pStyle w:val="Style20"/>
        <w:keepNext w:val="0"/>
        <w:keepLines w:val="0"/>
        <w:widowControl w:val="0"/>
        <w:shd w:val="clear" w:color="auto" w:fill="auto"/>
        <w:bidi w:val="0"/>
        <w:spacing w:before="0" w:after="0" w:line="316" w:lineRule="exact"/>
        <w:ind w:left="0" w:right="0" w:firstLine="0"/>
        <w:jc w:val="left"/>
      </w:pPr>
      <w:r>
        <w:rPr>
          <w:color w:val="000000"/>
          <w:spacing w:val="0"/>
          <w:w w:val="100"/>
          <w:position w:val="0"/>
        </w:rPr>
        <w:t>结合我们对财务报表的审计，我们的责任是阅读其他信息，在此过程中，考虑其他信息是否与财务报表或我们在审计过程 中了解到的情况存在重大不一致或者似乎存在重大错报。</w:t>
      </w:r>
    </w:p>
    <w:p>
      <w:pPr>
        <w:pStyle w:val="Style20"/>
        <w:keepNext w:val="0"/>
        <w:keepLines w:val="0"/>
        <w:widowControl w:val="0"/>
        <w:shd w:val="clear" w:color="auto" w:fill="auto"/>
        <w:bidi w:val="0"/>
        <w:spacing w:before="0" w:after="0" w:line="316" w:lineRule="exact"/>
        <w:ind w:left="0" w:right="0" w:firstLine="0"/>
        <w:jc w:val="left"/>
      </w:pPr>
      <w:r>
        <w:rPr>
          <w:color w:val="000000"/>
          <w:spacing w:val="0"/>
          <w:w w:val="100"/>
          <w:position w:val="0"/>
        </w:rPr>
        <w:t>基于我们已执行的工作，如果我们确定其他信息存在重大错报，我们应当报告该事实。在这方面，我们无任何事项需要报 告。</w:t>
      </w:r>
    </w:p>
    <w:p>
      <w:pPr>
        <w:pStyle w:val="Style20"/>
        <w:keepNext w:val="0"/>
        <w:keepLines w:val="0"/>
        <w:widowControl w:val="0"/>
        <w:shd w:val="clear" w:color="auto" w:fill="auto"/>
        <w:tabs>
          <w:tab w:pos="435" w:val="left"/>
        </w:tabs>
        <w:bidi w:val="0"/>
        <w:spacing w:before="0" w:after="0" w:line="316" w:lineRule="exact"/>
        <w:ind w:left="0" w:right="0" w:firstLine="0"/>
        <w:jc w:val="left"/>
      </w:pPr>
      <w:bookmarkStart w:id="525" w:name="bookmark525"/>
      <w:r>
        <w:rPr>
          <w:color w:val="000000"/>
          <w:spacing w:val="0"/>
          <w:w w:val="100"/>
          <w:position w:val="0"/>
        </w:rPr>
        <w:t>五</w:t>
      </w:r>
      <w:bookmarkEnd w:id="525"/>
      <w:r>
        <w:rPr>
          <w:color w:val="000000"/>
          <w:spacing w:val="0"/>
          <w:w w:val="100"/>
          <w:position w:val="0"/>
        </w:rPr>
        <w:t>、</w:t>
        <w:tab/>
        <w:t>管理层和治理层对财务报表的责任</w:t>
      </w:r>
    </w:p>
    <w:p>
      <w:pPr>
        <w:pStyle w:val="Style20"/>
        <w:keepNext w:val="0"/>
        <w:keepLines w:val="0"/>
        <w:widowControl w:val="0"/>
        <w:shd w:val="clear" w:color="auto" w:fill="auto"/>
        <w:bidi w:val="0"/>
        <w:spacing w:before="0" w:after="0" w:line="316" w:lineRule="exact"/>
        <w:ind w:left="0" w:right="0" w:firstLine="0"/>
        <w:jc w:val="left"/>
      </w:pPr>
      <w:r>
        <w:rPr>
          <w:color w:val="000000"/>
          <w:spacing w:val="0"/>
          <w:w w:val="100"/>
          <w:position w:val="0"/>
        </w:rPr>
        <w:t>管理层负责按照企业会计准则的规定编制财务报表，使其实现公允反映，并设计、执行和维护必要的内部控制，以使财务 报表不存在由于舞弊或错误导致的重大错报。</w:t>
      </w:r>
    </w:p>
    <w:p>
      <w:pPr>
        <w:pStyle w:val="Style20"/>
        <w:keepNext w:val="0"/>
        <w:keepLines w:val="0"/>
        <w:widowControl w:val="0"/>
        <w:shd w:val="clear" w:color="auto" w:fill="auto"/>
        <w:bidi w:val="0"/>
        <w:spacing w:before="0" w:after="0" w:line="316" w:lineRule="exact"/>
        <w:ind w:left="0" w:right="0" w:firstLine="0"/>
        <w:jc w:val="left"/>
      </w:pPr>
      <w:r>
        <w:rPr>
          <w:color w:val="000000"/>
          <w:spacing w:val="0"/>
          <w:w w:val="100"/>
          <w:position w:val="0"/>
        </w:rPr>
        <w:t>在编制财务报表时，管理层负责评估建科院集团的持续经营能力，披露与持续经营相关的事项</w:t>
      </w:r>
      <w:r>
        <w:rPr>
          <w:color w:val="000000"/>
          <w:spacing w:val="0"/>
          <w:w w:val="100"/>
          <w:position w:val="0"/>
        </w:rPr>
        <w:t>(</w:t>
      </w:r>
      <w:r>
        <w:rPr>
          <w:color w:val="000000"/>
          <w:spacing w:val="0"/>
          <w:w w:val="100"/>
          <w:position w:val="0"/>
        </w:rPr>
        <w:t>如适用</w:t>
      </w:r>
      <w:r>
        <w:rPr>
          <w:rFonts w:ascii="Times New Roman" w:eastAsia="Times New Roman" w:hAnsi="Times New Roman" w:cs="Times New Roman"/>
          <w:color w:val="000000"/>
          <w:spacing w:val="0"/>
          <w:w w:val="100"/>
          <w:position w:val="0"/>
        </w:rPr>
        <w:t>)</w:t>
      </w:r>
      <w:r>
        <w:rPr>
          <w:color w:val="000000"/>
          <w:spacing w:val="0"/>
          <w:w w:val="100"/>
          <w:position w:val="0"/>
        </w:rPr>
        <w:t>，并运用持续经营 假设，除非建科院集团计划进行清算、终止运营或别无其他现实的选择。</w:t>
      </w:r>
      <w:r>
        <w:br w:type="page"/>
      </w:r>
    </w:p>
    <w:p>
      <w:pPr>
        <w:pStyle w:val="Style20"/>
        <w:keepNext w:val="0"/>
        <w:keepLines w:val="0"/>
        <w:widowControl w:val="0"/>
        <w:pBdr>
          <w:top w:val="single" w:sz="4" w:space="0" w:color="auto"/>
        </w:pBdr>
        <w:shd w:val="clear" w:color="auto" w:fill="auto"/>
        <w:bidi w:val="0"/>
        <w:spacing w:before="0" w:after="0" w:line="313" w:lineRule="exact"/>
        <w:ind w:left="0" w:right="0" w:firstLine="0"/>
        <w:jc w:val="left"/>
      </w:pPr>
      <w:r>
        <w:rPr>
          <w:color w:val="000000"/>
          <w:spacing w:val="0"/>
          <w:w w:val="100"/>
          <w:position w:val="0"/>
        </w:rPr>
        <w:t>治理层负责监督建科院集团的财务报告过程。</w:t>
      </w:r>
    </w:p>
    <w:p>
      <w:pPr>
        <w:pStyle w:val="Style20"/>
        <w:keepNext w:val="0"/>
        <w:keepLines w:val="0"/>
        <w:widowControl w:val="0"/>
        <w:shd w:val="clear" w:color="auto" w:fill="auto"/>
        <w:bidi w:val="0"/>
        <w:spacing w:before="0" w:after="0" w:line="313" w:lineRule="exact"/>
        <w:ind w:left="0" w:right="0" w:firstLine="0"/>
        <w:jc w:val="left"/>
      </w:pPr>
      <w:bookmarkStart w:id="526" w:name="bookmark526"/>
      <w:r>
        <w:rPr>
          <w:color w:val="000000"/>
          <w:spacing w:val="0"/>
          <w:w w:val="100"/>
          <w:position w:val="0"/>
        </w:rPr>
        <w:t>六</w:t>
      </w:r>
      <w:bookmarkEnd w:id="526"/>
      <w:r>
        <w:rPr>
          <w:color w:val="000000"/>
          <w:spacing w:val="0"/>
          <w:w w:val="100"/>
          <w:position w:val="0"/>
        </w:rPr>
        <w:t>、注册会计师对财务报表审计的责任</w:t>
      </w:r>
    </w:p>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 弊或错误导致，如果合理预期错报单独或汇总起来可能影响财务报表使用者依据财务报表作出的经济决策，则通常认为错 报是重大的。</w:t>
      </w:r>
    </w:p>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在按照审计准则执行审计工作的过程中，我们运用职业判断，并保持职业怀疑。同时，我们也执行以下工作：</w:t>
      </w:r>
    </w:p>
    <w:p>
      <w:pPr>
        <w:pStyle w:val="Style20"/>
        <w:keepNext w:val="0"/>
        <w:keepLines w:val="0"/>
        <w:widowControl w:val="0"/>
        <w:numPr>
          <w:ilvl w:val="0"/>
          <w:numId w:val="43"/>
        </w:numPr>
        <w:shd w:val="clear" w:color="auto" w:fill="auto"/>
        <w:tabs>
          <w:tab w:pos="375" w:val="left"/>
        </w:tabs>
        <w:bidi w:val="0"/>
        <w:spacing w:before="0" w:after="100" w:line="313" w:lineRule="exact"/>
        <w:ind w:left="0" w:right="0" w:firstLine="0"/>
        <w:jc w:val="left"/>
      </w:pPr>
      <w:bookmarkStart w:id="527" w:name="bookmark527"/>
      <w:bookmarkEnd w:id="527"/>
      <w:r>
        <w:rPr>
          <w:color w:val="000000"/>
          <w:spacing w:val="0"/>
          <w:w w:val="100"/>
          <w:position w:val="0"/>
        </w:rPr>
        <w:t>识别和评估由于舞弊或错误导致的财务报表重大错报风险，设计和实施审计程序以应对这些风险，并获取充分、适当的 审计证据，作为发表审计意见的基础。由于舞弊可能涉及串通、伪造、故意遗漏、虚假陈述或凌驾于内部控制之上，未能 发现由于舞弊导致的重大错报的风险高于未能发现由于错误导致的重大错报的风险。</w:t>
      </w:r>
    </w:p>
    <w:p>
      <w:pPr>
        <w:pStyle w:val="Style20"/>
        <w:keepNext w:val="0"/>
        <w:keepLines w:val="0"/>
        <w:widowControl w:val="0"/>
        <w:numPr>
          <w:ilvl w:val="0"/>
          <w:numId w:val="43"/>
        </w:numPr>
        <w:shd w:val="clear" w:color="auto" w:fill="auto"/>
        <w:tabs>
          <w:tab w:pos="375" w:val="left"/>
        </w:tabs>
        <w:bidi w:val="0"/>
        <w:spacing w:before="0" w:after="0"/>
        <w:ind w:left="0" w:right="0" w:firstLine="0"/>
        <w:jc w:val="left"/>
      </w:pPr>
      <w:bookmarkStart w:id="528" w:name="bookmark528"/>
      <w:bookmarkEnd w:id="528"/>
      <w:r>
        <w:rPr>
          <w:color w:val="000000"/>
          <w:spacing w:val="0"/>
          <w:w w:val="100"/>
          <w:position w:val="0"/>
        </w:rPr>
        <w:t>了解与审计相关的内部控制，以设计恰当的审计程序。</w:t>
      </w:r>
    </w:p>
    <w:p>
      <w:pPr>
        <w:pStyle w:val="Style20"/>
        <w:keepNext w:val="0"/>
        <w:keepLines w:val="0"/>
        <w:widowControl w:val="0"/>
        <w:numPr>
          <w:ilvl w:val="0"/>
          <w:numId w:val="43"/>
        </w:numPr>
        <w:shd w:val="clear" w:color="auto" w:fill="auto"/>
        <w:tabs>
          <w:tab w:pos="375" w:val="left"/>
        </w:tabs>
        <w:bidi w:val="0"/>
        <w:spacing w:before="0" w:after="0"/>
        <w:ind w:left="0" w:right="0" w:firstLine="0"/>
        <w:jc w:val="left"/>
      </w:pPr>
      <w:bookmarkStart w:id="529" w:name="bookmark529"/>
      <w:bookmarkEnd w:id="529"/>
      <w:r>
        <w:rPr>
          <w:color w:val="000000"/>
          <w:spacing w:val="0"/>
          <w:w w:val="100"/>
          <w:position w:val="0"/>
        </w:rPr>
        <w:t>评价管理层选用会计政策的恰当性和作出会计估计及相关披露的合理性。</w:t>
      </w:r>
    </w:p>
    <w:p>
      <w:pPr>
        <w:pStyle w:val="Style20"/>
        <w:keepNext w:val="0"/>
        <w:keepLines w:val="0"/>
        <w:widowControl w:val="0"/>
        <w:numPr>
          <w:ilvl w:val="0"/>
          <w:numId w:val="43"/>
        </w:numPr>
        <w:shd w:val="clear" w:color="auto" w:fill="auto"/>
        <w:tabs>
          <w:tab w:pos="375" w:val="left"/>
        </w:tabs>
        <w:bidi w:val="0"/>
        <w:spacing w:before="0" w:after="100" w:line="313" w:lineRule="exact"/>
        <w:ind w:left="0" w:right="0" w:firstLine="0"/>
        <w:jc w:val="left"/>
      </w:pPr>
      <w:bookmarkStart w:id="530" w:name="bookmark530"/>
      <w:bookmarkEnd w:id="530"/>
      <w:r>
        <w:rPr>
          <w:color w:val="000000"/>
          <w:spacing w:val="0"/>
          <w:w w:val="100"/>
          <w:position w:val="0"/>
        </w:rPr>
        <w:t>对管理层使用持续经营假设的恰当性得出结论。同时，根据获取的审计证据，就可能导致对建科院集团持续经营能力产 生重大疑虑的事项或情况是否存在重大不确定性得出结论。如果我们得出结论认为存在重大不确定性，审计准则要求我们 在审计报告中提请报表使用者注意财务报表中的相关披露；如果披露不充分，我们应当发表非无保留意见。我们的结论基 于截至审计报告日可获得的信息。然而，未来的事项或情况可能导致建科院集团不能持续经营。</w:t>
      </w:r>
    </w:p>
    <w:p>
      <w:pPr>
        <w:pStyle w:val="Style20"/>
        <w:keepNext w:val="0"/>
        <w:keepLines w:val="0"/>
        <w:widowControl w:val="0"/>
        <w:numPr>
          <w:ilvl w:val="0"/>
          <w:numId w:val="43"/>
        </w:numPr>
        <w:shd w:val="clear" w:color="auto" w:fill="auto"/>
        <w:tabs>
          <w:tab w:pos="375" w:val="left"/>
        </w:tabs>
        <w:bidi w:val="0"/>
        <w:spacing w:before="0" w:after="0"/>
        <w:ind w:left="0" w:right="0" w:firstLine="0"/>
        <w:jc w:val="left"/>
      </w:pPr>
      <w:bookmarkStart w:id="531" w:name="bookmark531"/>
      <w:bookmarkEnd w:id="531"/>
      <w:r>
        <w:rPr>
          <w:color w:val="000000"/>
          <w:spacing w:val="0"/>
          <w:w w:val="100"/>
          <w:position w:val="0"/>
        </w:rPr>
        <w:t>评价财务报表的总体列报、结构和内容</w:t>
      </w:r>
      <w:r>
        <w:rPr>
          <w:rFonts w:ascii="Times New Roman" w:eastAsia="Times New Roman" w:hAnsi="Times New Roman" w:cs="Times New Roman"/>
          <w:color w:val="000000"/>
          <w:spacing w:val="0"/>
          <w:w w:val="100"/>
          <w:position w:val="0"/>
        </w:rPr>
        <w:t>(</w:t>
      </w:r>
      <w:r>
        <w:rPr>
          <w:color w:val="000000"/>
          <w:spacing w:val="0"/>
          <w:w w:val="100"/>
          <w:position w:val="0"/>
        </w:rPr>
        <w:t>包括披露</w:t>
      </w:r>
      <w:r>
        <w:rPr>
          <w:rFonts w:ascii="Times New Roman" w:eastAsia="Times New Roman" w:hAnsi="Times New Roman" w:cs="Times New Roman"/>
          <w:color w:val="000000"/>
          <w:spacing w:val="0"/>
          <w:w w:val="100"/>
          <w:position w:val="0"/>
        </w:rPr>
        <w:t>)</w:t>
      </w:r>
      <w:r>
        <w:rPr>
          <w:color w:val="000000"/>
          <w:spacing w:val="0"/>
          <w:w w:val="100"/>
          <w:position w:val="0"/>
        </w:rPr>
        <w:t>，并评价财务报表是否公允反映相关交易和事项。</w:t>
      </w:r>
    </w:p>
    <w:p>
      <w:pPr>
        <w:pStyle w:val="Style20"/>
        <w:keepNext w:val="0"/>
        <w:keepLines w:val="0"/>
        <w:widowControl w:val="0"/>
        <w:numPr>
          <w:ilvl w:val="0"/>
          <w:numId w:val="43"/>
        </w:numPr>
        <w:shd w:val="clear" w:color="auto" w:fill="auto"/>
        <w:tabs>
          <w:tab w:pos="375" w:val="left"/>
        </w:tabs>
        <w:bidi w:val="0"/>
        <w:spacing w:before="0" w:after="0" w:line="313" w:lineRule="exact"/>
        <w:ind w:left="0" w:right="0" w:firstLine="0"/>
        <w:jc w:val="left"/>
      </w:pPr>
      <w:bookmarkStart w:id="532" w:name="bookmark532"/>
      <w:bookmarkEnd w:id="532"/>
      <w:r>
        <w:rPr>
          <w:color w:val="000000"/>
          <w:spacing w:val="0"/>
          <w:w w:val="100"/>
          <w:position w:val="0"/>
        </w:rPr>
        <w:t>就建科院集团中实体或业务活动的财务信息获取充分、适当的审计证据，以对财务报表发表审计意见。我们负责指导、 监督和执行集团审计，并对审计意见承担全部责任。</w:t>
      </w:r>
    </w:p>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我们与治理层就计划的审计范围、时间安排和重大审计发现等事项进行沟通，包括沟通我们在审计中识别出的值得关注的 内部控制缺陷。</w:t>
      </w:r>
    </w:p>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我们还就已遵守与独立性相关的职业道德要求向治理层提供声明，并与治理层沟通可能被合理认为影响我们独立性的所有 关系和其他事项，以及相关的防范措施</w:t>
      </w:r>
      <w:r>
        <w:rPr>
          <w:color w:val="000000"/>
          <w:spacing w:val="0"/>
          <w:w w:val="100"/>
          <w:position w:val="0"/>
        </w:rPr>
        <w:t>(</w:t>
      </w:r>
      <w:r>
        <w:rPr>
          <w:color w:val="000000"/>
          <w:spacing w:val="0"/>
          <w:w w:val="100"/>
          <w:position w:val="0"/>
        </w:rPr>
        <w:t>如适用</w:t>
      </w:r>
      <w:r>
        <w:rPr>
          <w:color w:val="000000"/>
          <w:spacing w:val="0"/>
          <w:w w:val="100"/>
          <w:position w:val="0"/>
        </w:rPr>
        <w:t>)</w:t>
      </w:r>
      <w:r>
        <w:rPr>
          <w:color w:val="000000"/>
          <w:spacing w:val="0"/>
          <w:w w:val="100"/>
          <w:position w:val="0"/>
        </w:rPr>
        <w:t>。</w:t>
      </w:r>
    </w:p>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从与治理层沟通过的事项中，我们确定哪些事项对本期财务报表审计最为重要，因而构成关键审计事项。我们在审计报告 中描述这些事项，除非法律法规禁止公开披露这些事项，或在极少数情形下，如果合理预期在审计报告中沟通某事项造成 的负面后果超过在公众利益方面产生的益处，我们确定不应在审计报告中沟通该事项。</w:t>
      </w:r>
    </w:p>
    <w:p>
      <w:pPr>
        <w:widowControl w:val="0"/>
        <w:spacing w:line="1" w:lineRule="exact"/>
        <w:sectPr>
          <w:footnotePr>
            <w:pos w:val="pageBottom"/>
            <w:numFmt w:val="decimal"/>
            <w:numRestart w:val="continuous"/>
          </w:footnotePr>
          <w:pgSz w:w="11900" w:h="16840"/>
          <w:pgMar w:top="1474" w:right="1142" w:bottom="1350" w:left="1100" w:header="0" w:footer="3" w:gutter="0"/>
          <w:cols w:space="720"/>
          <w:noEndnote/>
          <w:rtlGutter w:val="0"/>
          <w:docGrid w:linePitch="360"/>
        </w:sectPr>
      </w:pPr>
      <w:r>
        <mc:AlternateContent>
          <mc:Choice Requires="wps">
            <w:drawing>
              <wp:anchor distT="546100" distB="0" distL="0" distR="0" simplePos="0" relativeHeight="125829382" behindDoc="0" locked="0" layoutInCell="1" allowOverlap="1">
                <wp:simplePos x="0" y="0"/>
                <wp:positionH relativeFrom="page">
                  <wp:posOffset>998855</wp:posOffset>
                </wp:positionH>
                <wp:positionV relativeFrom="paragraph">
                  <wp:posOffset>546100</wp:posOffset>
                </wp:positionV>
                <wp:extent cx="2136775" cy="149225"/>
                <wp:wrapTopAndBottom/>
                <wp:docPr id="6" name="Shape 6"/>
                <a:graphic xmlns:a="http://schemas.openxmlformats.org/drawingml/2006/main">
                  <a:graphicData uri="http://schemas.microsoft.com/office/word/2010/wordprocessingShape">
                    <wps:wsp>
                      <wps:cNvSpPr txBox="1"/>
                      <wps:spPr>
                        <a:xfrm>
                          <a:ext cx="2136775" cy="14922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毕马威华振会计师事务所(特殊普通合伙)</w:t>
                            </w:r>
                          </w:p>
                        </w:txbxContent>
                      </wps:txbx>
                      <wps:bodyPr wrap="none" lIns="0" tIns="0" rIns="0" bIns="0">
                        <a:noAutoFit/>
                      </wps:bodyPr>
                    </wps:wsp>
                  </a:graphicData>
                </a:graphic>
              </wp:anchor>
            </w:drawing>
          </mc:Choice>
          <mc:Fallback>
            <w:pict>
              <v:shape id="_x0000_s1032" type="#_x0000_t202" style="position:absolute;margin-left:78.650000000000006pt;margin-top:43.pt;width:168.25pt;height:11.75pt;z-index:-125829371;mso-wrap-distance-left:0;mso-wrap-distance-top:43.pt;mso-wrap-distance-right:0;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毕马威华振会计师事务所(特殊普通合伙)</w:t>
                      </w:r>
                    </w:p>
                  </w:txbxContent>
                </v:textbox>
                <w10:wrap type="topAndBottom" anchorx="page"/>
              </v:shape>
            </w:pict>
          </mc:Fallback>
        </mc:AlternateContent>
      </w:r>
      <w:r>
        <mc:AlternateContent>
          <mc:Choice Requires="wps">
            <w:drawing>
              <wp:anchor distT="546100" distB="0" distL="0" distR="0" simplePos="0" relativeHeight="125829384" behindDoc="0" locked="0" layoutInCell="1" allowOverlap="1">
                <wp:simplePos x="0" y="0"/>
                <wp:positionH relativeFrom="page">
                  <wp:posOffset>4147185</wp:posOffset>
                </wp:positionH>
                <wp:positionV relativeFrom="paragraph">
                  <wp:posOffset>546100</wp:posOffset>
                </wp:positionV>
                <wp:extent cx="816610" cy="149225"/>
                <wp:wrapTopAndBottom/>
                <wp:docPr id="8" name="Shape 8"/>
                <a:graphic xmlns:a="http://schemas.openxmlformats.org/drawingml/2006/main">
                  <a:graphicData uri="http://schemas.microsoft.com/office/word/2010/wordprocessingShape">
                    <wps:wsp>
                      <wps:cNvSpPr txBox="1"/>
                      <wps:spPr>
                        <a:xfrm>
                          <a:ext cx="816610" cy="14922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wps:txbx>
                      <wps:bodyPr wrap="none" lIns="0" tIns="0" rIns="0" bIns="0">
                        <a:noAutoFit/>
                      </wps:bodyPr>
                    </wps:wsp>
                  </a:graphicData>
                </a:graphic>
              </wp:anchor>
            </w:drawing>
          </mc:Choice>
          <mc:Fallback>
            <w:pict>
              <v:shape id="_x0000_s1034" type="#_x0000_t202" style="position:absolute;margin-left:326.55000000000001pt;margin-top:43.pt;width:64.299999999999997pt;height:11.75pt;z-index:-125829369;mso-wrap-distance-left:0;mso-wrap-distance-top:43.pt;mso-wrap-distance-right:0;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v:textbox>
                <w10:wrap type="topAndBottom" anchorx="page"/>
              </v:shape>
            </w:pict>
          </mc:Fallback>
        </mc:AlternateConten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0" w:after="50"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85" w:right="0" w:bottom="1411" w:left="0" w:header="0" w:footer="3" w:gutter="0"/>
          <w:cols w:space="720"/>
          <w:noEndnote/>
          <w:rtlGutter w:val="0"/>
          <w:docGrid w:linePitch="360"/>
        </w:sectPr>
      </w:pPr>
    </w:p>
    <w:p>
      <w:pPr>
        <w:pStyle w:val="Style20"/>
        <w:keepNext w:val="0"/>
        <w:keepLines w:val="0"/>
        <w:widowControl w:val="0"/>
        <w:shd w:val="clear" w:color="auto" w:fill="auto"/>
        <w:bidi w:val="0"/>
        <w:spacing w:before="0" w:after="1420" w:line="240" w:lineRule="auto"/>
        <w:ind w:left="5400" w:right="0" w:firstLine="0"/>
        <w:jc w:val="left"/>
      </w:pPr>
      <w:r>
        <w:rPr>
          <w:color w:val="000000"/>
          <w:spacing w:val="0"/>
          <w:w w:val="100"/>
          <w:position w:val="0"/>
        </w:rPr>
        <w:t>陈泳意(项目合伙人)</w:t>
      </w:r>
    </w:p>
    <w:p>
      <w:pPr>
        <w:pStyle w:val="Style20"/>
        <w:keepNext w:val="0"/>
        <w:keepLines w:val="0"/>
        <w:widowControl w:val="0"/>
        <w:shd w:val="clear" w:color="auto" w:fill="auto"/>
        <w:bidi w:val="0"/>
        <w:spacing w:before="0" w:after="320" w:line="240" w:lineRule="auto"/>
        <w:ind w:left="3920" w:right="0" w:firstLine="0"/>
        <w:jc w:val="left"/>
      </w:pPr>
      <w:r>
        <mc:AlternateContent>
          <mc:Choice Requires="wps">
            <w:drawing>
              <wp:anchor distT="0" distB="0" distL="114300" distR="114300" simplePos="0" relativeHeight="125829386" behindDoc="0" locked="0" layoutInCell="1" allowOverlap="1">
                <wp:simplePos x="0" y="0"/>
                <wp:positionH relativeFrom="page">
                  <wp:posOffset>1005205</wp:posOffset>
                </wp:positionH>
                <wp:positionV relativeFrom="paragraph">
                  <wp:posOffset>12700</wp:posOffset>
                </wp:positionV>
                <wp:extent cx="533400" cy="146050"/>
                <wp:wrapSquare wrapText="right"/>
                <wp:docPr id="10" name="Shape 10"/>
                <a:graphic xmlns:a="http://schemas.openxmlformats.org/drawingml/2006/main">
                  <a:graphicData uri="http://schemas.microsoft.com/office/word/2010/wordprocessingShape">
                    <wps:wsp>
                      <wps:cNvSpPr txBox="1"/>
                      <wps:spPr>
                        <a:xfrm>
                          <a:ext cx="533400" cy="14605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wps:txbx>
                      <wps:bodyPr wrap="none" lIns="0" tIns="0" rIns="0" bIns="0">
                        <a:noAutoFit/>
                      </wps:bodyPr>
                    </wps:wsp>
                  </a:graphicData>
                </a:graphic>
              </wp:anchor>
            </w:drawing>
          </mc:Choice>
          <mc:Fallback>
            <w:pict>
              <v:shape id="_x0000_s1036" type="#_x0000_t202" style="position:absolute;margin-left:79.150000000000006pt;margin-top:1.pt;width:42.pt;height:11.5pt;z-index:-125829367;mso-wrap-distance-left:9.pt;mso-wrap-distance-right:9.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v:textbox>
                <w10:wrap type="square" side="right" anchorx="page"/>
              </v:shape>
            </w:pict>
          </mc:Fallback>
        </mc:AlternateContent>
      </w:r>
      <w:r>
        <w:rPr>
          <w:color w:val="000000"/>
          <w:spacing w:val="0"/>
          <w:w w:val="100"/>
          <w:position w:val="0"/>
        </w:rPr>
        <w:t>刘琬婷</w:t>
      </w:r>
    </w:p>
    <w:p>
      <w:pPr>
        <w:pStyle w:val="Style20"/>
        <w:keepNext w:val="0"/>
        <w:keepLines w:val="0"/>
        <w:widowControl w:val="0"/>
        <w:shd w:val="clear" w:color="auto" w:fill="auto"/>
        <w:bidi w:val="0"/>
        <w:spacing w:before="0" w:after="0" w:line="240" w:lineRule="auto"/>
        <w:ind w:left="5400" w:right="0" w:firstLine="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r>
        <w:br w:type="page"/>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4"/>
          <w:szCs w:val="24"/>
        </w:rPr>
        <w:t>二、财务报表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31"/>
        <w:keepNext/>
        <w:keepLines/>
        <w:widowControl w:val="0"/>
        <w:shd w:val="clear" w:color="auto" w:fill="auto"/>
        <w:bidi w:val="0"/>
        <w:spacing w:before="0" w:line="240" w:lineRule="auto"/>
        <w:ind w:left="0" w:right="0" w:firstLine="0"/>
        <w:jc w:val="left"/>
      </w:pPr>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533"/>
      <w:bookmarkEnd w:id="534"/>
      <w:bookmarkEnd w:id="535"/>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编制单位：深圳市建筑科学研究院股份有限公司</w:t>
      </w:r>
    </w:p>
    <w:p>
      <w:pPr>
        <w:pStyle w:val="Style23"/>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30"/>
        <w:gridCol w:w="2693"/>
        <w:gridCol w:w="305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224,399,259.99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291,165,712.09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1,294,394.32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10,579,339.38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328,014,424.65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322,491,461.71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4,640,936.86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3,635,072.42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6,766,408.80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7,023,485.02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11,590,145.53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103,429.78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102,552.40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107,796,693.40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72,479,031.74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4,829,313.31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13,137,036.12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681,737,009.75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728,321,687.77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3,430,264.03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3,610,696.80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105,683,693.68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109,460,063.66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394,651,249.73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331,186,836.96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29,572,684.59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84,626,639.45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91,136,825.05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622,540.38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12,133,111.44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21,569,514.26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19,638,499.73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21,259,522.57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5,315,385.76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3,417,486.09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655,674,068.79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581,640,945.39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1,337,411,078.54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1,309,962,633.16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120,115,000.00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110,099,944.44</w:t>
            </w:r>
          </w:p>
        </w:tc>
      </w:tr>
    </w:tbl>
    <w:p>
      <w:pPr>
        <w:widowControl w:val="0"/>
        <w:spacing w:line="1" w:lineRule="exact"/>
      </w:pPr>
      <w:r>
        <w:br w:type="page"/>
      </w:r>
    </w:p>
    <w:tbl>
      <w:tblPr>
        <w:tblOverlap w:val="never"/>
        <w:jc w:val="center"/>
        <w:tblLayout w:type="fixed"/>
      </w:tblPr>
      <w:tblGrid>
        <w:gridCol w:w="3830"/>
        <w:gridCol w:w="2698"/>
        <w:gridCol w:w="3053"/>
      </w:tblGrid>
      <w:tr>
        <w:trPr>
          <w:trHeight w:val="4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212,421,783.50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214,364,677.43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1,837,574.99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2,448,493.70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15,626,783.61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23,250,047.76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41,281,896.57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49,255,825.02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8,540,295.86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13,169,228.51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25,385,776.82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66,269,232.78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28,078,843.67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294,027.78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23,398,755.50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22,490,942.38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476,686,710.52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501,642,419.80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243,586,957.39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228,000,000.00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11,851,112.11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43,716,436.62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53,201,555.40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290,886.03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321,952.36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299,445,392.15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281,523,507.76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776,132,102.67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783,165,927.56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146,666,700.00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146,666,700.00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127,541,353.92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127,541,353.92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21,334,822.96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18,896,111.68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239,305,823.19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210,437,746.91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534,848,700.07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503,541,912.51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26,430,275.80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23,254,793.09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561,278,975.87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526,796,705.60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1,337,411,078.54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1,309,962,633.16</w:t>
            </w:r>
          </w:p>
        </w:tc>
      </w:tr>
    </w:tbl>
    <w:p>
      <w:pPr>
        <w:pStyle w:val="Style31"/>
        <w:keepNext/>
        <w:keepLines/>
        <w:widowControl w:val="0"/>
        <w:shd w:val="clear" w:color="auto" w:fill="auto"/>
        <w:bidi w:val="0"/>
        <w:spacing w:before="0" w:line="240" w:lineRule="auto"/>
        <w:ind w:left="0" w:right="0" w:firstLine="0"/>
        <w:jc w:val="left"/>
      </w:pPr>
      <w:r>
        <mc:AlternateContent>
          <mc:Choice Requires="wps">
            <w:drawing>
              <wp:anchor distT="152400" distB="0" distL="114300" distR="5262245" simplePos="0" relativeHeight="125829388" behindDoc="0" locked="0" layoutInCell="1" allowOverlap="1">
                <wp:simplePos x="0" y="0"/>
                <wp:positionH relativeFrom="page">
                  <wp:posOffset>709295</wp:posOffset>
                </wp:positionH>
                <wp:positionV relativeFrom="margin">
                  <wp:posOffset>6581140</wp:posOffset>
                </wp:positionV>
                <wp:extent cx="941705" cy="149225"/>
                <wp:wrapTopAndBottom/>
                <wp:docPr id="12" name="Shape 12"/>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法定代表人：叶青</w:t>
                            </w:r>
                          </w:p>
                        </w:txbxContent>
                      </wps:txbx>
                      <wps:bodyPr wrap="none" lIns="0" tIns="0" rIns="0" bIns="0">
                        <a:noAutoFit/>
                      </wps:bodyPr>
                    </wps:wsp>
                  </a:graphicData>
                </a:graphic>
              </wp:anchor>
            </w:drawing>
          </mc:Choice>
          <mc:Fallback>
            <w:pict>
              <v:shape id="_x0000_s1038" type="#_x0000_t202" style="position:absolute;margin-left:55.850000000000001pt;margin-top:518.20000000000005pt;width:74.150000000000006pt;height:11.75pt;z-index:-125829365;mso-wrap-distance-left:9.pt;mso-wrap-distance-top:12.pt;mso-wrap-distance-right:414.35000000000002pt;mso-position-horizontal-relative:page;mso-position-vertical-relative:margin"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法定代表人：叶青</w:t>
                      </w:r>
                    </w:p>
                  </w:txbxContent>
                </v:textbox>
                <w10:wrap type="topAndBottom" anchorx="page" anchory="margin"/>
              </v:shape>
            </w:pict>
          </mc:Fallback>
        </mc:AlternateContent>
      </w:r>
      <w:r>
        <mc:AlternateContent>
          <mc:Choice Requires="wps">
            <w:drawing>
              <wp:anchor distT="152400" distB="3175" distL="2290445" distR="2519045" simplePos="0" relativeHeight="125829390" behindDoc="0" locked="0" layoutInCell="1" allowOverlap="1">
                <wp:simplePos x="0" y="0"/>
                <wp:positionH relativeFrom="page">
                  <wp:posOffset>2885440</wp:posOffset>
                </wp:positionH>
                <wp:positionV relativeFrom="margin">
                  <wp:posOffset>6581140</wp:posOffset>
                </wp:positionV>
                <wp:extent cx="1508760" cy="146050"/>
                <wp:wrapTopAndBottom/>
                <wp:docPr id="14" name="Shape 14"/>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主管会计工作负责人：叶小平</w:t>
                            </w:r>
                          </w:p>
                        </w:txbxContent>
                      </wps:txbx>
                      <wps:bodyPr wrap="none" lIns="0" tIns="0" rIns="0" bIns="0">
                        <a:noAutoFit/>
                      </wps:bodyPr>
                    </wps:wsp>
                  </a:graphicData>
                </a:graphic>
              </wp:anchor>
            </w:drawing>
          </mc:Choice>
          <mc:Fallback>
            <w:pict>
              <v:shape id="_x0000_s1040" type="#_x0000_t202" style="position:absolute;margin-left:227.20000000000002pt;margin-top:518.20000000000005pt;width:118.8pt;height:11.5pt;z-index:-125829363;mso-wrap-distance-left:180.34999999999999pt;mso-wrap-distance-top:12.pt;mso-wrap-distance-right:198.34999999999999pt;mso-wrap-distance-bottom:0.25pt;mso-position-horizontal-relative:page;mso-position-vertical-relative:margin"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主管会计工作负责人：叶小平</w:t>
                      </w:r>
                    </w:p>
                  </w:txbxContent>
                </v:textbox>
                <w10:wrap type="topAndBottom" anchorx="page" anchory="margin"/>
              </v:shape>
            </w:pict>
          </mc:Fallback>
        </mc:AlternateContent>
      </w:r>
      <w:r>
        <mc:AlternateContent>
          <mc:Choice Requires="wps">
            <w:drawing>
              <wp:anchor distT="152400" distB="0" distL="5033645" distR="114300" simplePos="0" relativeHeight="125829392" behindDoc="0" locked="0" layoutInCell="1" allowOverlap="1">
                <wp:simplePos x="0" y="0"/>
                <wp:positionH relativeFrom="page">
                  <wp:posOffset>5628640</wp:posOffset>
                </wp:positionH>
                <wp:positionV relativeFrom="margin">
                  <wp:posOffset>6581140</wp:posOffset>
                </wp:positionV>
                <wp:extent cx="1170305" cy="149225"/>
                <wp:wrapTopAndBottom/>
                <wp:docPr id="16" name="Shape 16"/>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会计机构负责人：周元</w:t>
                            </w:r>
                          </w:p>
                        </w:txbxContent>
                      </wps:txbx>
                      <wps:bodyPr wrap="none" lIns="0" tIns="0" rIns="0" bIns="0">
                        <a:noAutoFit/>
                      </wps:bodyPr>
                    </wps:wsp>
                  </a:graphicData>
                </a:graphic>
              </wp:anchor>
            </w:drawing>
          </mc:Choice>
          <mc:Fallback>
            <w:pict>
              <v:shape id="_x0000_s1042" type="#_x0000_t202" style="position:absolute;margin-left:443.19999999999999pt;margin-top:518.20000000000005pt;width:92.150000000000006pt;height:11.75pt;z-index:-125829361;mso-wrap-distance-left:396.35000000000002pt;mso-wrap-distance-top:12.pt;mso-wrap-distance-right:9.pt;mso-position-horizontal-relative:page;mso-position-vertical-relative:margin"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会计机构负责人：周元</w:t>
                      </w:r>
                    </w:p>
                  </w:txbxContent>
                </v:textbox>
                <w10:wrap type="topAndBottom" anchorx="page" anchory="margin"/>
              </v:shape>
            </w:pict>
          </mc:Fallback>
        </mc:AlternateContent>
      </w:r>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536"/>
      <w:bookmarkEnd w:id="537"/>
      <w:bookmarkEnd w:id="53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30"/>
        <w:gridCol w:w="2693"/>
        <w:gridCol w:w="305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142,259,800.85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206,987,328.37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152,720.40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8,902,831.38</w:t>
            </w:r>
          </w:p>
        </w:tc>
      </w:tr>
    </w:tbl>
    <w:p>
      <w:pPr>
        <w:widowControl w:val="0"/>
        <w:spacing w:line="1" w:lineRule="exact"/>
      </w:pPr>
      <w:r>
        <w:br w:type="page"/>
      </w:r>
    </w:p>
    <w:tbl>
      <w:tblPr>
        <w:tblOverlap w:val="never"/>
        <w:jc w:val="center"/>
        <w:tblLayout w:type="fixed"/>
      </w:tblPr>
      <w:tblGrid>
        <w:gridCol w:w="3830"/>
        <w:gridCol w:w="2698"/>
        <w:gridCol w:w="3053"/>
      </w:tblGrid>
      <w:tr>
        <w:trPr>
          <w:trHeight w:val="4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304,250,325.44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328,025,837.26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2,665,518.80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1,657,756.69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4,690,563.01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15,064,712.43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12,282,630.54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105,170,321.59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70,465,974.90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3,217,055.31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10,473,839.02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574,442,086.51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641,838,304.48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83,999,745.29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69,180,178.06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66,816,705.39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68,711,682.68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395,594,858.04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331,783,910.61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18,262,555.84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76,378,081.56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83,019,153.37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622,540.38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10,270,178.82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18,831,455.19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15,509,000.56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17,338,695.72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4,063,188.27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780,542.40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671,516,854.15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589,645,618.03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1,245,958,940.66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1,231,483,922.51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110,105,138.89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100,099,944.44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215,877,503.82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229,965,752.78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120,227.55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274,203.70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6,098,740.58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9,629,977.27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18,373,521.98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30,490,422.49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4,686,663.61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7,712,103.02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117,420,398.16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124,402,672.20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23,433,126.81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294,027.78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14,450,407.24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17,666,123.24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510,565,728.64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520,535,226.92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243,586,957.39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228,000,000.00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5,172,561.50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w:t>
            </w:r>
          </w:p>
        </w:tc>
      </w:tr>
    </w:tbl>
    <w:p>
      <w:pPr>
        <w:widowControl w:val="0"/>
        <w:spacing w:line="1" w:lineRule="exact"/>
      </w:pPr>
      <w:r>
        <w:br w:type="page"/>
      </w:r>
    </w:p>
    <w:tbl>
      <w:tblPr>
        <w:tblOverlap w:val="never"/>
        <w:jc w:val="center"/>
        <w:tblLayout w:type="fixed"/>
      </w:tblPr>
      <w:tblGrid>
        <w:gridCol w:w="3830"/>
        <w:gridCol w:w="2698"/>
        <w:gridCol w:w="3053"/>
      </w:tblGrid>
      <w:tr>
        <w:trPr>
          <w:trHeight w:val="4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39,293,475.01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46,795,587.25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288,052,993.90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274,795,587.25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798,618,722.54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795,330,814.17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146,666,700.00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146,666,700.00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128,053,280.71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128,053,280.71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21,281,318.29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18,842,607.01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151,338,919.12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142,590,520.62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447,340,218.12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436,153,108.34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1,245,958,940.66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1,231,483,922.51</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3</w:t>
      </w:r>
      <w:bookmarkEnd w:id="541"/>
      <w:r>
        <w:rPr>
          <w:color w:val="000000"/>
          <w:spacing w:val="0"/>
          <w:w w:val="100"/>
          <w:position w:val="0"/>
        </w:rPr>
        <w:t>、合并利润表</w:t>
      </w:r>
      <w:bookmarkEnd w:id="539"/>
      <w:bookmarkEnd w:id="540"/>
      <w:bookmarkEnd w:id="54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24"/>
        <w:gridCol w:w="2410"/>
        <w:gridCol w:w="234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502,831,397.93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506,457,668.54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502,831,397.93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506,457,668.54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462,904,659.71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466,847,869.03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305,043,513.48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330,897,581.35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2,191,475.30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1,946,780.19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45,178,198.42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45,796,399.22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60,619,776.84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52,317,467.02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47,152,663.24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35,648,650.23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2,719,032.43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240,991.02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3,945,417.40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1,011,550.33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1,368,254.85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918,544.71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14,941,135.28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22,088,247.41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-180,317.71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326,217.72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-180,432.77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-126,780.92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-5,170,313.19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-10,249,893.13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-1,024,046.89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-1,597,261.30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16,052.21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-99,622.82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48,509,247.92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50,077,487.39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3,541,550.23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2,313,089.47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66,246.17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2,001.39</w:t>
            </w:r>
          </w:p>
        </w:tc>
      </w:tr>
    </w:tbl>
    <w:p>
      <w:pPr>
        <w:widowControl w:val="0"/>
        <w:spacing w:line="1" w:lineRule="exact"/>
      </w:pPr>
      <w:r>
        <w:br w:type="page"/>
      </w:r>
    </w:p>
    <w:tbl>
      <w:tblPr>
        <w:tblOverlap w:val="never"/>
        <w:jc w:val="center"/>
        <w:tblLayout w:type="fixed"/>
      </w:tblPr>
      <w:tblGrid>
        <w:gridCol w:w="4824"/>
        <w:gridCol w:w="2419"/>
        <w:gridCol w:w="2338"/>
      </w:tblGrid>
      <w:tr>
        <w:trPr>
          <w:trHeight w:val="4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51,984,551.98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52,388,575.47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4,401,378.71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5,340,882.72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47,583,173.27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47,047,692.75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47,583,173.27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47,047,692.75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44,506,790.56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43,866,588.22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3,076,382.71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3,181,104.53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47,583,173.27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47,047,692.75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44,506,790.56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43,866,588.22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3,076,382.71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3,181,104.53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0.2991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0.3035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0.2991</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0"/>
        <w:keepNext w:val="0"/>
        <w:keepLines w:val="0"/>
        <w:widowControl w:val="0"/>
        <w:shd w:val="clear" w:color="auto" w:fill="auto"/>
        <w:tabs>
          <w:tab w:pos="3422" w:val="left"/>
          <w:tab w:pos="7742" w:val="left"/>
        </w:tabs>
        <w:bidi w:val="0"/>
        <w:spacing w:before="0" w:after="380" w:line="240" w:lineRule="auto"/>
        <w:ind w:left="0" w:right="0" w:firstLine="0"/>
        <w:jc w:val="left"/>
      </w:pPr>
      <w:r>
        <w:rPr>
          <w:color w:val="000000"/>
          <w:spacing w:val="0"/>
          <w:w w:val="100"/>
          <w:position w:val="0"/>
        </w:rPr>
        <w:t>法定代表人：叶青</w:t>
        <w:tab/>
        <w:t>主管会计工作负责人：叶小平</w:t>
        <w:tab/>
        <w:t>会计机构负责人：周元</w:t>
      </w:r>
    </w:p>
    <w:p>
      <w:pPr>
        <w:pStyle w:val="Style31"/>
        <w:keepNext/>
        <w:keepLines/>
        <w:widowControl w:val="0"/>
        <w:shd w:val="clear" w:color="auto" w:fill="auto"/>
        <w:bidi w:val="0"/>
        <w:spacing w:before="0" w:after="380" w:line="240" w:lineRule="auto"/>
        <w:ind w:left="0" w:right="0" w:firstLine="0"/>
        <w:jc w:val="left"/>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4</w:t>
      </w:r>
      <w:bookmarkEnd w:id="545"/>
      <w:r>
        <w:rPr>
          <w:color w:val="000000"/>
          <w:spacing w:val="0"/>
          <w:w w:val="100"/>
          <w:position w:val="0"/>
        </w:rPr>
        <w:t>、母公司利润表</w:t>
      </w:r>
      <w:bookmarkEnd w:id="543"/>
      <w:bookmarkEnd w:id="544"/>
      <w:bookmarkEnd w:id="54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24"/>
        <w:gridCol w:w="2410"/>
        <w:gridCol w:w="234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294,515,906.57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356,721,195.28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170,242,754.31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238,590,371.29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1,119,906.43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1,066,277.12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37,635,107.46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37,150,572.40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45,425,010.59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38,734,358.38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29,752,875.29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25,766,385.83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1,952,578.86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347,217.48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3,003,385.77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1,011,550.33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1,094,985.59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697,160.74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12,561,001.24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17,720,431.49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1,086,767.23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326,217.72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-180,432.77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-126,780.92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2,638,359.41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-4,246,511.01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-1,037,451.89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-2,013,163.56</w:t>
            </w:r>
          </w:p>
        </w:tc>
      </w:tr>
    </w:tbl>
    <w:p>
      <w:pPr>
        <w:widowControl w:val="0"/>
        <w:spacing w:line="1" w:lineRule="exact"/>
      </w:pPr>
      <w:r>
        <w:br w:type="page"/>
      </w:r>
    </w:p>
    <w:tbl>
      <w:tblPr>
        <w:tblOverlap w:val="never"/>
        <w:jc w:val="center"/>
        <w:tblLayout w:type="fixed"/>
      </w:tblPr>
      <w:tblGrid>
        <w:gridCol w:w="4824"/>
        <w:gridCol w:w="2419"/>
        <w:gridCol w:w="2338"/>
      </w:tblGrid>
      <w:tr>
        <w:trPr>
          <w:trHeight w:val="4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16,052.21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23,652,401.83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26,854,107.42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2,707,342.07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1,505,304.89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26,359,743.90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28,359,412.31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1,972,631.12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3,601,614.12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24,387,112.78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24,757,798.19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24,387,112.78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24,757,798.19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24,387,112.78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24,757,798.19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5</w:t>
      </w:r>
      <w:bookmarkEnd w:id="549"/>
      <w:r>
        <w:rPr>
          <w:color w:val="000000"/>
          <w:spacing w:val="0"/>
          <w:w w:val="100"/>
          <w:position w:val="0"/>
        </w:rPr>
        <w:t>、合并现金流量表</w:t>
      </w:r>
      <w:bookmarkEnd w:id="547"/>
      <w:bookmarkEnd w:id="548"/>
      <w:bookmarkEnd w:id="55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74"/>
        <w:gridCol w:w="2160"/>
        <w:gridCol w:w="234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457,828,170.93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437,575,957.43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25,689,554.59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67,793,752.61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483,517,725.52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505,369,710.04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119,220,417.33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163,779,493.32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245,730,643.61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213,084,404.46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21,508,982.53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22,941,499.09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55,018,204.07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39,910,992.02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441,478,247.54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439,716,388.89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42,039,477.98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65,653,321.15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43,000,000.00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1,232,894.53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25,017.21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43,422.00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4,035,132.27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44,276,316.53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62,173,952.45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135,375,118.89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62,173,952.45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135,385,118.89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-58,138,820.18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-91,108,802.36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074"/>
        <w:gridCol w:w="2170"/>
        <w:gridCol w:w="2338"/>
      </w:tblGrid>
      <w:tr>
        <w:trPr>
          <w:trHeight w:val="4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369,383,570.16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190,000,000.00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371,383,570.16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28,840,598.92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21,969,333.15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20,989,449.08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387,830,048.00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123,969,333.15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-16,446,477.84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66,030,666.85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-32,545,820.04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40,575,185.64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241,360,212.83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200,785,027.19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208,814,392.79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241,360,212.83</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6</w:t>
      </w:r>
      <w:bookmarkEnd w:id="553"/>
      <w:r>
        <w:rPr>
          <w:color w:val="000000"/>
          <w:spacing w:val="0"/>
          <w:w w:val="100"/>
          <w:position w:val="0"/>
        </w:rPr>
        <w:t>、母公司现金流量表</w:t>
      </w:r>
      <w:bookmarkEnd w:id="551"/>
      <w:bookmarkEnd w:id="552"/>
      <w:bookmarkEnd w:id="55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246"/>
        <w:gridCol w:w="1987"/>
        <w:gridCol w:w="234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282,985,189.02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266,866,308.40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45,822,100.22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110,876,234.17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328,807,289.24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377,742,542.57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112,234,406.61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153,696,638.68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129,572,991.26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127,220,853.90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5,948,009.33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13,157,891.44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33,239,137.04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31,300,712.97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280,994,544.24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325,376,096.99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47,812,745.00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52,366,445.58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43,000,000.00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1,267,200.00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1,232,894.53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25,017.21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5,292,217.21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44,234,014.53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58,094,688.46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114,964,901.47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15,000,000.00</w:t>
            </w:r>
          </w:p>
        </w:tc>
      </w:tr>
    </w:tbl>
    <w:p>
      <w:pPr>
        <w:widowControl w:val="0"/>
        <w:spacing w:line="1" w:lineRule="exact"/>
      </w:pPr>
      <w:r>
        <w:br w:type="page"/>
      </w:r>
    </w:p>
    <w:tbl>
      <w:tblPr>
        <w:tblOverlap w:val="never"/>
        <w:jc w:val="center"/>
        <w:tblLayout w:type="fixed"/>
      </w:tblPr>
      <w:tblGrid>
        <w:gridCol w:w="5242"/>
        <w:gridCol w:w="2002"/>
        <w:gridCol w:w="2338"/>
      </w:tblGrid>
      <w:tr>
        <w:trPr>
          <w:trHeight w:val="4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73,094,688.46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129,964,901.47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-67,802,471.25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-85,730,886.94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359,383,570.16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359,383,570.16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26,552,441.24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21,969,333.15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14,699,968.97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369,252,410.21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123,969,333.15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-9,868,840.05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56,030,666.85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-29,858,566.30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22,666,225.49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159,479,797.54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136,813,572.05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129,621,231.24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159,479,797.54</w:t>
            </w:r>
          </w:p>
        </w:tc>
      </w:tr>
    </w:tbl>
    <w:p>
      <w:pPr>
        <w:sectPr>
          <w:footnotePr>
            <w:pos w:val="pageBottom"/>
            <w:numFmt w:val="decimal"/>
            <w:numRestart w:val="continuous"/>
          </w:footnotePr>
          <w:type w:val="continuous"/>
          <w:pgSz w:w="11900" w:h="16840"/>
          <w:pgMar w:top="1485" w:right="1100" w:bottom="1411" w:left="1110" w:header="0" w:footer="3" w:gutter="0"/>
          <w:cols w:space="720"/>
          <w:noEndnote/>
          <w:rtlGutter w:val="0"/>
          <w:docGrid w:linePitch="360"/>
        </w:sectPr>
      </w:pPr>
    </w:p>
    <w:p>
      <w:pPr>
        <w:pStyle w:val="Style31"/>
        <w:keepNext/>
        <w:keepLines/>
        <w:widowControl w:val="0"/>
        <w:pBdr>
          <w:top w:val="single" w:sz="4" w:space="0" w:color="auto"/>
        </w:pBdr>
        <w:shd w:val="clear" w:color="auto" w:fill="auto"/>
        <w:bidi w:val="0"/>
        <w:spacing w:before="0" w:after="380" w:line="240" w:lineRule="auto"/>
        <w:ind w:left="0" w:right="0" w:firstLine="0"/>
        <w:jc w:val="left"/>
      </w:pP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rPr>
        <w:t>7</w:t>
      </w:r>
      <w:bookmarkEnd w:id="557"/>
      <w:r>
        <w:rPr>
          <w:color w:val="000000"/>
          <w:spacing w:val="0"/>
          <w:w w:val="100"/>
          <w:position w:val="0"/>
        </w:rPr>
        <w:t>、合并所有者权益变动表</w:t>
      </w:r>
      <w:bookmarkEnd w:id="555"/>
      <w:bookmarkEnd w:id="556"/>
      <w:bookmarkEnd w:id="558"/>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2726"/>
        <w:gridCol w:w="830"/>
        <w:gridCol w:w="1498"/>
        <w:gridCol w:w="1517"/>
        <w:gridCol w:w="1512"/>
        <w:gridCol w:w="1512"/>
        <w:gridCol w:w="1522"/>
        <w:gridCol w:w="1512"/>
        <w:gridCol w:w="1522"/>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归属于母公司股东权益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股东权益合计</w:t>
            </w:r>
          </w:p>
        </w:tc>
      </w:tr>
      <w:tr>
        <w:trPr>
          <w:trHeight w:val="629"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0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一、本年年初余额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146,666,700.00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127,541,353.92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18,896,111.68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210,437,746.91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503,541,912.51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23,254,793.09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526,796,705.60</w:t>
            </w:r>
          </w:p>
        </w:tc>
      </w:tr>
      <w:tr>
        <w:trPr>
          <w:trHeight w:val="30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二、本年增减变动金额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2,438,711.28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28,868,076.28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31,306,787.56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3,175,482.71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34,482,270.27</w:t>
            </w:r>
          </w:p>
        </w:tc>
      </w:tr>
      <w:tr>
        <w:trPr>
          <w:trHeight w:val="31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44,506,790.56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44,506,790.56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3,076,382.71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47,583,173.27</w:t>
            </w:r>
          </w:p>
        </w:tc>
      </w:tr>
      <w:tr>
        <w:trPr>
          <w:trHeight w:val="30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股东投入资本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6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2,000,000.00</w:t>
            </w:r>
          </w:p>
        </w:tc>
      </w:tr>
      <w:tr>
        <w:trPr>
          <w:trHeight w:val="30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2,438,711.28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(15,638,714.28)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(13,200,003.00)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(1,900,900.00)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(15,100,903.00)</w:t>
            </w:r>
          </w:p>
        </w:tc>
      </w:tr>
      <w:tr>
        <w:trPr>
          <w:trHeight w:val="30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2,438,711.28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(2,438,711.28)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6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60" w:firstLine="0"/>
              <w:jc w:val="right"/>
            </w:pPr>
            <w:r>
              <w:rPr>
                <w:rFonts w:ascii="Times New Roman" w:eastAsia="Times New Roman" w:hAnsi="Times New Roman" w:cs="Times New Roman"/>
                <w:color w:val="000000"/>
                <w:spacing w:val="0"/>
                <w:w w:val="100"/>
                <w:position w:val="0"/>
              </w:rPr>
              <w:t>-</w:t>
            </w:r>
          </w:p>
        </w:tc>
      </w:tr>
      <w:tr>
        <w:trPr>
          <w:trHeight w:val="52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w:t>
            </w:r>
            <w:r>
              <w:rPr>
                <w:color w:val="000000"/>
                <w:spacing w:val="0"/>
                <w:w w:val="100"/>
                <w:position w:val="0"/>
              </w:rPr>
              <w:t>对股东的分配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6" w:lineRule="exact"/>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 xml:space="preserve">33/ </w:t>
            </w:r>
            <w:r>
              <w:rPr>
                <w:color w:val="000000"/>
                <w:spacing w:val="0"/>
                <w:w w:val="100"/>
                <w:position w:val="0"/>
              </w:rPr>
              <w:t>九、</w:t>
            </w: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(13,200,003.00)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(13,200,003.00)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(1,900,900.00)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(15,100,903.00)</w:t>
            </w:r>
          </w:p>
        </w:tc>
      </w:tr>
      <w:tr>
        <w:trPr>
          <w:trHeight w:val="31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三、本年年末余额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146,666,700.00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127,541,353.92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21,334,822.96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239,305,823.19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534,848,700.07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26,430,275.80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561,278,975.87</w:t>
            </w:r>
          </w:p>
        </w:tc>
      </w:tr>
    </w:tbl>
    <w:p>
      <w:pPr>
        <w:spacing w:lineRule="exact" w:line="1"/>
        <w:rPr>
          <w:sz w:val="2"/>
          <w:szCs w:val="2"/>
        </w:rPr>
      </w:pPr>
      <w:r>
        <w:br w:type="page"/>
      </w:r>
    </w:p>
    <w:p>
      <w:pPr>
        <w:pStyle w:val="Style20"/>
        <w:keepNext w:val="0"/>
        <w:keepLines w:val="0"/>
        <w:widowControl w:val="0"/>
        <w:pBdr>
          <w:top w:val="single" w:sz="4" w:space="0" w:color="auto"/>
        </w:pBdr>
        <w:shd w:val="clear" w:color="auto" w:fill="auto"/>
        <w:bidi w:val="0"/>
        <w:spacing w:before="0" w:after="120" w:line="240" w:lineRule="auto"/>
        <w:ind w:left="0" w:right="0" w:firstLine="0"/>
        <w:jc w:val="left"/>
      </w:pPr>
      <w:r>
        <w:rPr>
          <w:color w:val="000000"/>
          <w:spacing w:val="0"/>
          <w:w w:val="100"/>
          <w:position w:val="0"/>
        </w:rPr>
        <w:t>上期金额</w:t>
      </w:r>
    </w:p>
    <w:p>
      <w:pPr>
        <w:pStyle w:val="Style29"/>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2726"/>
        <w:gridCol w:w="830"/>
        <w:gridCol w:w="1498"/>
        <w:gridCol w:w="1517"/>
        <w:gridCol w:w="1512"/>
        <w:gridCol w:w="1512"/>
        <w:gridCol w:w="1522"/>
        <w:gridCol w:w="1512"/>
        <w:gridCol w:w="1522"/>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归属于母公司股东权益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少数股东权益</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股东权益合计</w:t>
            </w:r>
          </w:p>
        </w:tc>
      </w:tr>
      <w:tr>
        <w:trPr>
          <w:trHeight w:val="63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0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一、本年年初余额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146,666,700.00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127,541,353.92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16,395,079.97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179,021,444.99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469,624,578.88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20,073,688.56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489,698,267.44</w:t>
            </w:r>
          </w:p>
        </w:tc>
      </w:tr>
      <w:tr>
        <w:trPr>
          <w:trHeight w:val="30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1,050,747.91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1,050,747.91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1,050,747.91</w:t>
            </w:r>
          </w:p>
        </w:tc>
      </w:tr>
      <w:tr>
        <w:trPr>
          <w:trHeight w:val="30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其中：新收入准则影响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1,050,747.91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1,050,747.91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1,050,747.91</w:t>
            </w:r>
          </w:p>
        </w:tc>
      </w:tr>
      <w:tr>
        <w:trPr>
          <w:trHeight w:val="30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本年年初经调整余额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146,666,700.00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127,541,353.92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16,395,079.97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180,072,192.90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470,675,326.79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20,073,688.56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490,749,015.35</w:t>
            </w:r>
          </w:p>
        </w:tc>
      </w:tr>
      <w:tr>
        <w:trPr>
          <w:trHeight w:val="30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二、本年增减变动金额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2,501,031.71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30,365,554.01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32,866,585.72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3,181,104.53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36,047,690.25</w:t>
            </w:r>
          </w:p>
        </w:tc>
      </w:tr>
      <w:tr>
        <w:trPr>
          <w:trHeight w:val="30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43,866,588.22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43,866,588.22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3,181,104.53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47,047,692.75</w:t>
            </w:r>
          </w:p>
        </w:tc>
      </w:tr>
      <w:tr>
        <w:trPr>
          <w:trHeight w:val="30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2,501,031.71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(13,501,034.21)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(11,000,002.50)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(11,000,002.50)</w:t>
            </w:r>
          </w:p>
        </w:tc>
      </w:tr>
      <w:tr>
        <w:trPr>
          <w:trHeight w:val="30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2,501,031.71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(2,501,031.71)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60" w:firstLine="0"/>
              <w:jc w:val="right"/>
            </w:pPr>
            <w:r>
              <w:rPr>
                <w:rFonts w:ascii="Times New Roman" w:eastAsia="Times New Roman" w:hAnsi="Times New Roman" w:cs="Times New Roman"/>
                <w:color w:val="000000"/>
                <w:spacing w:val="0"/>
                <w:w w:val="100"/>
                <w:position w:val="0"/>
              </w:rPr>
              <w:t>-</w:t>
            </w:r>
          </w:p>
        </w:tc>
      </w:tr>
      <w:tr>
        <w:trPr>
          <w:trHeight w:val="30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w:t>
            </w:r>
            <w:r>
              <w:rPr>
                <w:color w:val="000000"/>
                <w:spacing w:val="0"/>
                <w:w w:val="100"/>
                <w:position w:val="0"/>
              </w:rPr>
              <w:t>对股东的分配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(11,000,002.50)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(11,000,002.50)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(11,000,002.50)</w:t>
            </w:r>
          </w:p>
        </w:tc>
      </w:tr>
      <w:tr>
        <w:trPr>
          <w:trHeight w:val="31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三、本年年末余额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146,666,700.00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127,541,353.92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18,896,111.68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210,437,746.91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503,541,912.51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23,254,793.09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526,796,705.60</w:t>
            </w:r>
          </w:p>
        </w:tc>
      </w:tr>
    </w:tbl>
    <w:p>
      <w:pPr>
        <w:sectPr>
          <w:footnotePr>
            <w:pos w:val="pageBottom"/>
            <w:numFmt w:val="decimal"/>
            <w:numRestart w:val="continuous"/>
          </w:footnotePr>
          <w:pgSz w:w="16840" w:h="11900" w:orient="landscape"/>
          <w:pgMar w:top="1484" w:right="1250" w:bottom="5487" w:left="1425" w:header="0" w:footer="3" w:gutter="0"/>
          <w:cols w:space="720"/>
          <w:noEndnote/>
          <w:rtlGutter w:val="0"/>
          <w:docGrid w:linePitch="360"/>
        </w:sectPr>
      </w:pPr>
    </w:p>
    <w:p>
      <w:pPr>
        <w:pStyle w:val="Style31"/>
        <w:keepNext/>
        <w:keepLines/>
        <w:widowControl w:val="0"/>
        <w:pBdr>
          <w:top w:val="single" w:sz="4" w:space="0" w:color="auto"/>
        </w:pBdr>
        <w:shd w:val="clear" w:color="auto" w:fill="auto"/>
        <w:bidi w:val="0"/>
        <w:spacing w:before="0" w:after="380" w:line="240" w:lineRule="auto"/>
        <w:ind w:left="0" w:right="0" w:firstLine="0"/>
        <w:jc w:val="left"/>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8</w:t>
      </w:r>
      <w:bookmarkEnd w:id="561"/>
      <w:r>
        <w:rPr>
          <w:color w:val="000000"/>
          <w:spacing w:val="0"/>
          <w:w w:val="100"/>
          <w:position w:val="0"/>
        </w:rPr>
        <w:t>、母公司所有者权益变动表</w:t>
      </w:r>
      <w:bookmarkEnd w:id="559"/>
      <w:bookmarkEnd w:id="560"/>
      <w:bookmarkEnd w:id="562"/>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3216"/>
        <w:gridCol w:w="994"/>
        <w:gridCol w:w="1987"/>
        <w:gridCol w:w="1982"/>
        <w:gridCol w:w="1987"/>
        <w:gridCol w:w="1987"/>
        <w:gridCol w:w="1997"/>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未分配利润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股东权益合计</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一、本年年初余额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146,666,700.00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128,053,280.71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18,842,607.01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142,590,520.62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436,153,108.34</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二、本年增减变动金额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2,438,711.28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8,748,398.50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11,187,109.78</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4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24,387,112.78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24,387,112.78</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2,438,711.28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(15,638,714.28)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(13,200,003.00)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2,438,711.28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(2,438,711.28)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60" w:firstLine="0"/>
              <w:jc w:val="right"/>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对股东的分配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4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(13,200,003.00)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(13,200,003.00)</w:t>
            </w:r>
          </w:p>
        </w:tc>
      </w:tr>
      <w:tr>
        <w:trPr>
          <w:trHeight w:val="33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三、本年年末余额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146,666,700.00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128,053,280.71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21,281,318.29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151,338,919.12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447,340,218.12</w:t>
            </w:r>
          </w:p>
        </w:tc>
      </w:tr>
    </w:tbl>
    <w:p>
      <w:pPr>
        <w:widowControl w:val="0"/>
        <w:spacing w:after="501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上期金额</w:t>
      </w:r>
      <w:r>
        <w:br w:type="page"/>
      </w:r>
    </w:p>
    <w:p>
      <w:pPr>
        <w:pStyle w:val="Style29"/>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3216"/>
        <w:gridCol w:w="994"/>
        <w:gridCol w:w="1987"/>
        <w:gridCol w:w="1982"/>
        <w:gridCol w:w="1987"/>
        <w:gridCol w:w="1987"/>
        <w:gridCol w:w="1997"/>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未分配利润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股东权益合计</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一、本年年初余额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146,666,700.00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128,053,280.71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16,341,575.30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131,081,237.77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422,142,793.78</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252,518.87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252,518.87</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其中：新收入准则影响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252,518.87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252,518.87</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本年年初经调整余额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146,666,700.00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128,053,280.71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16,341,575.30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131,333,756.64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422,395,312.65</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二、本年增减变动金额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2,501,031.71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11,256,763.98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13,757,795.69</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24,757,798.19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24,757,798.19</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2,501,031.71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(13,501,034.21)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(11,000,002.50)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七、</w:t>
            </w: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2,501,031.71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(2,501,031.71)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60" w:firstLine="0"/>
              <w:jc w:val="right"/>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w:t>
            </w:r>
            <w:r>
              <w:rPr>
                <w:color w:val="000000"/>
                <w:spacing w:val="0"/>
                <w:w w:val="100"/>
                <w:position w:val="0"/>
              </w:rPr>
              <w:t>对股东的分配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七、</w:t>
            </w: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(11,000,002.50)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(11,000,002.50)</w:t>
            </w:r>
          </w:p>
        </w:tc>
      </w:tr>
      <w:tr>
        <w:trPr>
          <w:trHeight w:val="33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三、本年年末余额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146,666,700.00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128,053,280.71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18,842,607.01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142,590,520.62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436,153,108.34</w:t>
            </w:r>
          </w:p>
        </w:tc>
      </w:tr>
    </w:tbl>
    <w:p>
      <w:pPr>
        <w:sectPr>
          <w:footnotePr>
            <w:pos w:val="pageBottom"/>
            <w:numFmt w:val="decimal"/>
            <w:numRestart w:val="continuous"/>
          </w:footnotePr>
          <w:pgSz w:w="16840" w:h="11900" w:orient="landscape"/>
          <w:pgMar w:top="1484" w:right="1249" w:bottom="1282" w:left="1422" w:header="0" w:footer="3" w:gutter="0"/>
          <w:cols w:space="720"/>
          <w:noEndnote/>
          <w:rtlGutter w:val="0"/>
          <w:docGrid w:linePitch="360"/>
        </w:sectPr>
      </w:pPr>
    </w:p>
    <w:p>
      <w:pPr>
        <w:pStyle w:val="Style26"/>
        <w:keepNext w:val="0"/>
        <w:keepLines w:val="0"/>
        <w:widowControl w:val="0"/>
        <w:shd w:val="clear" w:color="auto" w:fill="auto"/>
        <w:bidi w:val="0"/>
        <w:spacing w:before="320" w:after="280" w:line="240" w:lineRule="auto"/>
        <w:ind w:left="0" w:right="0" w:firstLine="0"/>
        <w:jc w:val="both"/>
      </w:pPr>
      <w:r>
        <w:rPr>
          <w:color w:val="000000"/>
          <w:spacing w:val="0"/>
          <w:w w:val="100"/>
          <w:position w:val="0"/>
          <w:sz w:val="24"/>
          <w:szCs w:val="24"/>
        </w:rPr>
        <w:t>三、公司基本情况</w:t>
      </w:r>
    </w:p>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深圳市建筑科学研究院股份有限公司</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原名深圳市建筑科学研究院，前身深圳市建筑科学 研究所根据深圳市机构编制委员会下发的深编</w:t>
      </w:r>
      <w:r>
        <w:rPr>
          <w:rFonts w:ascii="Times New Roman" w:eastAsia="Times New Roman" w:hAnsi="Times New Roman" w:cs="Times New Roman"/>
          <w:color w:val="000000"/>
          <w:spacing w:val="0"/>
          <w:w w:val="100"/>
          <w:position w:val="0"/>
        </w:rPr>
        <w:t xml:space="preserve">［1992］ </w:t>
      </w:r>
      <w:r>
        <w:rPr>
          <w:rFonts w:ascii="Times New Roman" w:eastAsia="Times New Roman" w:hAnsi="Times New Roman" w:cs="Times New Roman"/>
          <w:color w:val="000000"/>
          <w:spacing w:val="0"/>
          <w:w w:val="100"/>
          <w:position w:val="0"/>
        </w:rPr>
        <w:t>46</w:t>
      </w:r>
      <w:r>
        <w:rPr>
          <w:color w:val="000000"/>
          <w:spacing w:val="0"/>
          <w:w w:val="100"/>
          <w:position w:val="0"/>
        </w:rPr>
        <w:t>号《关于市建筑设计院机构编制问题的批复》设立。</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月经深 圳市机构编制委员会办公室（深编办</w:t>
      </w:r>
      <w:r>
        <w:rPr>
          <w:rFonts w:ascii="Times New Roman" w:eastAsia="Times New Roman" w:hAnsi="Times New Roman" w:cs="Times New Roman"/>
          <w:color w:val="000000"/>
          <w:spacing w:val="0"/>
          <w:w w:val="100"/>
          <w:position w:val="0"/>
        </w:rPr>
        <w:t xml:space="preserve">［2001］ </w:t>
      </w:r>
      <w:r>
        <w:rPr>
          <w:rFonts w:ascii="Times New Roman" w:eastAsia="Times New Roman" w:hAnsi="Times New Roman" w:cs="Times New Roman"/>
          <w:color w:val="000000"/>
          <w:spacing w:val="0"/>
          <w:w w:val="100"/>
          <w:position w:val="0"/>
        </w:rPr>
        <w:t>55</w:t>
      </w:r>
      <w:r>
        <w:rPr>
          <w:color w:val="000000"/>
          <w:spacing w:val="0"/>
          <w:w w:val="100"/>
          <w:position w:val="0"/>
        </w:rPr>
        <w:t>号《关于深圳市建筑科学研究所更名的批复》批准，该所更名为深圳市建筑 科学研究院，为属于深圳市规划局下属事业单位深圳市建筑设计研究总院</w:t>
      </w:r>
      <w:r>
        <w:rPr>
          <w:color w:val="000000"/>
          <w:spacing w:val="0"/>
          <w:w w:val="100"/>
          <w:position w:val="0"/>
        </w:rPr>
        <w:t>（</w:t>
      </w:r>
      <w:r>
        <w:rPr>
          <w:color w:val="000000"/>
          <w:spacing w:val="0"/>
          <w:w w:val="100"/>
          <w:position w:val="0"/>
        </w:rPr>
        <w:t>现深圳市建筑设计研究总院有限公司</w:t>
      </w:r>
      <w:r>
        <w:rPr>
          <w:color w:val="000000"/>
          <w:spacing w:val="0"/>
          <w:w w:val="100"/>
          <w:position w:val="0"/>
        </w:rPr>
        <w:t>）</w:t>
      </w:r>
      <w:r>
        <w:rPr>
          <w:color w:val="000000"/>
          <w:spacing w:val="0"/>
          <w:w w:val="100"/>
          <w:position w:val="0"/>
        </w:rPr>
        <w:t>下属的市 属事业单位。根据</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日中共深圳市委办公厅、深圳市人民政府办公厅联合下发的深办</w:t>
      </w:r>
      <w:r>
        <w:rPr>
          <w:rFonts w:ascii="Times New Roman" w:eastAsia="Times New Roman" w:hAnsi="Times New Roman" w:cs="Times New Roman"/>
          <w:color w:val="000000"/>
          <w:spacing w:val="0"/>
          <w:w w:val="100"/>
          <w:position w:val="0"/>
        </w:rPr>
        <w:t xml:space="preserve">［2006］ </w:t>
      </w:r>
      <w:r>
        <w:rPr>
          <w:rFonts w:ascii="Times New Roman" w:eastAsia="Times New Roman" w:hAnsi="Times New Roman" w:cs="Times New Roman"/>
          <w:color w:val="000000"/>
          <w:spacing w:val="0"/>
          <w:w w:val="100"/>
          <w:position w:val="0"/>
        </w:rPr>
        <w:t>35</w:t>
      </w:r>
      <w:r>
        <w:rPr>
          <w:color w:val="000000"/>
          <w:spacing w:val="0"/>
          <w:w w:val="100"/>
          <w:position w:val="0"/>
        </w:rPr>
        <w:t xml:space="preserve">号文件《关于印发 </w:t>
      </w:r>
      <w:r>
        <w:rPr>
          <w:color w:val="000000"/>
          <w:spacing w:val="0"/>
          <w:w w:val="100"/>
          <w:position w:val="0"/>
        </w:rPr>
        <w:t>〈</w:t>
      </w:r>
      <w:r>
        <w:rPr>
          <w:color w:val="000000"/>
          <w:spacing w:val="0"/>
          <w:w w:val="100"/>
          <w:position w:val="0"/>
        </w:rPr>
        <w:t>深圳市党政机关事业单位所属企业、转企事业单位划转工作实施方案</w:t>
      </w:r>
      <w:r>
        <w:rPr>
          <w:color w:val="000000"/>
          <w:spacing w:val="0"/>
          <w:w w:val="100"/>
          <w:position w:val="0"/>
        </w:rPr>
        <w:t>〉</w:t>
      </w:r>
      <w:r>
        <w:rPr>
          <w:color w:val="000000"/>
          <w:spacing w:val="0"/>
          <w:w w:val="100"/>
          <w:position w:val="0"/>
        </w:rPr>
        <w:t>的通知》，及</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日深圳市规划局、深圳市 投资控股有限公司签订的《关于深圳市建筑设计研究总院划转和移交工作备忘录》，本公司随深圳市建筑设计研究总院划转 到深圳市投资控股有限公司。</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日，本公司办理了工商注册登记手续，领取了深圳市工商行政管理局颁发的 </w:t>
      </w:r>
      <w:r>
        <w:rPr>
          <w:rFonts w:ascii="Times New Roman" w:eastAsia="Times New Roman" w:hAnsi="Times New Roman" w:cs="Times New Roman"/>
          <w:color w:val="000000"/>
          <w:spacing w:val="0"/>
          <w:w w:val="100"/>
          <w:position w:val="0"/>
        </w:rPr>
        <w:t>440301102792750</w:t>
      </w:r>
      <w:r>
        <w:rPr>
          <w:color w:val="000000"/>
          <w:spacing w:val="0"/>
          <w:w w:val="100"/>
          <w:position w:val="0"/>
        </w:rPr>
        <w:t>号企业法人营业执照，公司类型为有限责任公司</w:t>
      </w:r>
      <w:r>
        <w:rPr>
          <w:color w:val="000000"/>
          <w:spacing w:val="0"/>
          <w:w w:val="100"/>
          <w:position w:val="0"/>
        </w:rPr>
        <w:t>（</w:t>
      </w:r>
      <w:r>
        <w:rPr>
          <w:color w:val="000000"/>
          <w:spacing w:val="0"/>
          <w:w w:val="100"/>
          <w:position w:val="0"/>
        </w:rPr>
        <w:t>法人独资</w:t>
      </w:r>
      <w:r>
        <w:rPr>
          <w:color w:val="000000"/>
          <w:spacing w:val="0"/>
          <w:w w:val="100"/>
          <w:position w:val="0"/>
        </w:rPr>
        <w:t>）</w:t>
      </w:r>
      <w:r>
        <w:rPr>
          <w:color w:val="000000"/>
          <w:spacing w:val="0"/>
          <w:w w:val="100"/>
          <w:position w:val="0"/>
        </w:rPr>
        <w:t>，股东为深圳市投资控股有限公司，占股比例 为</w:t>
      </w:r>
      <w:r>
        <w:rPr>
          <w:rFonts w:ascii="Times New Roman" w:eastAsia="Times New Roman" w:hAnsi="Times New Roman" w:cs="Times New Roman"/>
          <w:color w:val="000000"/>
          <w:spacing w:val="0"/>
          <w:w w:val="100"/>
          <w:position w:val="0"/>
        </w:rPr>
        <w:t>100%</w:t>
      </w:r>
      <w:r>
        <w:rPr>
          <w:color w:val="000000"/>
          <w:spacing w:val="0"/>
          <w:w w:val="100"/>
          <w:position w:val="0"/>
        </w:rPr>
        <w:t>，注册资本</w:t>
      </w:r>
      <w:r>
        <w:rPr>
          <w:rFonts w:ascii="Times New Roman" w:eastAsia="Times New Roman" w:hAnsi="Times New Roman" w:cs="Times New Roman"/>
          <w:color w:val="000000"/>
          <w:spacing w:val="0"/>
          <w:w w:val="100"/>
          <w:position w:val="0"/>
        </w:rPr>
        <w:t>2,000.00</w:t>
      </w:r>
      <w:r>
        <w:rPr>
          <w:color w:val="000000"/>
          <w:spacing w:val="0"/>
          <w:w w:val="100"/>
          <w:position w:val="0"/>
        </w:rPr>
        <w:t>万元，扣除以土地评估增值出资的</w:t>
      </w:r>
      <w:r>
        <w:rPr>
          <w:rFonts w:ascii="Times New Roman" w:eastAsia="Times New Roman" w:hAnsi="Times New Roman" w:cs="Times New Roman"/>
          <w:color w:val="000000"/>
          <w:spacing w:val="0"/>
          <w:w w:val="100"/>
          <w:position w:val="0"/>
        </w:rPr>
        <w:t>199.58</w:t>
      </w:r>
      <w:r>
        <w:rPr>
          <w:color w:val="000000"/>
          <w:spacing w:val="0"/>
          <w:w w:val="100"/>
          <w:position w:val="0"/>
        </w:rPr>
        <w:t>万元后实收资本为</w:t>
      </w:r>
      <w:r>
        <w:rPr>
          <w:rFonts w:ascii="Times New Roman" w:eastAsia="Times New Roman" w:hAnsi="Times New Roman" w:cs="Times New Roman"/>
          <w:color w:val="000000"/>
          <w:spacing w:val="0"/>
          <w:w w:val="100"/>
          <w:position w:val="0"/>
        </w:rPr>
        <w:t>1,800.4</w:t>
      </w:r>
      <w:r>
        <w:rPr>
          <w:rFonts w:ascii="Times New Roman" w:eastAsia="Times New Roman" w:hAnsi="Times New Roman" w:cs="Times New Roman"/>
          <w:color w:val="000000"/>
          <w:spacing w:val="0"/>
          <w:w w:val="100"/>
          <w:position w:val="0"/>
        </w:rPr>
        <w:t>2</w:t>
      </w:r>
      <w:r>
        <w:rPr>
          <w:color w:val="000000"/>
          <w:spacing w:val="0"/>
          <w:w w:val="100"/>
          <w:position w:val="0"/>
        </w:rPr>
        <w:t>万元。</w:t>
      </w:r>
    </w:p>
    <w:p>
      <w:pPr>
        <w:pStyle w:val="Style20"/>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日，根据《深圳市投资控股有限公司关于完善深圳市建筑科学研究院有限公司注册资本金问题的批复》</w:t>
      </w:r>
      <w:r>
        <w:rPr>
          <w:color w:val="000000"/>
          <w:spacing w:val="0"/>
          <w:w w:val="100"/>
          <w:position w:val="0"/>
        </w:rPr>
        <w:t>（</w:t>
      </w:r>
      <w:r>
        <w:rPr>
          <w:color w:val="000000"/>
          <w:spacing w:val="0"/>
          <w:w w:val="100"/>
          <w:position w:val="0"/>
        </w:rPr>
        <w:t>深 投控</w:t>
      </w:r>
      <w:r>
        <w:rPr>
          <w:rFonts w:ascii="Times New Roman" w:eastAsia="Times New Roman" w:hAnsi="Times New Roman" w:cs="Times New Roman"/>
          <w:color w:val="000000"/>
          <w:spacing w:val="0"/>
          <w:w w:val="100"/>
          <w:position w:val="0"/>
        </w:rPr>
        <w:t xml:space="preserve">［2012］ </w:t>
      </w:r>
      <w:r>
        <w:rPr>
          <w:rFonts w:ascii="Times New Roman" w:eastAsia="Times New Roman" w:hAnsi="Times New Roman" w:cs="Times New Roman"/>
          <w:color w:val="000000"/>
          <w:spacing w:val="0"/>
          <w:w w:val="100"/>
          <w:position w:val="0"/>
        </w:rPr>
        <w:t>169</w:t>
      </w:r>
      <w:r>
        <w:rPr>
          <w:color w:val="000000"/>
          <w:spacing w:val="0"/>
          <w:w w:val="100"/>
          <w:position w:val="0"/>
        </w:rPr>
        <w:t>号</w:t>
      </w:r>
      <w:r>
        <w:rPr>
          <w:color w:val="000000"/>
          <w:spacing w:val="0"/>
          <w:w w:val="100"/>
          <w:position w:val="0"/>
        </w:rPr>
        <w:t>）</w:t>
      </w:r>
      <w:r>
        <w:rPr>
          <w:color w:val="000000"/>
          <w:spacing w:val="0"/>
          <w:w w:val="100"/>
          <w:position w:val="0"/>
        </w:rPr>
        <w:t>文件，深圳市投资控股有限公司以货币资金人民币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,995,759.9</w:t>
      </w:r>
      <w:r>
        <w:rPr>
          <w:rFonts w:ascii="Times New Roman" w:eastAsia="Times New Roman" w:hAnsi="Times New Roman" w:cs="Times New Roman"/>
          <w:color w:val="000000"/>
          <w:spacing w:val="0"/>
          <w:w w:val="100"/>
          <w:position w:val="0"/>
        </w:rPr>
        <w:t>2</w:t>
      </w:r>
      <w:r>
        <w:rPr>
          <w:color w:val="000000"/>
          <w:spacing w:val="0"/>
          <w:w w:val="100"/>
          <w:position w:val="0"/>
        </w:rPr>
        <w:t>元等额置换</w:t>
      </w:r>
      <w:r>
        <w:rPr>
          <w:rFonts w:ascii="Times New Roman" w:eastAsia="Times New Roman" w:hAnsi="Times New Roman" w:cs="Times New Roman"/>
          <w:color w:val="000000"/>
          <w:spacing w:val="0"/>
          <w:w w:val="100"/>
          <w:position w:val="0"/>
        </w:rPr>
        <w:t>2007</w:t>
      </w:r>
      <w:r>
        <w:rPr>
          <w:color w:val="000000"/>
          <w:spacing w:val="0"/>
          <w:w w:val="100"/>
          <w:position w:val="0"/>
        </w:rPr>
        <w:t>年改制土地评估增值出 资，出资后，公司注册资本</w:t>
      </w:r>
      <w:r>
        <w:rPr>
          <w:rFonts w:ascii="Times New Roman" w:eastAsia="Times New Roman" w:hAnsi="Times New Roman" w:cs="Times New Roman"/>
          <w:color w:val="000000"/>
          <w:spacing w:val="0"/>
          <w:w w:val="100"/>
          <w:position w:val="0"/>
        </w:rPr>
        <w:t>2,000</w:t>
      </w:r>
      <w:r>
        <w:rPr>
          <w:color w:val="000000"/>
          <w:spacing w:val="0"/>
          <w:w w:val="100"/>
          <w:position w:val="0"/>
        </w:rPr>
        <w:t>万元，实收资本</w:t>
      </w:r>
      <w:r>
        <w:rPr>
          <w:rFonts w:ascii="Times New Roman" w:eastAsia="Times New Roman" w:hAnsi="Times New Roman" w:cs="Times New Roman"/>
          <w:color w:val="000000"/>
          <w:spacing w:val="0"/>
          <w:w w:val="100"/>
          <w:position w:val="0"/>
        </w:rPr>
        <w:t>2,000</w:t>
      </w:r>
      <w:r>
        <w:rPr>
          <w:color w:val="000000"/>
          <w:spacing w:val="0"/>
          <w:w w:val="100"/>
          <w:position w:val="0"/>
        </w:rPr>
        <w:t>万元。</w:t>
      </w:r>
    </w:p>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日深圳市人民政府国有资产监督管理委员会深国资委</w:t>
      </w:r>
      <w:r>
        <w:rPr>
          <w:rFonts w:ascii="Times New Roman" w:eastAsia="Times New Roman" w:hAnsi="Times New Roman" w:cs="Times New Roman"/>
          <w:color w:val="000000"/>
          <w:spacing w:val="0"/>
          <w:w w:val="100"/>
          <w:position w:val="0"/>
        </w:rPr>
        <w:t xml:space="preserve">［2012］ </w:t>
      </w:r>
      <w:r>
        <w:rPr>
          <w:rFonts w:ascii="Times New Roman" w:eastAsia="Times New Roman" w:hAnsi="Times New Roman" w:cs="Times New Roman"/>
          <w:color w:val="000000"/>
          <w:spacing w:val="0"/>
          <w:w w:val="100"/>
          <w:position w:val="0"/>
        </w:rPr>
        <w:t>132</w:t>
      </w:r>
      <w:r>
        <w:rPr>
          <w:color w:val="000000"/>
          <w:spacing w:val="0"/>
          <w:w w:val="100"/>
          <w:position w:val="0"/>
        </w:rPr>
        <w:t>号文件《关于深圳市建筑科学研究院 有限公司引进战略投资者同时实施管理层和核心骨干持股总体方案的批复》，</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日经本公司股东会决议和增资协 议，本公司注册资本由原来</w:t>
      </w:r>
      <w:r>
        <w:rPr>
          <w:rFonts w:ascii="Times New Roman" w:eastAsia="Times New Roman" w:hAnsi="Times New Roman" w:cs="Times New Roman"/>
          <w:color w:val="000000"/>
          <w:spacing w:val="0"/>
          <w:w w:val="100"/>
          <w:position w:val="0"/>
        </w:rPr>
        <w:t>2,000</w:t>
      </w:r>
      <w:r>
        <w:rPr>
          <w:color w:val="000000"/>
          <w:spacing w:val="0"/>
          <w:w w:val="100"/>
          <w:position w:val="0"/>
        </w:rPr>
        <w:t>万元人民币变更为</w:t>
      </w:r>
      <w:r>
        <w:rPr>
          <w:rFonts w:ascii="Times New Roman" w:eastAsia="Times New Roman" w:hAnsi="Times New Roman" w:cs="Times New Roman"/>
          <w:color w:val="000000"/>
          <w:spacing w:val="0"/>
          <w:w w:val="100"/>
          <w:position w:val="0"/>
        </w:rPr>
        <w:t>3,333.3333</w:t>
      </w:r>
      <w:r>
        <w:rPr>
          <w:color w:val="000000"/>
          <w:spacing w:val="0"/>
          <w:w w:val="100"/>
          <w:position w:val="0"/>
        </w:rPr>
        <w:t>万元人民币，变更后股东出资和股权比例为：深圳市投资控 股有限公司出资额</w:t>
      </w:r>
      <w:r>
        <w:rPr>
          <w:rFonts w:ascii="Times New Roman" w:eastAsia="Times New Roman" w:hAnsi="Times New Roman" w:cs="Times New Roman"/>
          <w:color w:val="000000"/>
          <w:spacing w:val="0"/>
          <w:w w:val="100"/>
          <w:position w:val="0"/>
        </w:rPr>
        <w:t>2,000</w:t>
      </w:r>
      <w:r>
        <w:rPr>
          <w:color w:val="000000"/>
          <w:spacing w:val="0"/>
          <w:w w:val="100"/>
          <w:position w:val="0"/>
        </w:rPr>
        <w:t>万元人民币，股权比例为</w:t>
      </w:r>
      <w:r>
        <w:rPr>
          <w:rFonts w:ascii="Times New Roman" w:eastAsia="Times New Roman" w:hAnsi="Times New Roman" w:cs="Times New Roman"/>
          <w:color w:val="000000"/>
          <w:spacing w:val="0"/>
          <w:w w:val="100"/>
          <w:position w:val="0"/>
        </w:rPr>
        <w:t>60%</w:t>
      </w:r>
      <w:r>
        <w:rPr>
          <w:color w:val="000000"/>
          <w:spacing w:val="0"/>
          <w:w w:val="100"/>
          <w:position w:val="0"/>
        </w:rPr>
        <w:t>；中关村发展集团股份有限公司出资额</w:t>
      </w:r>
      <w:r>
        <w:rPr>
          <w:rFonts w:ascii="Times New Roman" w:eastAsia="Times New Roman" w:hAnsi="Times New Roman" w:cs="Times New Roman"/>
          <w:color w:val="000000"/>
          <w:spacing w:val="0"/>
          <w:w w:val="100"/>
          <w:position w:val="0"/>
        </w:rPr>
        <w:t>333.3333</w:t>
      </w:r>
      <w:r>
        <w:rPr>
          <w:color w:val="000000"/>
          <w:spacing w:val="0"/>
          <w:w w:val="100"/>
          <w:position w:val="0"/>
        </w:rPr>
        <w:t>万元人民币，股权比例 为</w:t>
      </w:r>
      <w:r>
        <w:rPr>
          <w:rFonts w:ascii="Times New Roman" w:eastAsia="Times New Roman" w:hAnsi="Times New Roman" w:cs="Times New Roman"/>
          <w:color w:val="000000"/>
          <w:spacing w:val="0"/>
          <w:w w:val="100"/>
          <w:position w:val="0"/>
        </w:rPr>
        <w:t>10%</w:t>
      </w:r>
      <w:r>
        <w:rPr>
          <w:color w:val="000000"/>
          <w:spacing w:val="0"/>
          <w:w w:val="100"/>
          <w:position w:val="0"/>
        </w:rPr>
        <w:t>；深圳市英龙建安</w:t>
      </w:r>
      <w:r>
        <w:rPr>
          <w:color w:val="000000"/>
          <w:spacing w:val="0"/>
          <w:w w:val="100"/>
          <w:position w:val="0"/>
        </w:rPr>
        <w:t>（</w:t>
      </w:r>
      <w:r>
        <w:rPr>
          <w:color w:val="000000"/>
          <w:spacing w:val="0"/>
          <w:w w:val="100"/>
          <w:position w:val="0"/>
        </w:rPr>
        <w:t>集团</w:t>
      </w:r>
      <w:r>
        <w:rPr>
          <w:color w:val="000000"/>
          <w:spacing w:val="0"/>
          <w:w w:val="100"/>
          <w:position w:val="0"/>
        </w:rPr>
        <w:t>）</w:t>
      </w:r>
      <w:r>
        <w:rPr>
          <w:color w:val="000000"/>
          <w:spacing w:val="0"/>
          <w:w w:val="100"/>
          <w:position w:val="0"/>
        </w:rPr>
        <w:t>有限公司出资额</w:t>
      </w:r>
      <w:r>
        <w:rPr>
          <w:rFonts w:ascii="Times New Roman" w:eastAsia="Times New Roman" w:hAnsi="Times New Roman" w:cs="Times New Roman"/>
          <w:color w:val="000000"/>
          <w:spacing w:val="0"/>
          <w:w w:val="100"/>
          <w:position w:val="0"/>
        </w:rPr>
        <w:t>333.3333</w:t>
      </w:r>
      <w:r>
        <w:rPr>
          <w:color w:val="000000"/>
          <w:spacing w:val="0"/>
          <w:w w:val="100"/>
          <w:position w:val="0"/>
        </w:rPr>
        <w:t>万元人民币，股权比例为</w:t>
      </w:r>
      <w:r>
        <w:rPr>
          <w:rFonts w:ascii="Times New Roman" w:eastAsia="Times New Roman" w:hAnsi="Times New Roman" w:cs="Times New Roman"/>
          <w:color w:val="000000"/>
          <w:spacing w:val="0"/>
          <w:w w:val="100"/>
          <w:position w:val="0"/>
        </w:rPr>
        <w:t>10%</w:t>
      </w:r>
      <w:r>
        <w:rPr>
          <w:color w:val="000000"/>
          <w:spacing w:val="0"/>
          <w:w w:val="100"/>
          <w:position w:val="0"/>
        </w:rPr>
        <w:t>；深圳市创新投资集团有限公司出资 额</w:t>
      </w:r>
      <w:r>
        <w:rPr>
          <w:rFonts w:ascii="Times New Roman" w:eastAsia="Times New Roman" w:hAnsi="Times New Roman" w:cs="Times New Roman"/>
          <w:color w:val="000000"/>
          <w:spacing w:val="0"/>
          <w:w w:val="100"/>
          <w:position w:val="0"/>
        </w:rPr>
        <w:t>166.6667</w:t>
      </w:r>
      <w:r>
        <w:rPr>
          <w:color w:val="000000"/>
          <w:spacing w:val="0"/>
          <w:w w:val="100"/>
          <w:position w:val="0"/>
        </w:rPr>
        <w:t>万元人民币，股权比例为</w:t>
      </w:r>
      <w:r>
        <w:rPr>
          <w:rFonts w:ascii="Times New Roman" w:eastAsia="Times New Roman" w:hAnsi="Times New Roman" w:cs="Times New Roman"/>
          <w:color w:val="000000"/>
          <w:spacing w:val="0"/>
          <w:w w:val="100"/>
          <w:position w:val="0"/>
        </w:rPr>
        <w:t>5%</w:t>
      </w:r>
      <w:r>
        <w:rPr>
          <w:color w:val="000000"/>
          <w:spacing w:val="0"/>
          <w:w w:val="100"/>
          <w:position w:val="0"/>
        </w:rPr>
        <w:t>；深圳市建科投资股份有限公司出资额</w:t>
      </w:r>
      <w:r>
        <w:rPr>
          <w:rFonts w:ascii="Times New Roman" w:eastAsia="Times New Roman" w:hAnsi="Times New Roman" w:cs="Times New Roman"/>
          <w:color w:val="000000"/>
          <w:spacing w:val="0"/>
          <w:w w:val="100"/>
          <w:position w:val="0"/>
        </w:rPr>
        <w:t>500</w:t>
      </w:r>
      <w:r>
        <w:rPr>
          <w:color w:val="000000"/>
          <w:spacing w:val="0"/>
          <w:w w:val="100"/>
          <w:position w:val="0"/>
        </w:rPr>
        <w:t>万元人民币，股权比例为</w:t>
      </w:r>
      <w:r>
        <w:rPr>
          <w:rFonts w:ascii="Times New Roman" w:eastAsia="Times New Roman" w:hAnsi="Times New Roman" w:cs="Times New Roman"/>
          <w:color w:val="000000"/>
          <w:spacing w:val="0"/>
          <w:w w:val="100"/>
          <w:position w:val="0"/>
        </w:rPr>
        <w:t>15%</w:t>
      </w:r>
      <w:r>
        <w:rPr>
          <w:color w:val="000000"/>
          <w:spacing w:val="0"/>
          <w:w w:val="100"/>
          <w:position w:val="0"/>
        </w:rPr>
        <w:t>。上述出资 已经中天运会计师事务所有限公司深圳分所出具的中天运</w:t>
      </w:r>
      <w:r>
        <w:rPr>
          <w:color w:val="000000"/>
          <w:spacing w:val="0"/>
          <w:w w:val="100"/>
          <w:position w:val="0"/>
        </w:rPr>
        <w:t>（</w:t>
      </w:r>
      <w:r>
        <w:rPr>
          <w:color w:val="000000"/>
          <w:spacing w:val="0"/>
          <w:w w:val="100"/>
          <w:position w:val="0"/>
        </w:rPr>
        <w:t>深圳</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验字第</w:t>
      </w:r>
      <w:r>
        <w:rPr>
          <w:rFonts w:ascii="Times New Roman" w:eastAsia="Times New Roman" w:hAnsi="Times New Roman" w:cs="Times New Roman"/>
          <w:color w:val="000000"/>
          <w:spacing w:val="0"/>
          <w:w w:val="100"/>
          <w:position w:val="0"/>
        </w:rPr>
        <w:t>00007</w:t>
      </w:r>
      <w:r>
        <w:rPr>
          <w:color w:val="000000"/>
          <w:spacing w:val="0"/>
          <w:w w:val="100"/>
          <w:position w:val="0"/>
        </w:rPr>
        <w:t>号《验资报告》验证。本公司已于</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日办理了工商变更登记手续。</w:t>
      </w:r>
    </w:p>
    <w:p>
      <w:pPr>
        <w:pStyle w:val="Style20"/>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日，本公司按照发起人协议及章程</w:t>
      </w:r>
      <w:r>
        <w:rPr>
          <w:color w:val="000000"/>
          <w:spacing w:val="0"/>
          <w:w w:val="100"/>
          <w:position w:val="0"/>
        </w:rPr>
        <w:t>（</w:t>
      </w:r>
      <w:r>
        <w:rPr>
          <w:color w:val="000000"/>
          <w:spacing w:val="0"/>
          <w:w w:val="100"/>
          <w:position w:val="0"/>
        </w:rPr>
        <w:t>草案</w:t>
      </w:r>
      <w:r>
        <w:rPr>
          <w:color w:val="000000"/>
          <w:spacing w:val="0"/>
          <w:w w:val="100"/>
          <w:position w:val="0"/>
        </w:rPr>
        <w:t>）</w:t>
      </w:r>
      <w:r>
        <w:rPr>
          <w:color w:val="000000"/>
          <w:spacing w:val="0"/>
          <w:w w:val="100"/>
          <w:position w:val="0"/>
        </w:rPr>
        <w:t>的规定，以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日为基准日，将深圳市建筑科学研究院 有限公司整体变更设立为股份有限公司，以截至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日深圳市建筑科学研究院有限公司的净资产人民币 </w:t>
      </w:r>
      <w:r>
        <w:rPr>
          <w:rFonts w:ascii="Times New Roman" w:eastAsia="Times New Roman" w:hAnsi="Times New Roman" w:cs="Times New Roman"/>
          <w:color w:val="000000"/>
          <w:spacing w:val="0"/>
          <w:w w:val="100"/>
          <w:position w:val="0"/>
        </w:rPr>
        <w:t>166,322,358.71</w:t>
      </w:r>
      <w:r>
        <w:rPr>
          <w:color w:val="000000"/>
          <w:spacing w:val="0"/>
          <w:w w:val="100"/>
          <w:position w:val="0"/>
        </w:rPr>
        <w:t>元，按</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0.6614</w:t>
      </w:r>
      <w:r>
        <w:rPr>
          <w:color w:val="000000"/>
          <w:spacing w:val="0"/>
          <w:w w:val="100"/>
          <w:position w:val="0"/>
        </w:rPr>
        <w:t>的比例折合股份总额</w:t>
      </w:r>
      <w:r>
        <w:rPr>
          <w:rFonts w:ascii="Times New Roman" w:eastAsia="Times New Roman" w:hAnsi="Times New Roman" w:cs="Times New Roman"/>
          <w:color w:val="000000"/>
          <w:spacing w:val="0"/>
          <w:w w:val="100"/>
          <w:position w:val="0"/>
        </w:rPr>
        <w:t>11,000</w:t>
      </w:r>
      <w:r>
        <w:rPr>
          <w:color w:val="000000"/>
          <w:spacing w:val="0"/>
          <w:w w:val="100"/>
          <w:position w:val="0"/>
        </w:rPr>
        <w:t>万股，每股</w:t>
      </w:r>
      <w:r>
        <w:rPr>
          <w:rFonts w:ascii="Times New Roman" w:eastAsia="Times New Roman" w:hAnsi="Times New Roman" w:cs="Times New Roman"/>
          <w:color w:val="000000"/>
          <w:spacing w:val="0"/>
          <w:w w:val="100"/>
          <w:position w:val="0"/>
        </w:rPr>
        <w:t>1</w:t>
      </w:r>
      <w:r>
        <w:rPr>
          <w:color w:val="000000"/>
          <w:spacing w:val="0"/>
          <w:w w:val="100"/>
          <w:position w:val="0"/>
        </w:rPr>
        <w:t>元，共计股本人民币</w:t>
      </w:r>
      <w:r>
        <w:rPr>
          <w:rFonts w:ascii="Times New Roman" w:eastAsia="Times New Roman" w:hAnsi="Times New Roman" w:cs="Times New Roman"/>
          <w:color w:val="000000"/>
          <w:spacing w:val="0"/>
          <w:w w:val="100"/>
          <w:position w:val="0"/>
        </w:rPr>
        <w:t>110,000,000.00</w:t>
      </w:r>
      <w:r>
        <w:rPr>
          <w:color w:val="000000"/>
          <w:spacing w:val="0"/>
          <w:w w:val="100"/>
          <w:position w:val="0"/>
        </w:rPr>
        <w:t>元，大于股本部分 计入资本公积。变更后股东出资和股权比例为：深圳市投资控股有限公司出资额</w:t>
      </w:r>
      <w:r>
        <w:rPr>
          <w:rFonts w:ascii="Times New Roman" w:eastAsia="Times New Roman" w:hAnsi="Times New Roman" w:cs="Times New Roman"/>
          <w:color w:val="000000"/>
          <w:spacing w:val="0"/>
          <w:w w:val="100"/>
          <w:position w:val="0"/>
        </w:rPr>
        <w:t>6,600</w:t>
      </w:r>
      <w:r>
        <w:rPr>
          <w:color w:val="000000"/>
          <w:spacing w:val="0"/>
          <w:w w:val="100"/>
          <w:position w:val="0"/>
        </w:rPr>
        <w:t>万元人民币，股权比例为</w:t>
      </w:r>
      <w:r>
        <w:rPr>
          <w:rFonts w:ascii="Times New Roman" w:eastAsia="Times New Roman" w:hAnsi="Times New Roman" w:cs="Times New Roman"/>
          <w:color w:val="000000"/>
          <w:spacing w:val="0"/>
          <w:w w:val="100"/>
          <w:position w:val="0"/>
        </w:rPr>
        <w:t>60%</w:t>
      </w:r>
      <w:r>
        <w:rPr>
          <w:color w:val="000000"/>
          <w:spacing w:val="0"/>
          <w:w w:val="100"/>
          <w:position w:val="0"/>
        </w:rPr>
        <w:t>；深圳市 建科投资股份有限公司出资额</w:t>
      </w:r>
      <w:r>
        <w:rPr>
          <w:rFonts w:ascii="Times New Roman" w:eastAsia="Times New Roman" w:hAnsi="Times New Roman" w:cs="Times New Roman"/>
          <w:color w:val="000000"/>
          <w:spacing w:val="0"/>
          <w:w w:val="100"/>
          <w:position w:val="0"/>
        </w:rPr>
        <w:t>1,650</w:t>
      </w:r>
      <w:r>
        <w:rPr>
          <w:color w:val="000000"/>
          <w:spacing w:val="0"/>
          <w:w w:val="100"/>
          <w:position w:val="0"/>
        </w:rPr>
        <w:t>万元人民币，股权比例为</w:t>
      </w:r>
      <w:r>
        <w:rPr>
          <w:rFonts w:ascii="Times New Roman" w:eastAsia="Times New Roman" w:hAnsi="Times New Roman" w:cs="Times New Roman"/>
          <w:color w:val="000000"/>
          <w:spacing w:val="0"/>
          <w:w w:val="100"/>
          <w:position w:val="0"/>
        </w:rPr>
        <w:t xml:space="preserve">15% </w:t>
      </w:r>
      <w:r>
        <w:rPr>
          <w:color w:val="000000"/>
          <w:spacing w:val="0"/>
          <w:w w:val="100"/>
          <w:position w:val="0"/>
        </w:rPr>
        <w:t>；中关村发展集团股份有限公司出资额</w:t>
      </w:r>
      <w:r>
        <w:rPr>
          <w:rFonts w:ascii="Times New Roman" w:eastAsia="Times New Roman" w:hAnsi="Times New Roman" w:cs="Times New Roman"/>
          <w:color w:val="000000"/>
          <w:spacing w:val="0"/>
          <w:w w:val="100"/>
          <w:position w:val="0"/>
        </w:rPr>
        <w:t>1,10 0</w:t>
      </w:r>
      <w:r>
        <w:rPr>
          <w:color w:val="000000"/>
          <w:spacing w:val="0"/>
          <w:w w:val="100"/>
          <w:position w:val="0"/>
        </w:rPr>
        <w:t>万元人民币， 股权比例为</w:t>
      </w:r>
      <w:r>
        <w:rPr>
          <w:rFonts w:ascii="Times New Roman" w:eastAsia="Times New Roman" w:hAnsi="Times New Roman" w:cs="Times New Roman"/>
          <w:color w:val="000000"/>
          <w:spacing w:val="0"/>
          <w:w w:val="100"/>
          <w:position w:val="0"/>
        </w:rPr>
        <w:t>10%</w:t>
      </w:r>
      <w:r>
        <w:rPr>
          <w:color w:val="000000"/>
          <w:spacing w:val="0"/>
          <w:w w:val="100"/>
          <w:position w:val="0"/>
        </w:rPr>
        <w:t>；深圳市英龙建安</w:t>
      </w:r>
      <w:r>
        <w:rPr>
          <w:color w:val="000000"/>
          <w:spacing w:val="0"/>
          <w:w w:val="100"/>
          <w:position w:val="0"/>
        </w:rPr>
        <w:t>（</w:t>
      </w:r>
      <w:r>
        <w:rPr>
          <w:color w:val="000000"/>
          <w:spacing w:val="0"/>
          <w:w w:val="100"/>
          <w:position w:val="0"/>
        </w:rPr>
        <w:t>集团</w:t>
      </w:r>
      <w:r>
        <w:rPr>
          <w:color w:val="000000"/>
          <w:spacing w:val="0"/>
          <w:w w:val="100"/>
          <w:position w:val="0"/>
        </w:rPr>
        <w:t>）</w:t>
      </w:r>
      <w:r>
        <w:rPr>
          <w:color w:val="000000"/>
          <w:spacing w:val="0"/>
          <w:w w:val="100"/>
          <w:position w:val="0"/>
        </w:rPr>
        <w:t>有限公司出资额</w:t>
      </w:r>
      <w:r>
        <w:rPr>
          <w:rFonts w:ascii="Times New Roman" w:eastAsia="Times New Roman" w:hAnsi="Times New Roman" w:cs="Times New Roman"/>
          <w:color w:val="000000"/>
          <w:spacing w:val="0"/>
          <w:w w:val="100"/>
          <w:position w:val="0"/>
        </w:rPr>
        <w:t>1,100</w:t>
      </w:r>
      <w:r>
        <w:rPr>
          <w:color w:val="000000"/>
          <w:spacing w:val="0"/>
          <w:w w:val="100"/>
          <w:position w:val="0"/>
        </w:rPr>
        <w:t>万元人民币，股权比例为</w:t>
      </w:r>
      <w:r>
        <w:rPr>
          <w:rFonts w:ascii="Times New Roman" w:eastAsia="Times New Roman" w:hAnsi="Times New Roman" w:cs="Times New Roman"/>
          <w:color w:val="000000"/>
          <w:spacing w:val="0"/>
          <w:w w:val="100"/>
          <w:position w:val="0"/>
        </w:rPr>
        <w:t>10%</w:t>
      </w:r>
      <w:r>
        <w:rPr>
          <w:color w:val="000000"/>
          <w:spacing w:val="0"/>
          <w:w w:val="100"/>
          <w:position w:val="0"/>
        </w:rPr>
        <w:t>；深圳市创新投资集团有限公 司出资额</w:t>
      </w:r>
      <w:r>
        <w:rPr>
          <w:rFonts w:ascii="Times New Roman" w:eastAsia="Times New Roman" w:hAnsi="Times New Roman" w:cs="Times New Roman"/>
          <w:color w:val="000000"/>
          <w:spacing w:val="0"/>
          <w:w w:val="100"/>
          <w:position w:val="0"/>
        </w:rPr>
        <w:t>550</w:t>
      </w:r>
      <w:r>
        <w:rPr>
          <w:color w:val="000000"/>
          <w:spacing w:val="0"/>
          <w:w w:val="100"/>
          <w:position w:val="0"/>
        </w:rPr>
        <w:t>万元人民币，股权比例为</w:t>
      </w:r>
      <w:r>
        <w:rPr>
          <w:rFonts w:ascii="Times New Roman" w:eastAsia="Times New Roman" w:hAnsi="Times New Roman" w:cs="Times New Roman"/>
          <w:color w:val="000000"/>
          <w:spacing w:val="0"/>
          <w:w w:val="100"/>
          <w:position w:val="0"/>
        </w:rPr>
        <w:t>5%</w:t>
      </w:r>
      <w:r>
        <w:rPr>
          <w:color w:val="000000"/>
          <w:spacing w:val="0"/>
          <w:w w:val="100"/>
          <w:position w:val="0"/>
        </w:rPr>
        <w:t>。上述出资已经立信会计师事务所</w:t>
      </w:r>
      <w:r>
        <w:rPr>
          <w:color w:val="000000"/>
          <w:spacing w:val="0"/>
          <w:w w:val="100"/>
          <w:position w:val="0"/>
        </w:rPr>
        <w:t>（</w:t>
      </w:r>
      <w:r>
        <w:rPr>
          <w:color w:val="000000"/>
          <w:spacing w:val="0"/>
          <w:w w:val="100"/>
          <w:position w:val="0"/>
        </w:rPr>
        <w:t>特殊普通合伙</w:t>
      </w:r>
      <w:r>
        <w:rPr>
          <w:color w:val="000000"/>
          <w:spacing w:val="0"/>
          <w:w w:val="100"/>
          <w:position w:val="0"/>
        </w:rPr>
        <w:t>）</w:t>
      </w:r>
      <w:r>
        <w:rPr>
          <w:color w:val="000000"/>
          <w:spacing w:val="0"/>
          <w:w w:val="100"/>
          <w:position w:val="0"/>
        </w:rPr>
        <w:t>出具的信会师报字</w:t>
      </w:r>
      <w:r>
        <w:rPr>
          <w:rFonts w:ascii="Times New Roman" w:eastAsia="Times New Roman" w:hAnsi="Times New Roman" w:cs="Times New Roman"/>
          <w:color w:val="000000"/>
          <w:spacing w:val="0"/>
          <w:w w:val="100"/>
          <w:position w:val="0"/>
        </w:rPr>
        <w:t>［2013］</w:t>
      </w:r>
      <w:r>
        <w:rPr>
          <w:color w:val="000000"/>
          <w:spacing w:val="0"/>
          <w:w w:val="100"/>
          <w:position w:val="0"/>
        </w:rPr>
        <w:t xml:space="preserve">第 </w:t>
      </w:r>
      <w:r>
        <w:rPr>
          <w:rFonts w:ascii="Times New Roman" w:eastAsia="Times New Roman" w:hAnsi="Times New Roman" w:cs="Times New Roman"/>
          <w:color w:val="000000"/>
          <w:spacing w:val="0"/>
          <w:w w:val="100"/>
          <w:position w:val="0"/>
        </w:rPr>
        <w:t>310546</w:t>
      </w:r>
      <w:r>
        <w:rPr>
          <w:color w:val="000000"/>
          <w:spacing w:val="0"/>
          <w:w w:val="100"/>
          <w:position w:val="0"/>
        </w:rPr>
        <w:t>号《验资报告》验证。本公司已于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日办理了工商变更登记手续。</w:t>
      </w:r>
    </w:p>
    <w:p>
      <w:pPr>
        <w:pStyle w:val="Style20"/>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日，根据深圳市人民政府国有资产监督管理委员会关于对本公司股权实施战略性调整的通知</w:t>
      </w:r>
      <w:r>
        <w:rPr>
          <w:color w:val="000000"/>
          <w:spacing w:val="0"/>
          <w:w w:val="100"/>
          <w:position w:val="0"/>
        </w:rPr>
        <w:t>（</w:t>
      </w:r>
      <w:r>
        <w:rPr>
          <w:color w:val="000000"/>
          <w:spacing w:val="0"/>
          <w:w w:val="100"/>
          <w:position w:val="0"/>
        </w:rPr>
        <w:t xml:space="preserve">深国资委 </w:t>
      </w:r>
      <w:r>
        <w:rPr>
          <w:rFonts w:ascii="Times New Roman" w:eastAsia="Times New Roman" w:hAnsi="Times New Roman" w:cs="Times New Roman"/>
          <w:color w:val="000000"/>
          <w:spacing w:val="0"/>
          <w:w w:val="100"/>
          <w:position w:val="0"/>
        </w:rPr>
        <w:t xml:space="preserve">［2014］ </w:t>
      </w:r>
      <w:r>
        <w:rPr>
          <w:rFonts w:ascii="Times New Roman" w:eastAsia="Times New Roman" w:hAnsi="Times New Roman" w:cs="Times New Roman"/>
          <w:color w:val="000000"/>
          <w:spacing w:val="0"/>
          <w:w w:val="100"/>
          <w:position w:val="0"/>
        </w:rPr>
        <w:t>564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，决定将深圳市投资控股有限公司持有的本公司</w:t>
      </w:r>
      <w:r>
        <w:rPr>
          <w:rFonts w:ascii="Times New Roman" w:eastAsia="Times New Roman" w:hAnsi="Times New Roman" w:cs="Times New Roman"/>
          <w:color w:val="000000"/>
          <w:spacing w:val="0"/>
          <w:w w:val="100"/>
          <w:position w:val="0"/>
        </w:rPr>
        <w:t>60%</w:t>
      </w:r>
      <w:r>
        <w:rPr>
          <w:color w:val="000000"/>
          <w:spacing w:val="0"/>
          <w:w w:val="100"/>
          <w:position w:val="0"/>
        </w:rPr>
        <w:t>股权战略性调整至深圳市资本运营集团有限公司</w:t>
      </w:r>
      <w:r>
        <w:rPr>
          <w:color w:val="000000"/>
          <w:spacing w:val="0"/>
          <w:w w:val="100"/>
          <w:position w:val="0"/>
        </w:rPr>
        <w:t>（</w:t>
      </w:r>
      <w:r>
        <w:rPr>
          <w:color w:val="000000"/>
          <w:spacing w:val="0"/>
          <w:w w:val="100"/>
          <w:position w:val="0"/>
        </w:rPr>
        <w:t>原名</w:t>
      </w:r>
      <w:r>
        <w:rPr>
          <w:rFonts w:ascii="Times New Roman" w:eastAsia="Times New Roman" w:hAnsi="Times New Roman" w:cs="Times New Roman"/>
          <w:color w:val="000000"/>
          <w:spacing w:val="0"/>
          <w:w w:val="100"/>
          <w:position w:val="0"/>
        </w:rPr>
        <w:t>“</w:t>
      </w:r>
      <w:r>
        <w:rPr>
          <w:color w:val="000000"/>
          <w:spacing w:val="0"/>
          <w:w w:val="100"/>
          <w:position w:val="0"/>
        </w:rPr>
        <w:t>深 圳市远致投资有限公司</w:t>
      </w:r>
      <w:r>
        <w:rPr>
          <w:rFonts w:ascii="Times New Roman" w:eastAsia="Times New Roman" w:hAnsi="Times New Roman" w:cs="Times New Roman"/>
          <w:color w:val="000000"/>
          <w:spacing w:val="0"/>
          <w:w w:val="100"/>
          <w:position w:val="0"/>
        </w:rPr>
        <w:t>”</w:t>
      </w:r>
      <w:r>
        <w:rPr>
          <w:color w:val="000000"/>
          <w:spacing w:val="0"/>
          <w:w w:val="100"/>
          <w:position w:val="0"/>
        </w:rPr>
        <w:t>，经深圳市人民政府国有资产监督管理委员会批准、深圳市市场监督管理局核准，</w:t>
      </w:r>
      <w:r>
        <w:rPr>
          <w:rFonts w:ascii="Times New Roman" w:eastAsia="Times New Roman" w:hAnsi="Times New Roman" w:cs="Times New Roman"/>
          <w:color w:val="000000"/>
          <w:spacing w:val="0"/>
          <w:w w:val="100"/>
          <w:position w:val="0"/>
        </w:rPr>
        <w:t>“</w:t>
      </w:r>
      <w:r>
        <w:rPr>
          <w:color w:val="000000"/>
          <w:spacing w:val="0"/>
          <w:w w:val="100"/>
          <w:position w:val="0"/>
        </w:rPr>
        <w:t>深圳市远致投资 有限公司</w:t>
      </w:r>
      <w:r>
        <w:rPr>
          <w:rFonts w:ascii="Times New Roman" w:eastAsia="Times New Roman" w:hAnsi="Times New Roman" w:cs="Times New Roman"/>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日正式更名为</w:t>
      </w:r>
      <w:r>
        <w:rPr>
          <w:rFonts w:ascii="Times New Roman" w:eastAsia="Times New Roman" w:hAnsi="Times New Roman" w:cs="Times New Roman"/>
          <w:color w:val="000000"/>
          <w:spacing w:val="0"/>
          <w:w w:val="100"/>
          <w:position w:val="0"/>
        </w:rPr>
        <w:t>“</w:t>
      </w:r>
      <w:r>
        <w:rPr>
          <w:color w:val="000000"/>
          <w:spacing w:val="0"/>
          <w:w w:val="100"/>
          <w:position w:val="0"/>
        </w:rPr>
        <w:t>深圳市资本运营集团有限公司</w:t>
      </w:r>
      <w:r>
        <w:rPr>
          <w:rFonts w:ascii="Times New Roman" w:eastAsia="Times New Roman" w:hAnsi="Times New Roman" w:cs="Times New Roman"/>
          <w:color w:val="000000"/>
          <w:spacing w:val="0"/>
          <w:w w:val="100"/>
          <w:position w:val="0"/>
        </w:rPr>
        <w:t>”）</w:t>
      </w:r>
      <w:r>
        <w:rPr>
          <w:color w:val="000000"/>
          <w:spacing w:val="0"/>
          <w:w w:val="100"/>
          <w:position w:val="0"/>
        </w:rPr>
        <w:t>，深圳市投资控股有限公司已于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日在深 圳联合产权交易所办理完权益交割。</w:t>
      </w:r>
    </w:p>
    <w:p>
      <w:pPr>
        <w:pStyle w:val="Style20"/>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日，本公司经中国证券监督管理委员会证监许可</w:t>
      </w:r>
      <w:r>
        <w:rPr>
          <w:rFonts w:ascii="Times New Roman" w:eastAsia="Times New Roman" w:hAnsi="Times New Roman" w:cs="Times New Roman"/>
          <w:color w:val="000000"/>
          <w:spacing w:val="0"/>
          <w:w w:val="100"/>
          <w:position w:val="0"/>
        </w:rPr>
        <w:t>［2017］1028</w:t>
      </w:r>
      <w:r>
        <w:rPr>
          <w:color w:val="000000"/>
          <w:spacing w:val="0"/>
          <w:w w:val="100"/>
          <w:position w:val="0"/>
        </w:rPr>
        <w:t>号文《关于核准深圳市建筑科学研究院股份有 限公司首次公开发行股票的批复》核准向社会公众公开发行人民币普通股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）36,666,700</w:t>
      </w:r>
      <w:r>
        <w:rPr>
          <w:color w:val="000000"/>
          <w:spacing w:val="0"/>
          <w:w w:val="100"/>
          <w:position w:val="0"/>
        </w:rPr>
        <w:t>股。本公司于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日向社 会公众投资者定价发行人民币普通股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）36,666,700</w:t>
      </w:r>
      <w:r>
        <w:rPr>
          <w:color w:val="000000"/>
          <w:spacing w:val="0"/>
          <w:w w:val="100"/>
          <w:position w:val="0"/>
        </w:rPr>
        <w:t>股，注册资本变更为人民币</w:t>
      </w:r>
      <w:r>
        <w:rPr>
          <w:rFonts w:ascii="Times New Roman" w:eastAsia="Times New Roman" w:hAnsi="Times New Roman" w:cs="Times New Roman"/>
          <w:color w:val="000000"/>
          <w:spacing w:val="0"/>
          <w:w w:val="100"/>
          <w:position w:val="0"/>
        </w:rPr>
        <w:t>146,666,700.00</w:t>
      </w:r>
      <w:r>
        <w:rPr>
          <w:color w:val="000000"/>
          <w:spacing w:val="0"/>
          <w:w w:val="100"/>
          <w:position w:val="0"/>
        </w:rPr>
        <w:t>元。上述出资已经立信会计 师事务所</w:t>
      </w:r>
      <w:r>
        <w:rPr>
          <w:color w:val="000000"/>
          <w:spacing w:val="0"/>
          <w:w w:val="100"/>
          <w:position w:val="0"/>
        </w:rPr>
        <w:t>（</w:t>
      </w:r>
      <w:r>
        <w:rPr>
          <w:color w:val="000000"/>
          <w:spacing w:val="0"/>
          <w:w w:val="100"/>
          <w:position w:val="0"/>
        </w:rPr>
        <w:t>特殊普通合伙</w:t>
      </w:r>
      <w:r>
        <w:rPr>
          <w:color w:val="000000"/>
          <w:spacing w:val="0"/>
          <w:w w:val="100"/>
          <w:position w:val="0"/>
        </w:rPr>
        <w:t>）</w:t>
      </w:r>
      <w:r>
        <w:rPr>
          <w:color w:val="000000"/>
          <w:spacing w:val="0"/>
          <w:w w:val="100"/>
          <w:position w:val="0"/>
        </w:rPr>
        <w:t>出具的信会师报字</w:t>
      </w:r>
      <w:r>
        <w:rPr>
          <w:rFonts w:ascii="Times New Roman" w:eastAsia="Times New Roman" w:hAnsi="Times New Roman" w:cs="Times New Roman"/>
          <w:color w:val="000000"/>
          <w:spacing w:val="0"/>
          <w:w w:val="100"/>
          <w:position w:val="0"/>
        </w:rPr>
        <w:t>［2017］</w:t>
      </w:r>
      <w:r>
        <w:rPr>
          <w:color w:val="000000"/>
          <w:spacing w:val="0"/>
          <w:w w:val="100"/>
          <w:position w:val="0"/>
        </w:rPr>
        <w:t>第</w:t>
      </w:r>
      <w:r>
        <w:rPr>
          <w:rFonts w:ascii="Times New Roman" w:eastAsia="Times New Roman" w:hAnsi="Times New Roman" w:cs="Times New Roman"/>
          <w:color w:val="000000"/>
          <w:spacing w:val="0"/>
          <w:w w:val="100"/>
          <w:position w:val="0"/>
        </w:rPr>
        <w:t>ZI10642</w:t>
      </w:r>
      <w:r>
        <w:rPr>
          <w:color w:val="000000"/>
          <w:spacing w:val="0"/>
          <w:w w:val="100"/>
          <w:position w:val="0"/>
        </w:rPr>
        <w:t>号《验资报告》验证。本公司股票于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日在深圳 证券交易所挂牌交易。</w:t>
      </w:r>
    </w:p>
    <w:p>
      <w:pPr>
        <w:pStyle w:val="Style59"/>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截止</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日，公司注册资本为人民币</w:t>
      </w:r>
      <w:r>
        <w:rPr>
          <w:color w:val="000000"/>
          <w:spacing w:val="0"/>
          <w:w w:val="100"/>
          <w:position w:val="0"/>
        </w:rPr>
        <w:t>146,666,700.00</w:t>
      </w:r>
      <w:r>
        <w:rPr>
          <w:rFonts w:ascii="SimSun" w:eastAsia="SimSun" w:hAnsi="SimSun" w:cs="SimSun"/>
          <w:color w:val="000000"/>
          <w:spacing w:val="0"/>
          <w:w w:val="100"/>
          <w:position w:val="0"/>
        </w:rPr>
        <w:t>元。</w:t>
      </w:r>
    </w:p>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公司经营范围：城市及建筑科学研究，城市规划编制，工程咨询、勘察、设计、质量检测与检查、项目管理、监理及相 关技术服务，环境工程检测和咨询，建筑工程性能评估，能耗测评及节能检测评价，绿色节能改造咨询与施工，绿色建筑与 </w:t>
      </w:r>
      <w:r>
        <w:rPr>
          <w:color w:val="000000"/>
          <w:spacing w:val="0"/>
          <w:w w:val="100"/>
          <w:position w:val="0"/>
          <w:u w:val="single"/>
        </w:rPr>
        <w:t>深圳市建筑科学研究院股份有限公司</w:t>
      </w:r>
      <w:r>
        <w:rPr>
          <w:rFonts w:ascii="Times New Roman" w:eastAsia="Times New Roman" w:hAnsi="Times New Roman" w:cs="Times New Roman"/>
          <w:color w:val="000000"/>
          <w:spacing w:val="0"/>
          <w:w w:val="100"/>
          <w:position w:val="0"/>
          <w:u w:val="single"/>
        </w:rPr>
        <w:t>2021</w:t>
      </w:r>
      <w:r>
        <w:rPr>
          <w:color w:val="000000"/>
          <w:spacing w:val="0"/>
          <w:w w:val="100"/>
          <w:position w:val="0"/>
          <w:u w:val="single"/>
        </w:rPr>
        <w:t xml:space="preserve">年年度报告全文 </w:t>
      </w:r>
      <w:r>
        <w:rPr>
          <w:color w:val="000000"/>
          <w:spacing w:val="0"/>
          <w:w w:val="100"/>
          <w:position w:val="0"/>
        </w:rPr>
        <w:t>园区运营管理，碳审计与评估，绿色低碳技术与产品开发、咨询、投资、培训推广和销售贸易，会议展览，物业租赁与管理</w:t>
      </w:r>
      <w:r>
        <w:rPr>
          <w:rFonts w:ascii="Times New Roman" w:eastAsia="Times New Roman" w:hAnsi="Times New Roman" w:cs="Times New Roman"/>
          <w:color w:val="000000"/>
          <w:spacing w:val="0"/>
          <w:w w:val="100"/>
          <w:position w:val="0"/>
        </w:rPr>
        <w:t xml:space="preserve">, </w:t>
      </w:r>
      <w:r>
        <w:rPr>
          <w:color w:val="000000"/>
          <w:spacing w:val="0"/>
          <w:w w:val="100"/>
          <w:position w:val="0"/>
        </w:rPr>
        <w:t>建筑服务，绿色低碳技术培训推广。</w:t>
      </w:r>
    </w:p>
    <w:p>
      <w:pPr>
        <w:pStyle w:val="Style20"/>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本年报告期内，本集团无新增或减少子公司，具体情况参见附注八。</w:t>
      </w:r>
    </w:p>
    <w:p>
      <w:pPr>
        <w:pStyle w:val="Style20"/>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本公司子公司的相关信息请参见附注九。</w:t>
      </w:r>
    </w:p>
    <w:p>
      <w:pPr>
        <w:pStyle w:val="Style26"/>
        <w:keepNext w:val="0"/>
        <w:keepLines w:val="0"/>
        <w:widowControl w:val="0"/>
        <w:shd w:val="clear" w:color="auto" w:fill="auto"/>
        <w:bidi w:val="0"/>
        <w:spacing w:before="0" w:after="360" w:line="240" w:lineRule="auto"/>
        <w:ind w:left="0" w:right="0" w:firstLine="0"/>
        <w:jc w:val="both"/>
      </w:pPr>
      <w:bookmarkStart w:id="565" w:name="bookmark565"/>
      <w:r>
        <w:rPr>
          <w:color w:val="000000"/>
          <w:spacing w:val="0"/>
          <w:w w:val="100"/>
          <w:position w:val="0"/>
          <w:sz w:val="24"/>
          <w:szCs w:val="24"/>
        </w:rPr>
        <w:t>四</w:t>
      </w:r>
      <w:bookmarkEnd w:id="565"/>
      <w:r>
        <w:rPr>
          <w:color w:val="000000"/>
          <w:spacing w:val="0"/>
          <w:w w:val="100"/>
          <w:position w:val="0"/>
          <w:sz w:val="24"/>
          <w:szCs w:val="24"/>
        </w:rPr>
        <w:t>、财务报表的编制基础</w:t>
      </w:r>
    </w:p>
    <w:p>
      <w:pPr>
        <w:pStyle w:val="Style31"/>
        <w:keepNext/>
        <w:keepLines/>
        <w:widowControl w:val="0"/>
        <w:shd w:val="clear" w:color="auto" w:fill="auto"/>
        <w:bidi w:val="0"/>
        <w:spacing w:before="0" w:after="260" w:line="240" w:lineRule="auto"/>
        <w:ind w:left="0" w:right="0" w:firstLine="0"/>
        <w:jc w:val="both"/>
      </w:pPr>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1</w:t>
      </w:r>
      <w:r>
        <w:rPr>
          <w:color w:val="000000"/>
          <w:spacing w:val="0"/>
          <w:w w:val="100"/>
          <w:position w:val="0"/>
        </w:rPr>
        <w:t>、编制基础</w:t>
      </w:r>
      <w:bookmarkEnd w:id="566"/>
      <w:bookmarkEnd w:id="567"/>
      <w:bookmarkEnd w:id="568"/>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本公司以持续经营为基础编制财务报表。</w:t>
      </w:r>
    </w:p>
    <w:p>
      <w:pPr>
        <w:pStyle w:val="Style20"/>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本集团自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日起分别执行了中华人民共和国财政部</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财政部</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年度修订的《企业会 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号——金融工具确认和计量》等新金融工具准则和《企业会计准则第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号——收入》，并自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 了财政部</w:t>
      </w:r>
      <w:r>
        <w:rPr>
          <w:rFonts w:ascii="Times New Roman" w:eastAsia="Times New Roman" w:hAnsi="Times New Roman" w:cs="Times New Roman"/>
          <w:color w:val="000000"/>
          <w:spacing w:val="0"/>
          <w:w w:val="100"/>
          <w:position w:val="0"/>
        </w:rPr>
        <w:t>2018</w:t>
      </w:r>
      <w:r>
        <w:rPr>
          <w:color w:val="000000"/>
          <w:spacing w:val="0"/>
          <w:w w:val="100"/>
          <w:position w:val="0"/>
        </w:rPr>
        <w:t>年度修订的《企业会计准则第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号——租赁》，参见附注五、</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31"/>
        <w:keepNext/>
        <w:keepLines/>
        <w:widowControl w:val="0"/>
        <w:shd w:val="clear" w:color="auto" w:fill="auto"/>
        <w:bidi w:val="0"/>
        <w:spacing w:before="0" w:after="260" w:line="240" w:lineRule="auto"/>
        <w:ind w:left="0" w:right="0" w:firstLine="0"/>
        <w:jc w:val="both"/>
      </w:pPr>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2</w:t>
      </w:r>
      <w:r>
        <w:rPr>
          <w:color w:val="000000"/>
          <w:spacing w:val="0"/>
          <w:w w:val="100"/>
          <w:position w:val="0"/>
        </w:rPr>
        <w:t>、持续经营</w:t>
      </w:r>
      <w:bookmarkEnd w:id="569"/>
      <w:bookmarkEnd w:id="570"/>
      <w:bookmarkEnd w:id="571"/>
    </w:p>
    <w:p>
      <w:pPr>
        <w:pStyle w:val="Style20"/>
        <w:keepNext w:val="0"/>
        <w:keepLines w:val="0"/>
        <w:widowControl w:val="0"/>
        <w:shd w:val="clear" w:color="auto" w:fill="auto"/>
        <w:bidi w:val="0"/>
        <w:spacing w:before="0" w:after="360" w:line="317" w:lineRule="exact"/>
        <w:ind w:left="0" w:right="0" w:firstLine="0"/>
        <w:jc w:val="both"/>
      </w:pPr>
      <w:r>
        <w:rPr>
          <w:color w:val="000000"/>
          <w:spacing w:val="0"/>
          <w:w w:val="100"/>
          <w:position w:val="0"/>
        </w:rPr>
        <w:t>本公司已评价自报告期末起至少</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个月的持续经营能力，本公司管理层相信公司能自本财务报表批准日后不短于</w:t>
      </w:r>
      <w:r>
        <w:rPr>
          <w:rFonts w:ascii="Times New Roman" w:eastAsia="Times New Roman" w:hAnsi="Times New Roman" w:cs="Times New Roman"/>
          <w:color w:val="000000"/>
          <w:spacing w:val="0"/>
          <w:w w:val="100"/>
          <w:position w:val="0"/>
        </w:rPr>
        <w:t>12</w:t>
      </w:r>
      <w:r>
        <w:rPr>
          <w:color w:val="000000"/>
          <w:spacing w:val="0"/>
          <w:w w:val="100"/>
          <w:position w:val="0"/>
        </w:rPr>
        <w:t>个月的 可预见未来期间内持续经营。因此，本公司以持续经营为基础编制截至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日止的财务报表。</w:t>
      </w:r>
    </w:p>
    <w:p>
      <w:pPr>
        <w:pStyle w:val="Style26"/>
        <w:keepNext w:val="0"/>
        <w:keepLines w:val="0"/>
        <w:widowControl w:val="0"/>
        <w:shd w:val="clear" w:color="auto" w:fill="auto"/>
        <w:bidi w:val="0"/>
        <w:spacing w:before="0" w:after="360" w:line="240" w:lineRule="auto"/>
        <w:ind w:left="0" w:right="0" w:firstLine="0"/>
        <w:jc w:val="both"/>
      </w:pPr>
      <w:bookmarkStart w:id="572" w:name="bookmark572"/>
      <w:r>
        <w:rPr>
          <w:color w:val="000000"/>
          <w:spacing w:val="0"/>
          <w:w w:val="100"/>
          <w:position w:val="0"/>
          <w:sz w:val="24"/>
          <w:szCs w:val="24"/>
        </w:rPr>
        <w:t>五</w:t>
      </w:r>
      <w:bookmarkEnd w:id="572"/>
      <w:r>
        <w:rPr>
          <w:color w:val="000000"/>
          <w:spacing w:val="0"/>
          <w:w w:val="100"/>
          <w:position w:val="0"/>
          <w:sz w:val="24"/>
          <w:szCs w:val="24"/>
        </w:rPr>
        <w:t>、重要会计政策及会计估计</w:t>
      </w:r>
    </w:p>
    <w:p>
      <w:pPr>
        <w:pStyle w:val="Style20"/>
        <w:keepNext w:val="0"/>
        <w:keepLines w:val="0"/>
        <w:widowControl w:val="0"/>
        <w:shd w:val="clear" w:color="auto" w:fill="auto"/>
        <w:tabs>
          <w:tab w:pos="534" w:val="left"/>
        </w:tabs>
        <w:bidi w:val="0"/>
        <w:spacing w:before="0" w:after="0"/>
        <w:ind w:left="0" w:right="0" w:firstLine="200"/>
        <w:jc w:val="left"/>
      </w:pPr>
      <w:bookmarkStart w:id="573" w:name="bookmark573"/>
      <w:r>
        <w:rPr>
          <w:rFonts w:ascii="Times New Roman" w:eastAsia="Times New Roman" w:hAnsi="Times New Roman" w:cs="Times New Roman"/>
          <w:color w:val="000000"/>
          <w:spacing w:val="0"/>
          <w:w w:val="100"/>
          <w:position w:val="0"/>
        </w:rPr>
        <w:t>1</w:t>
      </w:r>
      <w:bookmarkEnd w:id="573"/>
      <w:r>
        <w:rPr>
          <w:color w:val="000000"/>
          <w:spacing w:val="0"/>
          <w:w w:val="100"/>
          <w:position w:val="0"/>
        </w:rPr>
        <w:t>、</w:t>
        <w:tab/>
        <w:t>遵循企业会计准则的声明</w:t>
      </w:r>
    </w:p>
    <w:p>
      <w:pPr>
        <w:pStyle w:val="Style20"/>
        <w:keepNext w:val="0"/>
        <w:keepLines w:val="0"/>
        <w:widowControl w:val="0"/>
        <w:shd w:val="clear" w:color="auto" w:fill="auto"/>
        <w:bidi w:val="0"/>
        <w:spacing w:before="0" w:after="40" w:line="230" w:lineRule="exact"/>
        <w:ind w:left="660" w:right="0" w:firstLine="0"/>
        <w:jc w:val="both"/>
      </w:pPr>
      <w:r>
        <w:rPr>
          <w:color w:val="000000"/>
          <w:spacing w:val="0"/>
          <w:w w:val="100"/>
          <w:position w:val="0"/>
        </w:rPr>
        <w:t>本财务报表符合财政部颁布的企业会计准则的要求，真实、完整地反映了本公司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日的合并财务状 况和财务状况、</w:t>
      </w:r>
      <w:r>
        <w:rPr>
          <w:rFonts w:ascii="Times New Roman" w:eastAsia="Times New Roman" w:hAnsi="Times New Roman" w:cs="Times New Roman"/>
          <w:color w:val="000000"/>
          <w:spacing w:val="0"/>
          <w:w w:val="100"/>
          <w:position w:val="0"/>
        </w:rPr>
        <w:t>2021</w:t>
      </w:r>
      <w:r>
        <w:rPr>
          <w:color w:val="000000"/>
          <w:spacing w:val="0"/>
          <w:w w:val="100"/>
          <w:position w:val="0"/>
        </w:rPr>
        <w:t>年度的合并经营成果和经营成果及合并现金流量和现金流量。</w:t>
      </w:r>
    </w:p>
    <w:p>
      <w:pPr>
        <w:pStyle w:val="Style20"/>
        <w:keepNext w:val="0"/>
        <w:keepLines w:val="0"/>
        <w:widowControl w:val="0"/>
        <w:shd w:val="clear" w:color="auto" w:fill="auto"/>
        <w:bidi w:val="0"/>
        <w:spacing w:before="0" w:after="360" w:line="235" w:lineRule="exact"/>
        <w:ind w:left="660" w:right="0" w:firstLine="0"/>
        <w:jc w:val="both"/>
      </w:pPr>
      <w:r>
        <w:rPr>
          <w:color w:val="000000"/>
          <w:spacing w:val="0"/>
          <w:w w:val="100"/>
          <w:position w:val="0"/>
        </w:rPr>
        <w:t>此外，本公司的财务报表同时符合中国证券监督管理委员会</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证监会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年修订的《公开发行证券的 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号——财务报告的一般规定》有关财务报表及其附注的披露要求。</w:t>
      </w:r>
    </w:p>
    <w:p>
      <w:pPr>
        <w:pStyle w:val="Style20"/>
        <w:keepNext w:val="0"/>
        <w:keepLines w:val="0"/>
        <w:widowControl w:val="0"/>
        <w:shd w:val="clear" w:color="auto" w:fill="auto"/>
        <w:tabs>
          <w:tab w:pos="554" w:val="left"/>
        </w:tabs>
        <w:bidi w:val="0"/>
        <w:spacing w:before="0" w:after="0"/>
        <w:ind w:left="0" w:right="0" w:firstLine="200"/>
        <w:jc w:val="left"/>
      </w:pPr>
      <w:bookmarkStart w:id="574" w:name="bookmark574"/>
      <w:r>
        <w:rPr>
          <w:rFonts w:ascii="Times New Roman" w:eastAsia="Times New Roman" w:hAnsi="Times New Roman" w:cs="Times New Roman"/>
          <w:color w:val="000000"/>
          <w:spacing w:val="0"/>
          <w:w w:val="100"/>
          <w:position w:val="0"/>
        </w:rPr>
        <w:t>2</w:t>
      </w:r>
      <w:bookmarkEnd w:id="574"/>
      <w:r>
        <w:rPr>
          <w:color w:val="000000"/>
          <w:spacing w:val="0"/>
          <w:w w:val="100"/>
          <w:position w:val="0"/>
        </w:rPr>
        <w:t>、</w:t>
        <w:tab/>
        <w:t>会计期间</w:t>
      </w:r>
    </w:p>
    <w:p>
      <w:pPr>
        <w:pStyle w:val="Style20"/>
        <w:keepNext w:val="0"/>
        <w:keepLines w:val="0"/>
        <w:widowControl w:val="0"/>
        <w:shd w:val="clear" w:color="auto" w:fill="auto"/>
        <w:bidi w:val="0"/>
        <w:spacing w:before="0" w:after="360" w:line="310" w:lineRule="exact"/>
        <w:ind w:left="0" w:right="0" w:firstLine="660"/>
        <w:jc w:val="left"/>
      </w:pPr>
      <w:r>
        <w:rPr>
          <w:color w:val="000000"/>
          <w:spacing w:val="0"/>
          <w:w w:val="100"/>
          <w:position w:val="0"/>
        </w:rPr>
        <w:t>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20"/>
        <w:keepNext w:val="0"/>
        <w:keepLines w:val="0"/>
        <w:widowControl w:val="0"/>
        <w:shd w:val="clear" w:color="auto" w:fill="auto"/>
        <w:tabs>
          <w:tab w:pos="554" w:val="left"/>
        </w:tabs>
        <w:bidi w:val="0"/>
        <w:spacing w:before="0" w:after="0"/>
        <w:ind w:left="0" w:right="0" w:firstLine="200"/>
        <w:jc w:val="left"/>
      </w:pPr>
      <w:bookmarkStart w:id="575" w:name="bookmark575"/>
      <w:r>
        <w:rPr>
          <w:rFonts w:ascii="Times New Roman" w:eastAsia="Times New Roman" w:hAnsi="Times New Roman" w:cs="Times New Roman"/>
          <w:color w:val="000000"/>
          <w:spacing w:val="0"/>
          <w:w w:val="100"/>
          <w:position w:val="0"/>
        </w:rPr>
        <w:t>3</w:t>
      </w:r>
      <w:bookmarkEnd w:id="575"/>
      <w:r>
        <w:rPr>
          <w:color w:val="000000"/>
          <w:spacing w:val="0"/>
          <w:w w:val="100"/>
          <w:position w:val="0"/>
        </w:rPr>
        <w:t>、</w:t>
        <w:tab/>
        <w:t>营业周期</w:t>
      </w:r>
    </w:p>
    <w:p>
      <w:pPr>
        <w:pStyle w:val="Style20"/>
        <w:keepNext w:val="0"/>
        <w:keepLines w:val="0"/>
        <w:widowControl w:val="0"/>
        <w:shd w:val="clear" w:color="auto" w:fill="auto"/>
        <w:bidi w:val="0"/>
        <w:spacing w:before="0" w:after="360" w:line="310" w:lineRule="exact"/>
        <w:ind w:left="0" w:right="0" w:firstLine="660"/>
        <w:jc w:val="left"/>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20"/>
        <w:keepNext w:val="0"/>
        <w:keepLines w:val="0"/>
        <w:widowControl w:val="0"/>
        <w:shd w:val="clear" w:color="auto" w:fill="auto"/>
        <w:tabs>
          <w:tab w:pos="554" w:val="left"/>
        </w:tabs>
        <w:bidi w:val="0"/>
        <w:spacing w:before="0" w:after="0"/>
        <w:ind w:left="0" w:right="0" w:firstLine="200"/>
        <w:jc w:val="left"/>
      </w:pPr>
      <w:bookmarkStart w:id="576" w:name="bookmark576"/>
      <w:r>
        <w:rPr>
          <w:rFonts w:ascii="Times New Roman" w:eastAsia="Times New Roman" w:hAnsi="Times New Roman" w:cs="Times New Roman"/>
          <w:color w:val="000000"/>
          <w:spacing w:val="0"/>
          <w:w w:val="100"/>
          <w:position w:val="0"/>
        </w:rPr>
        <w:t>4</w:t>
      </w:r>
      <w:bookmarkEnd w:id="576"/>
      <w:r>
        <w:rPr>
          <w:color w:val="000000"/>
          <w:spacing w:val="0"/>
          <w:w w:val="100"/>
          <w:position w:val="0"/>
        </w:rPr>
        <w:t>、</w:t>
        <w:tab/>
        <w:t>记账本位币</w:t>
      </w:r>
    </w:p>
    <w:p>
      <w:pPr>
        <w:pStyle w:val="Style20"/>
        <w:keepNext w:val="0"/>
        <w:keepLines w:val="0"/>
        <w:widowControl w:val="0"/>
        <w:shd w:val="clear" w:color="auto" w:fill="auto"/>
        <w:bidi w:val="0"/>
        <w:spacing w:before="0" w:after="260" w:line="240" w:lineRule="exact"/>
        <w:ind w:left="660" w:right="0" w:firstLine="0"/>
        <w:jc w:val="both"/>
      </w:pPr>
      <w:r>
        <w:rPr>
          <w:color w:val="000000"/>
          <w:spacing w:val="0"/>
          <w:w w:val="100"/>
          <w:position w:val="0"/>
        </w:rPr>
        <w:t>本公司的记账本位币为人民币，编制财务报表采用的货币为人民币。本公司及子公司选定记账本位币的依据是主要 业务收支的计价和结算币种。</w:t>
      </w:r>
    </w:p>
    <w:p>
      <w:pPr>
        <w:pStyle w:val="Style20"/>
        <w:keepNext w:val="0"/>
        <w:keepLines w:val="0"/>
        <w:widowControl w:val="0"/>
        <w:shd w:val="clear" w:color="auto" w:fill="auto"/>
        <w:tabs>
          <w:tab w:pos="554" w:val="left"/>
        </w:tabs>
        <w:bidi w:val="0"/>
        <w:spacing w:before="0" w:after="40" w:line="310" w:lineRule="exact"/>
        <w:ind w:left="0" w:right="0" w:firstLine="200"/>
        <w:jc w:val="left"/>
      </w:pPr>
      <w:bookmarkStart w:id="577" w:name="bookmark577"/>
      <w:r>
        <w:rPr>
          <w:rFonts w:ascii="Times New Roman" w:eastAsia="Times New Roman" w:hAnsi="Times New Roman" w:cs="Times New Roman"/>
          <w:color w:val="000000"/>
          <w:spacing w:val="0"/>
          <w:w w:val="100"/>
          <w:position w:val="0"/>
        </w:rPr>
        <w:t>5</w:t>
      </w:r>
      <w:bookmarkEnd w:id="577"/>
      <w:r>
        <w:rPr>
          <w:color w:val="000000"/>
          <w:spacing w:val="0"/>
          <w:w w:val="100"/>
          <w:position w:val="0"/>
        </w:rPr>
        <w:t>、</w:t>
        <w:tab/>
        <w:t>同一控制下和非同一控制下企业合并的会计处理方法</w:t>
      </w:r>
    </w:p>
    <w:p>
      <w:pPr>
        <w:pStyle w:val="Style20"/>
        <w:keepNext w:val="0"/>
        <w:keepLines w:val="0"/>
        <w:widowControl w:val="0"/>
        <w:shd w:val="clear" w:color="auto" w:fill="auto"/>
        <w:bidi w:val="0"/>
        <w:spacing w:before="0" w:after="40" w:line="307" w:lineRule="exact"/>
        <w:ind w:left="660" w:right="0" w:firstLine="0"/>
        <w:jc w:val="both"/>
      </w:pPr>
      <w:r>
        <w:rPr>
          <w:color w:val="000000"/>
          <w:spacing w:val="0"/>
          <w:w w:val="100"/>
          <w:position w:val="0"/>
        </w:rPr>
        <w:t>本集团取得对另一个或多个企业</w:t>
      </w:r>
      <w:r>
        <w:rPr>
          <w:color w:val="000000"/>
          <w:spacing w:val="0"/>
          <w:w w:val="100"/>
          <w:position w:val="0"/>
        </w:rPr>
        <w:t>（</w:t>
      </w:r>
      <w:r>
        <w:rPr>
          <w:color w:val="000000"/>
          <w:spacing w:val="0"/>
          <w:w w:val="100"/>
          <w:position w:val="0"/>
        </w:rPr>
        <w:t>或一组资产或净资产</w:t>
      </w:r>
      <w:r>
        <w:rPr>
          <w:color w:val="000000"/>
          <w:spacing w:val="0"/>
          <w:w w:val="100"/>
          <w:position w:val="0"/>
        </w:rPr>
        <w:t>）</w:t>
      </w:r>
      <w:r>
        <w:rPr>
          <w:color w:val="000000"/>
          <w:spacing w:val="0"/>
          <w:w w:val="100"/>
          <w:position w:val="0"/>
        </w:rPr>
        <w:t>的控制权且其构成业务的，该交易或事项构成企业合并。 企业合并分为同一控制下的企业合并和非同一控制下的企业合并。</w:t>
      </w:r>
    </w:p>
    <w:p>
      <w:pPr>
        <w:pStyle w:val="Style20"/>
        <w:keepNext w:val="0"/>
        <w:keepLines w:val="0"/>
        <w:widowControl w:val="0"/>
        <w:shd w:val="clear" w:color="auto" w:fill="auto"/>
        <w:bidi w:val="0"/>
        <w:spacing w:before="0" w:after="40" w:line="312" w:lineRule="exact"/>
        <w:ind w:left="660" w:right="0" w:firstLine="0"/>
        <w:jc w:val="both"/>
      </w:pPr>
      <w:r>
        <w:rPr>
          <w:color w:val="000000"/>
          <w:spacing w:val="0"/>
          <w:w w:val="100"/>
          <w:position w:val="0"/>
        </w:rPr>
        <w:t>对于非同一控制下的交易，购买方在判断取得的资产组合等是否构成一项业务时，将考虑是否选择采用</w:t>
      </w:r>
      <w:r>
        <w:rPr>
          <w:rFonts w:ascii="Times New Roman" w:eastAsia="Times New Roman" w:hAnsi="Times New Roman" w:cs="Times New Roman"/>
          <w:color w:val="000000"/>
          <w:spacing w:val="0"/>
          <w:w w:val="100"/>
          <w:position w:val="0"/>
        </w:rPr>
        <w:t>“</w:t>
      </w:r>
      <w:r>
        <w:rPr>
          <w:color w:val="000000"/>
          <w:spacing w:val="0"/>
          <w:w w:val="100"/>
          <w:position w:val="0"/>
        </w:rPr>
        <w:t>集中度测 试</w:t>
      </w:r>
      <w:r>
        <w:rPr>
          <w:rFonts w:ascii="Times New Roman" w:eastAsia="Times New Roman" w:hAnsi="Times New Roman" w:cs="Times New Roman"/>
          <w:color w:val="000000"/>
          <w:spacing w:val="0"/>
          <w:w w:val="100"/>
          <w:position w:val="0"/>
        </w:rPr>
        <w:t>”</w:t>
      </w:r>
      <w:r>
        <w:rPr>
          <w:color w:val="000000"/>
          <w:spacing w:val="0"/>
          <w:w w:val="100"/>
          <w:position w:val="0"/>
        </w:rPr>
        <w:t>的简化判断方式。如果该组合通过集中度测试，则判断为不构成业务。如果该组合未通过集中度测试，仍应按照 业务条件进行判断。</w:t>
      </w:r>
    </w:p>
    <w:p>
      <w:pPr>
        <w:pStyle w:val="Style20"/>
        <w:keepNext w:val="0"/>
        <w:keepLines w:val="0"/>
        <w:widowControl w:val="0"/>
        <w:shd w:val="clear" w:color="auto" w:fill="auto"/>
        <w:bidi w:val="0"/>
        <w:spacing w:before="0" w:after="360" w:line="307" w:lineRule="exact"/>
        <w:ind w:left="660" w:right="0" w:firstLine="0"/>
        <w:jc w:val="both"/>
      </w:pPr>
      <w:r>
        <w:rPr>
          <w:color w:val="000000"/>
          <w:spacing w:val="0"/>
          <w:w w:val="100"/>
          <w:position w:val="0"/>
        </w:rPr>
        <w:t>当本集团取得了不构成业务的一组资产或净资产时，应将购买成本按购买日所取得各项可辨认资产、负债的相对公 允价值基础进行分配，不按照以下企业合并的会计处理方法进行处理。</w:t>
      </w:r>
    </w:p>
    <w:p>
      <w:pPr>
        <w:pStyle w:val="Style20"/>
        <w:keepNext w:val="0"/>
        <w:keepLines w:val="0"/>
        <w:widowControl w:val="0"/>
        <w:numPr>
          <w:ilvl w:val="0"/>
          <w:numId w:val="45"/>
        </w:numPr>
        <w:pBdr>
          <w:top w:val="single" w:sz="4" w:space="0" w:color="auto"/>
        </w:pBdr>
        <w:shd w:val="clear" w:color="auto" w:fill="auto"/>
        <w:tabs>
          <w:tab w:pos="349" w:val="left"/>
        </w:tabs>
        <w:bidi w:val="0"/>
        <w:spacing w:before="0" w:after="0" w:line="234" w:lineRule="exact"/>
        <w:ind w:left="0" w:right="0" w:firstLine="0"/>
        <w:jc w:val="both"/>
      </w:pPr>
      <w:bookmarkStart w:id="578" w:name="bookmark578"/>
      <w:bookmarkEnd w:id="578"/>
      <w:r>
        <w:rPr>
          <w:color w:val="000000"/>
          <w:spacing w:val="0"/>
          <w:w w:val="100"/>
          <w:position w:val="0"/>
        </w:rPr>
        <w:t>同一控制下的企业合并</w:t>
      </w:r>
    </w:p>
    <w:p>
      <w:pPr>
        <w:pStyle w:val="Style20"/>
        <w:keepNext w:val="0"/>
        <w:keepLines w:val="0"/>
        <w:widowControl w:val="0"/>
        <w:shd w:val="clear" w:color="auto" w:fill="auto"/>
        <w:bidi w:val="0"/>
        <w:spacing w:before="0" w:after="0" w:line="234" w:lineRule="exact"/>
        <w:ind w:left="0" w:right="0" w:firstLine="680"/>
        <w:jc w:val="both"/>
      </w:pPr>
      <w:r>
        <w:rPr>
          <w:color w:val="000000"/>
          <w:spacing w:val="0"/>
          <w:w w:val="100"/>
          <w:position w:val="0"/>
        </w:rPr>
        <w:t>参与合并的企业在合并前后均受同一方或相同的多方最终控制且该控制并非暂时性的，为同一控制下的企业合并。</w:t>
      </w:r>
    </w:p>
    <w:p>
      <w:pPr>
        <w:pStyle w:val="Style20"/>
        <w:keepNext w:val="0"/>
        <w:keepLines w:val="0"/>
        <w:widowControl w:val="0"/>
        <w:shd w:val="clear" w:color="auto" w:fill="auto"/>
        <w:bidi w:val="0"/>
        <w:spacing w:before="0" w:after="0" w:line="234" w:lineRule="exact"/>
        <w:ind w:left="680" w:right="0" w:firstLine="0"/>
        <w:jc w:val="both"/>
      </w:pPr>
      <w:r>
        <w:rPr>
          <w:color w:val="000000"/>
          <w:spacing w:val="0"/>
          <w:w w:val="100"/>
          <w:position w:val="0"/>
        </w:rPr>
        <w:t>合并方在企业合并中取得的资产和负债，按照合并日在最终控制方合并财务报表中的账面价值计量。取得的净资产 账面价值与支付的合并对价账面价值</w:t>
      </w:r>
      <w:r>
        <w:rPr>
          <w:color w:val="000000"/>
          <w:spacing w:val="0"/>
          <w:w w:val="100"/>
          <w:position w:val="0"/>
        </w:rPr>
        <w:t>(</w:t>
      </w:r>
      <w:r>
        <w:rPr>
          <w:color w:val="000000"/>
          <w:spacing w:val="0"/>
          <w:w w:val="100"/>
          <w:position w:val="0"/>
        </w:rPr>
        <w:t>或发行股份面值总额</w:t>
      </w:r>
      <w:r>
        <w:rPr>
          <w:color w:val="000000"/>
          <w:spacing w:val="0"/>
          <w:w w:val="100"/>
          <w:position w:val="0"/>
        </w:rPr>
        <w:t>)</w:t>
      </w:r>
      <w:r>
        <w:rPr>
          <w:color w:val="000000"/>
          <w:spacing w:val="0"/>
          <w:w w:val="100"/>
          <w:position w:val="0"/>
        </w:rPr>
        <w:t>的差额，调整资本公积中的股本溢价；资本公积中的 股本溢价不足冲减的，调整留存收益。为进行企业合并发生的直接相关费用，于发生时计入当期损益。合并日为合 并方实际取得对被合并方控制权的日期。</w:t>
      </w:r>
    </w:p>
    <w:p>
      <w:pPr>
        <w:pStyle w:val="Style20"/>
        <w:keepNext w:val="0"/>
        <w:keepLines w:val="0"/>
        <w:widowControl w:val="0"/>
        <w:numPr>
          <w:ilvl w:val="0"/>
          <w:numId w:val="45"/>
        </w:numPr>
        <w:shd w:val="clear" w:color="auto" w:fill="auto"/>
        <w:tabs>
          <w:tab w:pos="349" w:val="left"/>
        </w:tabs>
        <w:bidi w:val="0"/>
        <w:spacing w:before="0" w:after="0" w:line="234" w:lineRule="exact"/>
        <w:ind w:left="0" w:right="0" w:firstLine="0"/>
        <w:jc w:val="both"/>
      </w:pPr>
      <w:bookmarkStart w:id="579" w:name="bookmark579"/>
      <w:bookmarkEnd w:id="579"/>
      <w:r>
        <w:rPr>
          <w:color w:val="000000"/>
          <w:spacing w:val="0"/>
          <w:w w:val="100"/>
          <w:position w:val="0"/>
        </w:rPr>
        <w:t>非同一控制下的企业合并</w:t>
      </w:r>
    </w:p>
    <w:p>
      <w:pPr>
        <w:pStyle w:val="Style20"/>
        <w:keepNext w:val="0"/>
        <w:keepLines w:val="0"/>
        <w:widowControl w:val="0"/>
        <w:shd w:val="clear" w:color="auto" w:fill="auto"/>
        <w:bidi w:val="0"/>
        <w:spacing w:before="0" w:after="320" w:line="234" w:lineRule="exact"/>
        <w:ind w:left="680" w:right="0" w:firstLine="0"/>
        <w:jc w:val="both"/>
      </w:pPr>
      <w:r>
        <w:rPr>
          <w:color w:val="000000"/>
          <w:spacing w:val="0"/>
          <w:w w:val="100"/>
          <w:position w:val="0"/>
        </w:rPr>
        <w:t>参与合并的各方在合并前后不受同一方或相同的多方最终控制的，为非同一控制下的企业合并。本集团作为购买方， 为取得被购买方控制权而付出的资产</w:t>
      </w:r>
      <w:r>
        <w:rPr>
          <w:color w:val="000000"/>
          <w:spacing w:val="0"/>
          <w:w w:val="100"/>
          <w:position w:val="0"/>
        </w:rPr>
        <w:t>(</w:t>
      </w:r>
      <w:r>
        <w:rPr>
          <w:color w:val="000000"/>
          <w:spacing w:val="0"/>
          <w:w w:val="100"/>
          <w:position w:val="0"/>
        </w:rPr>
        <w:t>包括购买日之前所持有的被购买方的股权</w:t>
      </w:r>
      <w:r>
        <w:rPr>
          <w:color w:val="000000"/>
          <w:spacing w:val="0"/>
          <w:w w:val="100"/>
          <w:position w:val="0"/>
        </w:rPr>
        <w:t>)</w:t>
      </w:r>
      <w:r>
        <w:rPr>
          <w:color w:val="000000"/>
          <w:spacing w:val="0"/>
          <w:w w:val="100"/>
          <w:position w:val="0"/>
        </w:rPr>
        <w:t>、发生或承担的负债以及发行的 权益性证券在购买日的公允价值之和，减去合并中取得的被购买方可辨认净资产于购买日公允价值份额的差额，如 为正数则确认为商誉；如为负数则计入当期损益。本集团将作为合并对价发行的权益性证券或债务性证券的交易费 用，计入权益性证券或债务性证券的初始确认金额。本集团为进行企业合并发生的各项直接费用计入当期损益。付 出资产的公允价值与其账面价值的差额，计入当期损益。本集团在购买日按公允价值确认所取得的被购买方符合确 认条件的各项可辨认资产、负债及或有负债。购买日是指购买方实际取得对被购买方控制权的日期。</w:t>
      </w:r>
    </w:p>
    <w:p>
      <w:pPr>
        <w:pStyle w:val="Style20"/>
        <w:keepNext w:val="0"/>
        <w:keepLines w:val="0"/>
        <w:widowControl w:val="0"/>
        <w:shd w:val="clear" w:color="auto" w:fill="auto"/>
        <w:tabs>
          <w:tab w:pos="427" w:val="left"/>
        </w:tabs>
        <w:bidi w:val="0"/>
        <w:spacing w:before="0" w:after="100" w:line="235" w:lineRule="exact"/>
        <w:ind w:left="0" w:right="0" w:firstLine="0"/>
        <w:jc w:val="both"/>
      </w:pPr>
      <w:bookmarkStart w:id="580" w:name="bookmark580"/>
      <w:r>
        <w:rPr>
          <w:rFonts w:ascii="Times New Roman" w:eastAsia="Times New Roman" w:hAnsi="Times New Roman" w:cs="Times New Roman"/>
          <w:color w:val="000000"/>
          <w:spacing w:val="0"/>
          <w:w w:val="100"/>
          <w:position w:val="0"/>
        </w:rPr>
        <w:t>6</w:t>
      </w:r>
      <w:bookmarkEnd w:id="580"/>
      <w:r>
        <w:rPr>
          <w:color w:val="000000"/>
          <w:spacing w:val="0"/>
          <w:w w:val="100"/>
          <w:position w:val="0"/>
        </w:rPr>
        <w:t>、</w:t>
        <w:tab/>
        <w:t>合并财务报表的编制方法</w:t>
      </w:r>
    </w:p>
    <w:p>
      <w:pPr>
        <w:pStyle w:val="Style20"/>
        <w:keepNext w:val="0"/>
        <w:keepLines w:val="0"/>
        <w:widowControl w:val="0"/>
        <w:numPr>
          <w:ilvl w:val="0"/>
          <w:numId w:val="47"/>
        </w:numPr>
        <w:shd w:val="clear" w:color="auto" w:fill="auto"/>
        <w:tabs>
          <w:tab w:pos="349" w:val="left"/>
        </w:tabs>
        <w:bidi w:val="0"/>
        <w:spacing w:before="0" w:after="0" w:line="276" w:lineRule="auto"/>
        <w:ind w:left="0" w:right="0" w:firstLine="0"/>
        <w:jc w:val="left"/>
      </w:pPr>
      <w:bookmarkStart w:id="581" w:name="bookmark581"/>
      <w:bookmarkEnd w:id="581"/>
      <w:r>
        <w:rPr>
          <w:color w:val="000000"/>
          <w:spacing w:val="0"/>
          <w:w w:val="100"/>
          <w:position w:val="0"/>
        </w:rPr>
        <w:t>总体原则</w:t>
      </w:r>
    </w:p>
    <w:p>
      <w:pPr>
        <w:pStyle w:val="Style20"/>
        <w:keepNext w:val="0"/>
        <w:keepLines w:val="0"/>
        <w:widowControl w:val="0"/>
        <w:shd w:val="clear" w:color="auto" w:fill="auto"/>
        <w:bidi w:val="0"/>
        <w:spacing w:before="0" w:after="0" w:line="235" w:lineRule="exact"/>
        <w:ind w:left="680" w:right="0" w:firstLine="0"/>
        <w:jc w:val="both"/>
      </w:pPr>
      <w:r>
        <w:rPr>
          <w:color w:val="000000"/>
          <w:spacing w:val="0"/>
          <w:w w:val="100"/>
          <w:position w:val="0"/>
        </w:rPr>
        <w:t>合并财务报表的合并范围以控制为基础予以确定，包括本公司及本公司控制的子公司。控制，是指本集团拥有对被 投资方的权力，通过参与被投资方的相关活动而享有可变回报，并且有能力运用对被投资方的权力影响其回报金额。 在判断本集团是否拥有对被投资方的权力时，本集团仅考虑与被投资方相关的实质性权利</w:t>
      </w:r>
      <w:r>
        <w:rPr>
          <w:color w:val="000000"/>
          <w:spacing w:val="0"/>
          <w:w w:val="100"/>
          <w:position w:val="0"/>
        </w:rPr>
        <w:t>(</w:t>
      </w:r>
      <w:r>
        <w:rPr>
          <w:color w:val="000000"/>
          <w:spacing w:val="0"/>
          <w:w w:val="100"/>
          <w:position w:val="0"/>
        </w:rPr>
        <w:t>包括本集团自身所享有 的及其他方所享有的实质性权利</w:t>
      </w:r>
      <w:r>
        <w:rPr>
          <w:color w:val="000000"/>
          <w:spacing w:val="0"/>
          <w:w w:val="100"/>
          <w:position w:val="0"/>
        </w:rPr>
        <w:t>)</w:t>
      </w:r>
      <w:r>
        <w:rPr>
          <w:color w:val="000000"/>
          <w:spacing w:val="0"/>
          <w:w w:val="100"/>
          <w:position w:val="0"/>
        </w:rPr>
        <w:t>。子公司的财务状况、经营成果和现金流量由控制开始日起至控制结束日止包含 于合并财务报表中。</w:t>
      </w:r>
    </w:p>
    <w:p>
      <w:pPr>
        <w:pStyle w:val="Style20"/>
        <w:keepNext w:val="0"/>
        <w:keepLines w:val="0"/>
        <w:widowControl w:val="0"/>
        <w:shd w:val="clear" w:color="auto" w:fill="auto"/>
        <w:bidi w:val="0"/>
        <w:spacing w:before="0" w:after="0" w:line="230" w:lineRule="exact"/>
        <w:ind w:left="680" w:right="0" w:firstLine="0"/>
        <w:jc w:val="both"/>
      </w:pPr>
      <w:r>
        <w:rPr>
          <w:color w:val="000000"/>
          <w:spacing w:val="0"/>
          <w:w w:val="100"/>
          <w:position w:val="0"/>
        </w:rPr>
        <w:t>子公司少数股东应占的权益、损益和综合收益总额分别在合并资产负债表的股东权益中和合并利润表的净利润及综 合收益总额项目后单独列示。</w:t>
      </w:r>
    </w:p>
    <w:p>
      <w:pPr>
        <w:pStyle w:val="Style20"/>
        <w:keepNext w:val="0"/>
        <w:keepLines w:val="0"/>
        <w:widowControl w:val="0"/>
        <w:shd w:val="clear" w:color="auto" w:fill="auto"/>
        <w:bidi w:val="0"/>
        <w:spacing w:before="0" w:after="0" w:line="240" w:lineRule="exact"/>
        <w:ind w:left="680" w:right="0" w:firstLine="0"/>
        <w:jc w:val="both"/>
      </w:pPr>
      <w:r>
        <w:rPr>
          <w:color w:val="000000"/>
          <w:spacing w:val="0"/>
          <w:w w:val="100"/>
          <w:position w:val="0"/>
        </w:rPr>
        <w:t>如果子公司少数股东分担的当期亏损超过了少数股东在该子公司期初所有者权益中所享有的份额的，其余额仍冲减 少数股东权益。</w:t>
      </w:r>
    </w:p>
    <w:p>
      <w:pPr>
        <w:pStyle w:val="Style20"/>
        <w:keepNext w:val="0"/>
        <w:keepLines w:val="0"/>
        <w:widowControl w:val="0"/>
        <w:shd w:val="clear" w:color="auto" w:fill="auto"/>
        <w:bidi w:val="0"/>
        <w:spacing w:before="0" w:after="0" w:line="238" w:lineRule="exact"/>
        <w:ind w:left="680" w:right="0" w:firstLine="0"/>
        <w:jc w:val="both"/>
      </w:pPr>
      <w:r>
        <w:rPr>
          <w:color w:val="000000"/>
          <w:spacing w:val="0"/>
          <w:w w:val="100"/>
          <w:position w:val="0"/>
        </w:rPr>
        <w:t>当子公司所采用的会计期间或会计政策与本公司不一致时，合并时已按照本公司的会计期间或会计政策对子公司财 务报表进行必要的调整。合并时所有集团内部交易及余额，包括未实现内部交易损益均已抵销。集团内部交易发生 的未实现损失，有证据表明该损失是相关资产减值损失的，则全额确认该损失。</w:t>
      </w:r>
    </w:p>
    <w:p>
      <w:pPr>
        <w:pStyle w:val="Style20"/>
        <w:keepNext w:val="0"/>
        <w:keepLines w:val="0"/>
        <w:widowControl w:val="0"/>
        <w:numPr>
          <w:ilvl w:val="0"/>
          <w:numId w:val="47"/>
        </w:numPr>
        <w:shd w:val="clear" w:color="auto" w:fill="auto"/>
        <w:tabs>
          <w:tab w:pos="349" w:val="left"/>
        </w:tabs>
        <w:bidi w:val="0"/>
        <w:spacing w:before="0" w:after="0" w:line="276" w:lineRule="auto"/>
        <w:ind w:left="0" w:right="0" w:firstLine="0"/>
        <w:jc w:val="both"/>
      </w:pPr>
      <w:bookmarkStart w:id="582" w:name="bookmark582"/>
      <w:bookmarkEnd w:id="582"/>
      <w:r>
        <w:rPr>
          <w:color w:val="000000"/>
          <w:spacing w:val="0"/>
          <w:w w:val="100"/>
          <w:position w:val="0"/>
        </w:rPr>
        <w:t>合并取得子公司</w:t>
      </w:r>
    </w:p>
    <w:p>
      <w:pPr>
        <w:pStyle w:val="Style20"/>
        <w:keepNext w:val="0"/>
        <w:keepLines w:val="0"/>
        <w:widowControl w:val="0"/>
        <w:shd w:val="clear" w:color="auto" w:fill="auto"/>
        <w:bidi w:val="0"/>
        <w:spacing w:before="0" w:after="0" w:line="240" w:lineRule="exact"/>
        <w:ind w:left="680" w:right="0" w:firstLine="0"/>
        <w:jc w:val="both"/>
      </w:pPr>
      <w:r>
        <w:rPr>
          <w:color w:val="000000"/>
          <w:spacing w:val="0"/>
          <w:w w:val="100"/>
          <w:position w:val="0"/>
        </w:rPr>
        <w:t>对于通过同一控制下企业合并取得的子公司，在编制合并当期财务报表时，以被合并子公司的各项资产、负债在最 终控制方财务报表中的账面价值为基础，视同被合并子公司在本公司最终控制方对其开始实施控制时纳入本公司合 并范围，并对合并财务报表的期初数以及前期比较报表进行相应调整。</w:t>
      </w:r>
    </w:p>
    <w:p>
      <w:pPr>
        <w:pStyle w:val="Style20"/>
        <w:keepNext w:val="0"/>
        <w:keepLines w:val="0"/>
        <w:widowControl w:val="0"/>
        <w:shd w:val="clear" w:color="auto" w:fill="auto"/>
        <w:bidi w:val="0"/>
        <w:spacing w:before="0" w:after="0" w:line="240" w:lineRule="exact"/>
        <w:ind w:left="680" w:right="0" w:firstLine="0"/>
        <w:jc w:val="both"/>
      </w:pPr>
      <w:r>
        <w:rPr>
          <w:color w:val="000000"/>
          <w:spacing w:val="0"/>
          <w:w w:val="100"/>
          <w:position w:val="0"/>
        </w:rPr>
        <w:t>对于通过非同一控制下企业合并取得的子公司，在编制合并当期财务报表时，以购买日确定的被购买子公司各项可 辨认资产、负债的公允价值为基础自购买日起将被购买子公司纳入本公司合并范围。</w:t>
      </w:r>
    </w:p>
    <w:p>
      <w:pPr>
        <w:pStyle w:val="Style20"/>
        <w:keepNext w:val="0"/>
        <w:keepLines w:val="0"/>
        <w:widowControl w:val="0"/>
        <w:numPr>
          <w:ilvl w:val="0"/>
          <w:numId w:val="47"/>
        </w:numPr>
        <w:shd w:val="clear" w:color="auto" w:fill="auto"/>
        <w:tabs>
          <w:tab w:pos="349" w:val="left"/>
        </w:tabs>
        <w:bidi w:val="0"/>
        <w:spacing w:before="0" w:after="0" w:line="276" w:lineRule="auto"/>
        <w:ind w:left="0" w:right="0" w:firstLine="0"/>
        <w:jc w:val="both"/>
      </w:pPr>
      <w:bookmarkStart w:id="583" w:name="bookmark583"/>
      <w:bookmarkEnd w:id="583"/>
      <w:r>
        <w:rPr>
          <w:color w:val="000000"/>
          <w:spacing w:val="0"/>
          <w:w w:val="100"/>
          <w:position w:val="0"/>
        </w:rPr>
        <w:t>处置子公司</w:t>
      </w:r>
    </w:p>
    <w:p>
      <w:pPr>
        <w:pStyle w:val="Style20"/>
        <w:keepNext w:val="0"/>
        <w:keepLines w:val="0"/>
        <w:widowControl w:val="0"/>
        <w:shd w:val="clear" w:color="auto" w:fill="auto"/>
        <w:bidi w:val="0"/>
        <w:spacing w:before="0" w:after="0" w:line="235" w:lineRule="exact"/>
        <w:ind w:left="680" w:right="0" w:firstLine="0"/>
        <w:jc w:val="both"/>
      </w:pPr>
      <w:r>
        <w:rPr>
          <w:color w:val="000000"/>
          <w:spacing w:val="0"/>
          <w:w w:val="100"/>
          <w:position w:val="0"/>
        </w:rPr>
        <w:t>本集团丧失对原有子公司控制权时，由此产生的任何处置收益或损失，计入丧失控制权当期的投资收益。对于剩余 股权投资，本集团按照其在丧失控制权日的公允价值进行重新计量，由此产生的任何收益或损失，也计入丧失控制 权当期的投资收益。</w:t>
      </w:r>
    </w:p>
    <w:p>
      <w:pPr>
        <w:pStyle w:val="Style20"/>
        <w:keepNext w:val="0"/>
        <w:keepLines w:val="0"/>
        <w:widowControl w:val="0"/>
        <w:numPr>
          <w:ilvl w:val="0"/>
          <w:numId w:val="47"/>
        </w:numPr>
        <w:shd w:val="clear" w:color="auto" w:fill="auto"/>
        <w:tabs>
          <w:tab w:pos="349" w:val="left"/>
        </w:tabs>
        <w:bidi w:val="0"/>
        <w:spacing w:before="0" w:after="0" w:line="276" w:lineRule="auto"/>
        <w:ind w:left="0" w:right="0" w:firstLine="0"/>
        <w:jc w:val="both"/>
      </w:pPr>
      <w:bookmarkStart w:id="584" w:name="bookmark584"/>
      <w:bookmarkEnd w:id="584"/>
      <w:r>
        <w:rPr>
          <w:color w:val="000000"/>
          <w:spacing w:val="0"/>
          <w:w w:val="100"/>
          <w:position w:val="0"/>
        </w:rPr>
        <w:t>少数股东权益变动</w:t>
      </w:r>
    </w:p>
    <w:p>
      <w:pPr>
        <w:pStyle w:val="Style20"/>
        <w:keepNext w:val="0"/>
        <w:keepLines w:val="0"/>
        <w:widowControl w:val="0"/>
        <w:shd w:val="clear" w:color="auto" w:fill="auto"/>
        <w:bidi w:val="0"/>
        <w:spacing w:before="0" w:after="280" w:line="234" w:lineRule="exact"/>
        <w:ind w:left="680" w:right="0" w:firstLine="0"/>
        <w:jc w:val="both"/>
      </w:pPr>
      <w:r>
        <w:rPr>
          <w:color w:val="000000"/>
          <w:spacing w:val="0"/>
          <w:w w:val="100"/>
          <w:position w:val="0"/>
        </w:rPr>
        <w:t>本公司因购买少数股权新取得的长期股权投资成本与按照新增持股比例计算应享有子公司的净资产份额之间的差 额，以及在不丧失控制权的情况下因部分处置对子公司的股权投资而取得的处置价款与处置长期股权投资相对应享 有子公司净资产的差额，均调整合并资产负债表中的资本公积</w:t>
      </w:r>
      <w:r>
        <w:rPr>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w:t>
      </w:r>
      <w:r>
        <w:rPr>
          <w:color w:val="000000"/>
          <w:spacing w:val="0"/>
          <w:w w:val="100"/>
          <w:position w:val="0"/>
        </w:rPr>
        <w:t>，资本公积</w:t>
      </w:r>
      <w:r>
        <w:rPr>
          <w:color w:val="000000"/>
          <w:spacing w:val="0"/>
          <w:w w:val="100"/>
          <w:position w:val="0"/>
        </w:rPr>
        <w:t>(</w:t>
      </w:r>
      <w:r>
        <w:rPr>
          <w:color w:val="000000"/>
          <w:spacing w:val="0"/>
          <w:w w:val="100"/>
          <w:position w:val="0"/>
        </w:rPr>
        <w:t>股本溢价</w:t>
      </w:r>
      <w:r>
        <w:rPr>
          <w:color w:val="000000"/>
          <w:spacing w:val="0"/>
          <w:w w:val="100"/>
          <w:position w:val="0"/>
        </w:rPr>
        <w:t>)</w:t>
      </w:r>
      <w:r>
        <w:rPr>
          <w:color w:val="000000"/>
          <w:spacing w:val="0"/>
          <w:w w:val="100"/>
          <w:position w:val="0"/>
        </w:rPr>
        <w:t>不足冲减的，调 整留存收益。</w:t>
      </w:r>
    </w:p>
    <w:p>
      <w:pPr>
        <w:pStyle w:val="Style20"/>
        <w:keepNext w:val="0"/>
        <w:keepLines w:val="0"/>
        <w:widowControl w:val="0"/>
        <w:shd w:val="clear" w:color="auto" w:fill="auto"/>
        <w:tabs>
          <w:tab w:pos="296" w:val="left"/>
        </w:tabs>
        <w:bidi w:val="0"/>
        <w:spacing w:before="0" w:after="0" w:line="235" w:lineRule="exact"/>
        <w:ind w:left="0" w:right="0" w:firstLine="0"/>
        <w:jc w:val="both"/>
      </w:pPr>
      <w:bookmarkStart w:id="585" w:name="bookmark585"/>
      <w:r>
        <w:rPr>
          <w:rFonts w:ascii="Times New Roman" w:eastAsia="Times New Roman" w:hAnsi="Times New Roman" w:cs="Times New Roman"/>
          <w:color w:val="000000"/>
          <w:spacing w:val="0"/>
          <w:w w:val="100"/>
          <w:position w:val="0"/>
        </w:rPr>
        <w:t>7</w:t>
      </w:r>
      <w:bookmarkEnd w:id="585"/>
      <w:r>
        <w:rPr>
          <w:color w:val="000000"/>
          <w:spacing w:val="0"/>
          <w:w w:val="100"/>
          <w:position w:val="0"/>
        </w:rPr>
        <w:t>、</w:t>
        <w:tab/>
        <w:t>现金及现金等价物的确定标准</w:t>
      </w:r>
    </w:p>
    <w:p>
      <w:pPr>
        <w:pStyle w:val="Style20"/>
        <w:keepNext w:val="0"/>
        <w:keepLines w:val="0"/>
        <w:widowControl w:val="0"/>
        <w:shd w:val="clear" w:color="auto" w:fill="auto"/>
        <w:bidi w:val="0"/>
        <w:spacing w:before="0" w:after="280" w:line="245" w:lineRule="exact"/>
        <w:ind w:left="680" w:right="0" w:firstLine="0"/>
        <w:jc w:val="both"/>
      </w:pPr>
      <w:r>
        <w:rPr>
          <w:color w:val="000000"/>
          <w:spacing w:val="0"/>
          <w:w w:val="100"/>
          <w:position w:val="0"/>
        </w:rPr>
        <w:t>现金和现金等价物包括库存现金、可以随时用于支付的存款以及持有期限短、流动性强、易于转换为已知金额现金、 价值变动风险很小的投资。</w:t>
      </w:r>
    </w:p>
    <w:p>
      <w:pPr>
        <w:pStyle w:val="Style20"/>
        <w:keepNext w:val="0"/>
        <w:keepLines w:val="0"/>
        <w:widowControl w:val="0"/>
        <w:shd w:val="clear" w:color="auto" w:fill="auto"/>
        <w:tabs>
          <w:tab w:pos="296" w:val="left"/>
        </w:tabs>
        <w:bidi w:val="0"/>
        <w:spacing w:before="0" w:after="0" w:line="235" w:lineRule="exact"/>
        <w:ind w:left="0" w:right="0" w:firstLine="0"/>
        <w:jc w:val="both"/>
      </w:pPr>
      <w:bookmarkStart w:id="586" w:name="bookmark586"/>
      <w:r>
        <w:rPr>
          <w:rFonts w:ascii="Times New Roman" w:eastAsia="Times New Roman" w:hAnsi="Times New Roman" w:cs="Times New Roman"/>
          <w:color w:val="000000"/>
          <w:spacing w:val="0"/>
          <w:w w:val="100"/>
          <w:position w:val="0"/>
        </w:rPr>
        <w:t>8</w:t>
      </w:r>
      <w:bookmarkEnd w:id="586"/>
      <w:r>
        <w:rPr>
          <w:color w:val="000000"/>
          <w:spacing w:val="0"/>
          <w:w w:val="100"/>
          <w:position w:val="0"/>
        </w:rPr>
        <w:t>、</w:t>
        <w:tab/>
        <w:t>外币业务和外币报表折算</w:t>
      </w:r>
    </w:p>
    <w:p>
      <w:pPr>
        <w:pStyle w:val="Style20"/>
        <w:keepNext w:val="0"/>
        <w:keepLines w:val="0"/>
        <w:widowControl w:val="0"/>
        <w:shd w:val="clear" w:color="auto" w:fill="auto"/>
        <w:bidi w:val="0"/>
        <w:spacing w:before="0" w:after="0" w:line="235" w:lineRule="exact"/>
        <w:ind w:left="680" w:right="0" w:firstLine="0"/>
        <w:jc w:val="both"/>
      </w:pPr>
      <w:r>
        <w:rPr>
          <w:color w:val="000000"/>
          <w:spacing w:val="0"/>
          <w:w w:val="100"/>
          <w:position w:val="0"/>
        </w:rPr>
        <w:t>本集团收到投资者以外币投入资本时按当日即期汇率折合为人民币，其他外币交易在初始确认时按交易发生日的即 期汇率折合为人民币。</w:t>
      </w:r>
    </w:p>
    <w:p>
      <w:pPr>
        <w:pStyle w:val="Style20"/>
        <w:keepNext w:val="0"/>
        <w:keepLines w:val="0"/>
        <w:widowControl w:val="0"/>
        <w:shd w:val="clear" w:color="auto" w:fill="auto"/>
        <w:bidi w:val="0"/>
        <w:spacing w:before="0" w:after="0" w:line="226" w:lineRule="exact"/>
        <w:ind w:left="680" w:right="0" w:firstLine="0"/>
        <w:jc w:val="both"/>
      </w:pPr>
      <w:r>
        <w:rPr>
          <w:color w:val="000000"/>
          <w:spacing w:val="0"/>
          <w:w w:val="100"/>
          <w:position w:val="0"/>
        </w:rPr>
        <w:t>于资产负债表日，外币货币性项目采用该日的即期汇率折算。除与购建符合资本化条件资产有关的专门借款本金和 利息的汇兑差额外，其他汇兑差额计入当期损益。以历史成本计量的外币非货币性项目，仍采用交易发生日的即期</w:t>
      </w:r>
    </w:p>
    <w:p>
      <w:pPr>
        <w:pStyle w:val="Style20"/>
        <w:keepNext w:val="0"/>
        <w:keepLines w:val="0"/>
        <w:widowControl w:val="0"/>
        <w:shd w:val="clear" w:color="auto" w:fill="auto"/>
        <w:bidi w:val="0"/>
        <w:spacing w:before="0" w:after="280" w:line="252" w:lineRule="exact"/>
        <w:ind w:left="640" w:right="0" w:firstLine="430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年年度报告全文 汇率折算。以公允价值计量的外币非货币性项目，采用公允价值确定日的即期汇率折算，由此产生的汇兑差额，属 于以公允价值计量且其变动计入其他综合收益的权益工具投资的差额，计入其他综合收益；其他差额计入当期损益。</w:t>
      </w:r>
    </w:p>
    <w:p>
      <w:pPr>
        <w:pStyle w:val="Style20"/>
        <w:keepNext w:val="0"/>
        <w:keepLines w:val="0"/>
        <w:widowControl w:val="0"/>
        <w:shd w:val="clear" w:color="auto" w:fill="auto"/>
        <w:bidi w:val="0"/>
        <w:spacing w:before="0" w:after="0" w:line="235" w:lineRule="exact"/>
        <w:ind w:left="0" w:right="0" w:firstLine="0"/>
        <w:jc w:val="both"/>
      </w:pPr>
      <w:bookmarkStart w:id="587" w:name="bookmark587"/>
      <w:r>
        <w:rPr>
          <w:rFonts w:ascii="Times New Roman" w:eastAsia="Times New Roman" w:hAnsi="Times New Roman" w:cs="Times New Roman"/>
          <w:color w:val="000000"/>
          <w:spacing w:val="0"/>
          <w:w w:val="100"/>
          <w:position w:val="0"/>
        </w:rPr>
        <w:t>9</w:t>
      </w:r>
      <w:bookmarkEnd w:id="587"/>
      <w:r>
        <w:rPr>
          <w:color w:val="000000"/>
          <w:spacing w:val="0"/>
          <w:w w:val="100"/>
          <w:position w:val="0"/>
        </w:rPr>
        <w:t>、金融工具</w:t>
      </w:r>
    </w:p>
    <w:p>
      <w:pPr>
        <w:pStyle w:val="Style20"/>
        <w:keepNext w:val="0"/>
        <w:keepLines w:val="0"/>
        <w:widowControl w:val="0"/>
        <w:shd w:val="clear" w:color="auto" w:fill="auto"/>
        <w:bidi w:val="0"/>
        <w:spacing w:before="0" w:after="80" w:line="245" w:lineRule="exact"/>
        <w:ind w:left="640" w:right="0" w:firstLine="20"/>
        <w:jc w:val="both"/>
      </w:pPr>
      <w:r>
        <w:rPr>
          <w:color w:val="000000"/>
          <w:spacing w:val="0"/>
          <w:w w:val="100"/>
          <w:position w:val="0"/>
        </w:rPr>
        <w:t>本集团的金融工具包括货币资金、除长期股权投资</w:t>
      </w:r>
      <w:r>
        <w:rPr>
          <w:color w:val="000000"/>
          <w:spacing w:val="0"/>
          <w:w w:val="100"/>
          <w:position w:val="0"/>
        </w:rPr>
        <w:t>(</w:t>
      </w:r>
      <w:r>
        <w:rPr>
          <w:color w:val="000000"/>
          <w:spacing w:val="0"/>
          <w:w w:val="100"/>
          <w:position w:val="0"/>
        </w:rPr>
        <w:t>参见附注五、</w:t>
      </w:r>
      <w:r>
        <w:rPr>
          <w:rFonts w:ascii="Times New Roman" w:eastAsia="Times New Roman" w:hAnsi="Times New Roman" w:cs="Times New Roman"/>
          <w:color w:val="000000"/>
          <w:spacing w:val="0"/>
          <w:w w:val="100"/>
          <w:position w:val="0"/>
        </w:rPr>
        <w:t>13)</w:t>
      </w:r>
      <w:r>
        <w:rPr>
          <w:color w:val="000000"/>
          <w:spacing w:val="0"/>
          <w:w w:val="100"/>
          <w:position w:val="0"/>
        </w:rPr>
        <w:t>以外的股权投资、应收款项、其他应收款、应 付款项、借款及股本等。</w:t>
      </w:r>
    </w:p>
    <w:p>
      <w:pPr>
        <w:pStyle w:val="Style20"/>
        <w:keepNext w:val="0"/>
        <w:keepLines w:val="0"/>
        <w:widowControl w:val="0"/>
        <w:numPr>
          <w:ilvl w:val="0"/>
          <w:numId w:val="49"/>
        </w:numPr>
        <w:shd w:val="clear" w:color="auto" w:fill="auto"/>
        <w:tabs>
          <w:tab w:pos="524" w:val="left"/>
        </w:tabs>
        <w:bidi w:val="0"/>
        <w:spacing w:before="0" w:after="0" w:line="276" w:lineRule="auto"/>
        <w:ind w:left="0" w:right="0" w:firstLine="160"/>
        <w:jc w:val="both"/>
      </w:pPr>
      <w:bookmarkStart w:id="588" w:name="bookmark588"/>
      <w:bookmarkEnd w:id="588"/>
      <w:r>
        <w:rPr>
          <w:color w:val="000000"/>
          <w:spacing w:val="0"/>
          <w:w w:val="100"/>
          <w:position w:val="0"/>
        </w:rPr>
        <w:t>金融资产及金融负债的确认和初始计量</w:t>
      </w:r>
    </w:p>
    <w:p>
      <w:pPr>
        <w:pStyle w:val="Style20"/>
        <w:keepNext w:val="0"/>
        <w:keepLines w:val="0"/>
        <w:widowControl w:val="0"/>
        <w:shd w:val="clear" w:color="auto" w:fill="auto"/>
        <w:bidi w:val="0"/>
        <w:spacing w:before="0" w:after="0" w:line="235" w:lineRule="exact"/>
        <w:ind w:left="0" w:right="0" w:firstLine="640"/>
        <w:jc w:val="both"/>
      </w:pPr>
      <w:r>
        <w:rPr>
          <w:color w:val="000000"/>
          <w:spacing w:val="0"/>
          <w:w w:val="100"/>
          <w:position w:val="0"/>
        </w:rPr>
        <w:t>金融资产和金融负债在本集团成为相关金融工具合同条款的一方时，于资产负债表内确认。</w:t>
      </w:r>
    </w:p>
    <w:p>
      <w:pPr>
        <w:pStyle w:val="Style20"/>
        <w:keepNext w:val="0"/>
        <w:keepLines w:val="0"/>
        <w:widowControl w:val="0"/>
        <w:shd w:val="clear" w:color="auto" w:fill="auto"/>
        <w:bidi w:val="0"/>
        <w:spacing w:before="0" w:after="80" w:line="234" w:lineRule="exact"/>
        <w:ind w:left="640" w:right="0" w:firstLine="20"/>
        <w:jc w:val="both"/>
      </w:pPr>
      <w:r>
        <w:rPr>
          <w:color w:val="000000"/>
          <w:spacing w:val="0"/>
          <w:w w:val="100"/>
          <w:position w:val="0"/>
        </w:rPr>
        <w:t>在初始确认时，金融资产及金融负债均以公允价值计量。对于以公允价值计量且其变动计入当期损益的金融资产或 金融负债，相关交易费用直接计入当期损益；对于其他类别的金融资产或金融负债，相关交易费用计入初始确认金 额。对于未包含重大融资成分或不考虑不超过一年的合同中的融资成分的应收账款，本集团按照根据附注五、</w:t>
      </w:r>
      <w:r>
        <w:rPr>
          <w:rFonts w:ascii="Times New Roman" w:eastAsia="Times New Roman" w:hAnsi="Times New Roman" w:cs="Times New Roman"/>
          <w:color w:val="000000"/>
          <w:spacing w:val="0"/>
          <w:w w:val="100"/>
          <w:position w:val="0"/>
        </w:rPr>
        <w:t>25</w:t>
      </w:r>
      <w:r>
        <w:rPr>
          <w:color w:val="000000"/>
          <w:spacing w:val="0"/>
          <w:w w:val="100"/>
          <w:position w:val="0"/>
        </w:rPr>
        <w:t>的 会计政策确定的交易价格进行初始计量。</w:t>
      </w:r>
    </w:p>
    <w:p>
      <w:pPr>
        <w:pStyle w:val="Style20"/>
        <w:keepNext w:val="0"/>
        <w:keepLines w:val="0"/>
        <w:widowControl w:val="0"/>
        <w:numPr>
          <w:ilvl w:val="0"/>
          <w:numId w:val="49"/>
        </w:numPr>
        <w:shd w:val="clear" w:color="auto" w:fill="auto"/>
        <w:tabs>
          <w:tab w:pos="524" w:val="left"/>
        </w:tabs>
        <w:bidi w:val="0"/>
        <w:spacing w:before="0" w:after="0" w:line="276" w:lineRule="auto"/>
        <w:ind w:left="0" w:right="0" w:firstLine="160"/>
        <w:jc w:val="both"/>
      </w:pPr>
      <w:bookmarkStart w:id="589" w:name="bookmark589"/>
      <w:bookmarkEnd w:id="589"/>
      <w:r>
        <w:rPr>
          <w:color w:val="000000"/>
          <w:spacing w:val="0"/>
          <w:w w:val="100"/>
          <w:position w:val="0"/>
        </w:rPr>
        <w:t>金融资产的分类和后续计量</w:t>
      </w:r>
    </w:p>
    <w:p>
      <w:pPr>
        <w:pStyle w:val="Style20"/>
        <w:keepNext w:val="0"/>
        <w:keepLines w:val="0"/>
        <w:widowControl w:val="0"/>
        <w:shd w:val="clear" w:color="auto" w:fill="auto"/>
        <w:bidi w:val="0"/>
        <w:spacing w:before="0" w:after="0" w:line="276" w:lineRule="auto"/>
        <w:ind w:left="0" w:right="0" w:firstLine="460"/>
        <w:jc w:val="both"/>
      </w:pPr>
      <w:r>
        <w:rPr>
          <w:rFonts w:ascii="Times New Roman" w:eastAsia="Times New Roman" w:hAnsi="Times New Roman" w:cs="Times New Roman"/>
          <w:color w:val="000000"/>
          <w:spacing w:val="0"/>
          <w:w w:val="100"/>
          <w:position w:val="0"/>
        </w:rPr>
        <w:t>(a)</w:t>
      </w:r>
      <w:r>
        <w:rPr>
          <w:color w:val="000000"/>
          <w:spacing w:val="0"/>
          <w:w w:val="100"/>
          <w:position w:val="0"/>
        </w:rPr>
        <w:t>本集团金融资产的分类</w:t>
      </w:r>
    </w:p>
    <w:p>
      <w:pPr>
        <w:pStyle w:val="Style20"/>
        <w:keepNext w:val="0"/>
        <w:keepLines w:val="0"/>
        <w:widowControl w:val="0"/>
        <w:shd w:val="clear" w:color="auto" w:fill="auto"/>
        <w:bidi w:val="0"/>
        <w:spacing w:before="0" w:after="0" w:line="235" w:lineRule="exact"/>
        <w:ind w:left="640" w:right="0" w:firstLine="20"/>
        <w:jc w:val="both"/>
      </w:pPr>
      <w:r>
        <w:rPr>
          <w:color w:val="000000"/>
          <w:spacing w:val="0"/>
          <w:w w:val="100"/>
          <w:position w:val="0"/>
        </w:rPr>
        <w:t>本集团通常根据管理金融资产的业务模式和金融资产的合同现金流量特征，在初始确认时将金融资产分为不同类 另</w:t>
      </w:r>
      <w:r>
        <w:rPr>
          <w:rFonts w:ascii="Times New Roman" w:eastAsia="Times New Roman" w:hAnsi="Times New Roman" w:cs="Times New Roman"/>
          <w:color w:val="000000"/>
          <w:spacing w:val="0"/>
          <w:w w:val="100"/>
          <w:position w:val="0"/>
        </w:rPr>
        <w:t>U</w:t>
      </w:r>
      <w:r>
        <w:rPr>
          <w:color w:val="000000"/>
          <w:spacing w:val="0"/>
          <w:w w:val="100"/>
          <w:position w:val="0"/>
        </w:rPr>
        <w:t>：</w:t>
      </w:r>
      <w:r>
        <w:rPr>
          <w:color w:val="000000"/>
          <w:spacing w:val="0"/>
          <w:w w:val="100"/>
          <w:position w:val="0"/>
        </w:rPr>
        <w:t>以摊余成本计量的金融资产、以公允价值计量且其变动计入其他综合收益的金融资产及以公允价值计量且其变 动计入当期损益的金融资产。</w:t>
      </w:r>
    </w:p>
    <w:p>
      <w:pPr>
        <w:pStyle w:val="Style20"/>
        <w:keepNext w:val="0"/>
        <w:keepLines w:val="0"/>
        <w:widowControl w:val="0"/>
        <w:shd w:val="clear" w:color="auto" w:fill="auto"/>
        <w:bidi w:val="0"/>
        <w:spacing w:before="0" w:after="0" w:line="264" w:lineRule="exact"/>
        <w:ind w:left="640" w:right="0" w:firstLine="20"/>
        <w:jc w:val="both"/>
      </w:pPr>
      <w:r>
        <w:rPr>
          <w:color w:val="000000"/>
          <w:spacing w:val="0"/>
          <w:w w:val="100"/>
          <w:position w:val="0"/>
        </w:rPr>
        <w:t>除非本集团改变管理金融资产的业务模式，在此情形下，所有受影响的相关金融资产在业务模式发生变更后的首个 报告期间的第一天进行重分类，否则金融资产在初始确认后不得进行重分类。</w:t>
      </w:r>
    </w:p>
    <w:p>
      <w:pPr>
        <w:pStyle w:val="Style20"/>
        <w:keepNext w:val="0"/>
        <w:keepLines w:val="0"/>
        <w:widowControl w:val="0"/>
        <w:shd w:val="clear" w:color="auto" w:fill="auto"/>
        <w:bidi w:val="0"/>
        <w:spacing w:before="0" w:after="80" w:line="226" w:lineRule="exact"/>
        <w:ind w:left="640" w:right="0" w:firstLine="20"/>
        <w:jc w:val="both"/>
      </w:pPr>
      <w:r>
        <w:rPr>
          <w:color w:val="000000"/>
          <w:spacing w:val="0"/>
          <w:w w:val="100"/>
          <w:position w:val="0"/>
        </w:rPr>
        <w:t>本集团将同时符合下列条件且未被指定为以公允价值计量且其变动计入当期损益的金融资产，分类为以摊余成本计 量的金融资产：</w:t>
      </w:r>
    </w:p>
    <w:p>
      <w:pPr>
        <w:pStyle w:val="Style20"/>
        <w:keepNext w:val="0"/>
        <w:keepLines w:val="0"/>
        <w:widowControl w:val="0"/>
        <w:shd w:val="clear" w:color="auto" w:fill="auto"/>
        <w:bidi w:val="0"/>
        <w:spacing w:before="0" w:after="0" w:line="235" w:lineRule="exact"/>
        <w:ind w:left="640" w:right="0" w:firstLine="20"/>
        <w:jc w:val="both"/>
      </w:pPr>
      <w:r>
        <w:rPr>
          <w:rFonts w:ascii="Times New Roman" w:eastAsia="Times New Roman" w:hAnsi="Times New Roman" w:cs="Times New Roman"/>
          <w:color w:val="000000"/>
          <w:spacing w:val="0"/>
          <w:w w:val="100"/>
          <w:position w:val="0"/>
        </w:rPr>
        <w:t>-</w:t>
      </w:r>
      <w:r>
        <w:rPr>
          <w:color w:val="000000"/>
          <w:spacing w:val="0"/>
          <w:w w:val="100"/>
          <w:position w:val="0"/>
        </w:rPr>
        <w:t>本集团管理该金融资产的业务模式是以收取合同现金流量为目标；</w:t>
      </w:r>
    </w:p>
    <w:p>
      <w:pPr>
        <w:pStyle w:val="Style20"/>
        <w:keepNext w:val="0"/>
        <w:keepLines w:val="0"/>
        <w:widowControl w:val="0"/>
        <w:shd w:val="clear" w:color="auto" w:fill="auto"/>
        <w:bidi w:val="0"/>
        <w:spacing w:before="0" w:after="0" w:line="247" w:lineRule="exact"/>
        <w:ind w:left="640" w:right="0" w:firstLine="20"/>
        <w:jc w:val="both"/>
      </w:pPr>
      <w:r>
        <w:rPr>
          <w:rFonts w:ascii="Times New Roman" w:eastAsia="Times New Roman" w:hAnsi="Times New Roman" w:cs="Times New Roman"/>
          <w:color w:val="000000"/>
          <w:spacing w:val="0"/>
          <w:w w:val="100"/>
          <w:position w:val="0"/>
        </w:rPr>
        <w:t>-</w:t>
      </w:r>
      <w:r>
        <w:rPr>
          <w:color w:val="000000"/>
          <w:spacing w:val="0"/>
          <w:w w:val="100"/>
          <w:position w:val="0"/>
        </w:rPr>
        <w:t>该金融资产的合同条款规定，在特定日期产生的现金流量，仅为对本金和以未偿付本金金额为基础的利息的支付。 本集团将同时符合下列条件且未被指定为以公允价值计量且其变动计入当期损益的金融资产，分类为以公允价值计 量且其变动计入其他综合收益的金融资产：</w:t>
      </w:r>
    </w:p>
    <w:p>
      <w:pPr>
        <w:pStyle w:val="Style20"/>
        <w:keepNext w:val="0"/>
        <w:keepLines w:val="0"/>
        <w:widowControl w:val="0"/>
        <w:shd w:val="clear" w:color="auto" w:fill="auto"/>
        <w:bidi w:val="0"/>
        <w:spacing w:before="0" w:after="0" w:line="254" w:lineRule="exact"/>
        <w:ind w:left="0" w:right="0" w:firstLine="640"/>
        <w:jc w:val="both"/>
      </w:pPr>
      <w:r>
        <w:rPr>
          <w:rFonts w:ascii="Times New Roman" w:eastAsia="Times New Roman" w:hAnsi="Times New Roman" w:cs="Times New Roman"/>
          <w:color w:val="000000"/>
          <w:spacing w:val="0"/>
          <w:w w:val="100"/>
          <w:position w:val="0"/>
        </w:rPr>
        <w:t>-</w:t>
      </w:r>
      <w:r>
        <w:rPr>
          <w:color w:val="000000"/>
          <w:spacing w:val="0"/>
          <w:w w:val="100"/>
          <w:position w:val="0"/>
        </w:rPr>
        <w:t>本集团管理该金融资产的业务模式既以收取合同现金流量为目标又以出售该金融资产为目标；</w:t>
      </w:r>
    </w:p>
    <w:p>
      <w:pPr>
        <w:pStyle w:val="Style20"/>
        <w:keepNext w:val="0"/>
        <w:keepLines w:val="0"/>
        <w:widowControl w:val="0"/>
        <w:shd w:val="clear" w:color="auto" w:fill="auto"/>
        <w:bidi w:val="0"/>
        <w:spacing w:before="0" w:after="0" w:line="254" w:lineRule="exact"/>
        <w:ind w:left="640" w:right="0" w:firstLine="20"/>
        <w:jc w:val="both"/>
      </w:pPr>
      <w:r>
        <w:rPr>
          <w:rFonts w:ascii="Times New Roman" w:eastAsia="Times New Roman" w:hAnsi="Times New Roman" w:cs="Times New Roman"/>
          <w:color w:val="000000"/>
          <w:spacing w:val="0"/>
          <w:w w:val="100"/>
          <w:position w:val="0"/>
        </w:rPr>
        <w:t>-</w:t>
      </w:r>
      <w:r>
        <w:rPr>
          <w:color w:val="000000"/>
          <w:spacing w:val="0"/>
          <w:w w:val="100"/>
          <w:position w:val="0"/>
        </w:rPr>
        <w:t>该金融资产的合同条款规定，在特定日期产生的现金流量，仅为对本金和以未偿付本金金额为基础的利息的支付。 对于非交易性权益工具投资，本集团可在初始确认时将其不可撤销地指定为以公允价值计量且其变动计入其他综合 收益的金融资产。该指定在单项投资的基础上作出，且相关投资从发行者的角度符合权益工具的定义。</w:t>
      </w:r>
    </w:p>
    <w:p>
      <w:pPr>
        <w:pStyle w:val="Style20"/>
        <w:keepNext w:val="0"/>
        <w:keepLines w:val="0"/>
        <w:widowControl w:val="0"/>
        <w:shd w:val="clear" w:color="auto" w:fill="auto"/>
        <w:bidi w:val="0"/>
        <w:spacing w:before="0" w:after="0" w:line="234" w:lineRule="exact"/>
        <w:ind w:left="640" w:right="0" w:firstLine="20"/>
        <w:jc w:val="both"/>
      </w:pPr>
      <w:r>
        <w:rPr>
          <w:color w:val="000000"/>
          <w:spacing w:val="0"/>
          <w:w w:val="100"/>
          <w:position w:val="0"/>
        </w:rPr>
        <w:t>除上述以摊余成本计量和以公允价值计量且其变动计入其他综合收益的金融资产外，本集团将其余所有的金融资产 分类为以公允价值计量且其变动计入当期损益的金融资产。在初始确认时，如果能够消除或显著减少会计错配，本 集团可以将本应以摊余成本计量或以公允价值计量且其变动计入其他综合收益的金融资产不可撤销地指定为以公 允价值计量且其变动计入当期损益的金融资产。</w:t>
      </w:r>
    </w:p>
    <w:p>
      <w:pPr>
        <w:pStyle w:val="Style20"/>
        <w:keepNext w:val="0"/>
        <w:keepLines w:val="0"/>
        <w:widowControl w:val="0"/>
        <w:shd w:val="clear" w:color="auto" w:fill="auto"/>
        <w:bidi w:val="0"/>
        <w:spacing w:before="0" w:after="0" w:line="238" w:lineRule="exact"/>
        <w:ind w:left="640" w:right="0" w:firstLine="20"/>
        <w:jc w:val="both"/>
      </w:pPr>
      <w:r>
        <w:rPr>
          <w:color w:val="000000"/>
          <w:spacing w:val="0"/>
          <w:w w:val="100"/>
          <w:position w:val="0"/>
        </w:rPr>
        <w:t>管理金融资产的业务模式，是指本集团如何管理金融资产以产生现金流量。业务模式决定本集团所管理金融资产现 金流量的来源是收取合同现金流量、出售金融资产还是两者兼有。本集团以客观事实为依据、以关键管理人员决定 的对金融资产进行管理的特定业务目标为基础，确定管理金融资产的业务模式。</w:t>
      </w:r>
    </w:p>
    <w:p>
      <w:pPr>
        <w:pStyle w:val="Style20"/>
        <w:keepNext w:val="0"/>
        <w:keepLines w:val="0"/>
        <w:widowControl w:val="0"/>
        <w:shd w:val="clear" w:color="auto" w:fill="auto"/>
        <w:bidi w:val="0"/>
        <w:spacing w:before="0" w:after="280" w:line="233" w:lineRule="exact"/>
        <w:ind w:left="640" w:right="0" w:firstLine="20"/>
        <w:jc w:val="both"/>
      </w:pPr>
      <w:r>
        <w:rPr>
          <w:color w:val="000000"/>
          <w:spacing w:val="0"/>
          <w:w w:val="100"/>
          <w:position w:val="0"/>
        </w:rPr>
        <w:t>本集团对金融资产的合同现金流量特征进行评估，以确定相关金融资产在特定日期产生的合同现金流量是否仅为对 本金和以未偿付本金金额为基础的利息的支付。其中，本金是指金融资产在初始确认时的公允价值；利息包括对货 币时间价值、与特定时期未偿付本金金额相关的信用风险、以及其他基本借贷风险、成本和利润的对价。此外，本 集团对可能导致金融资产合同现金流量的时间分布或金额发生变更的合同条款进行评估，以确定其是否满足上述合 同现金流量特征的要求。</w:t>
      </w:r>
    </w:p>
    <w:p>
      <w:pPr>
        <w:pStyle w:val="Style20"/>
        <w:keepNext w:val="0"/>
        <w:keepLines w:val="0"/>
        <w:widowControl w:val="0"/>
        <w:shd w:val="clear" w:color="auto" w:fill="auto"/>
        <w:bidi w:val="0"/>
        <w:spacing w:before="0" w:after="0" w:line="235" w:lineRule="exact"/>
        <w:ind w:left="0" w:right="0" w:firstLine="460"/>
        <w:jc w:val="both"/>
      </w:pPr>
      <w:r>
        <w:rPr>
          <w:rFonts w:ascii="Times New Roman" w:eastAsia="Times New Roman" w:hAnsi="Times New Roman" w:cs="Times New Roman"/>
          <w:color w:val="000000"/>
          <w:spacing w:val="0"/>
          <w:w w:val="100"/>
          <w:position w:val="0"/>
        </w:rPr>
        <w:t>(b)</w:t>
      </w:r>
      <w:r>
        <w:rPr>
          <w:color w:val="000000"/>
          <w:spacing w:val="0"/>
          <w:w w:val="100"/>
          <w:position w:val="0"/>
        </w:rPr>
        <w:t>本集团金融资产的后续计量</w:t>
      </w:r>
    </w:p>
    <w:p>
      <w:pPr>
        <w:pStyle w:val="Style20"/>
        <w:keepNext w:val="0"/>
        <w:keepLines w:val="0"/>
        <w:widowControl w:val="0"/>
        <w:shd w:val="clear" w:color="auto" w:fill="auto"/>
        <w:bidi w:val="0"/>
        <w:spacing w:before="0" w:after="0" w:line="235" w:lineRule="exact"/>
        <w:ind w:left="0" w:right="0" w:firstLine="460"/>
        <w:jc w:val="both"/>
      </w:pPr>
      <w:r>
        <w:rPr>
          <w:rFonts w:ascii="Times New Roman" w:eastAsia="Times New Roman" w:hAnsi="Times New Roman" w:cs="Times New Roman"/>
          <w:color w:val="000000"/>
          <w:spacing w:val="0"/>
          <w:w w:val="100"/>
          <w:position w:val="0"/>
        </w:rPr>
        <w:t>-</w:t>
      </w:r>
      <w:r>
        <w:rPr>
          <w:color w:val="000000"/>
          <w:spacing w:val="0"/>
          <w:w w:val="100"/>
          <w:position w:val="0"/>
        </w:rPr>
        <w:t>以公允价值计量且其变动计入当期损益的金融资产</w:t>
      </w:r>
    </w:p>
    <w:p>
      <w:pPr>
        <w:pStyle w:val="Style20"/>
        <w:keepNext w:val="0"/>
        <w:keepLines w:val="0"/>
        <w:widowControl w:val="0"/>
        <w:shd w:val="clear" w:color="auto" w:fill="auto"/>
        <w:bidi w:val="0"/>
        <w:spacing w:before="0" w:after="0" w:line="240" w:lineRule="exact"/>
        <w:ind w:left="780" w:right="0" w:firstLine="0"/>
        <w:jc w:val="both"/>
      </w:pPr>
      <w:r>
        <w:rPr>
          <w:color w:val="000000"/>
          <w:spacing w:val="0"/>
          <w:w w:val="100"/>
          <w:position w:val="0"/>
        </w:rPr>
        <w:t>初始确认后，对于该类金融资产以公允价值进行后续计量，产生的利得或损失</w:t>
      </w:r>
      <w:r>
        <w:rPr>
          <w:color w:val="000000"/>
          <w:spacing w:val="0"/>
          <w:w w:val="100"/>
          <w:position w:val="0"/>
        </w:rPr>
        <w:t>(</w:t>
      </w:r>
      <w:r>
        <w:rPr>
          <w:color w:val="000000"/>
          <w:spacing w:val="0"/>
          <w:w w:val="100"/>
          <w:position w:val="0"/>
        </w:rPr>
        <w:t>包括利息和股利收入</w:t>
      </w:r>
      <w:r>
        <w:rPr>
          <w:color w:val="000000"/>
          <w:spacing w:val="0"/>
          <w:w w:val="100"/>
          <w:position w:val="0"/>
        </w:rPr>
        <w:t>)</w:t>
      </w:r>
      <w:r>
        <w:rPr>
          <w:color w:val="000000"/>
          <w:spacing w:val="0"/>
          <w:w w:val="100"/>
          <w:position w:val="0"/>
        </w:rPr>
        <w:t>计入当期损 益，除非该金融资产属于套期关系的一部分。</w:t>
      </w:r>
    </w:p>
    <w:p>
      <w:pPr>
        <w:pStyle w:val="Style20"/>
        <w:keepNext w:val="0"/>
        <w:keepLines w:val="0"/>
        <w:widowControl w:val="0"/>
        <w:shd w:val="clear" w:color="auto" w:fill="auto"/>
        <w:bidi w:val="0"/>
        <w:spacing w:before="0" w:after="0" w:line="235" w:lineRule="exact"/>
        <w:ind w:left="0" w:right="0" w:firstLine="460"/>
        <w:jc w:val="both"/>
      </w:pPr>
      <w:r>
        <w:rPr>
          <w:rFonts w:ascii="Times New Roman" w:eastAsia="Times New Roman" w:hAnsi="Times New Roman" w:cs="Times New Roman"/>
          <w:color w:val="000000"/>
          <w:spacing w:val="0"/>
          <w:w w:val="100"/>
          <w:position w:val="0"/>
        </w:rPr>
        <w:t>-</w:t>
      </w:r>
      <w:r>
        <w:rPr>
          <w:color w:val="000000"/>
          <w:spacing w:val="0"/>
          <w:w w:val="100"/>
          <w:position w:val="0"/>
        </w:rPr>
        <w:t>以摊余成本计量的金融资产</w:t>
      </w:r>
    </w:p>
    <w:p>
      <w:pPr>
        <w:pStyle w:val="Style20"/>
        <w:keepNext w:val="0"/>
        <w:keepLines w:val="0"/>
        <w:widowControl w:val="0"/>
        <w:shd w:val="clear" w:color="auto" w:fill="auto"/>
        <w:bidi w:val="0"/>
        <w:spacing w:before="0" w:after="0" w:line="235" w:lineRule="exact"/>
        <w:ind w:left="780" w:right="0" w:firstLine="0"/>
        <w:jc w:val="both"/>
      </w:pPr>
      <w:r>
        <w:rPr>
          <w:color w:val="000000"/>
          <w:spacing w:val="0"/>
          <w:w w:val="100"/>
          <w:position w:val="0"/>
        </w:rPr>
        <w:t>初始确认后，对于该类金融资产采用实际利率法以摊余成本计量。以摊余成本计量且不属于任何套期关系的一部 分的金融资产所产生的利得或损失，在终止确认、重分类、按照实际利率法摊销或确认减值时，计入当期损益。</w:t>
      </w:r>
    </w:p>
    <w:p>
      <w:pPr>
        <w:pStyle w:val="Style20"/>
        <w:keepNext w:val="0"/>
        <w:keepLines w:val="0"/>
        <w:widowControl w:val="0"/>
        <w:shd w:val="clear" w:color="auto" w:fill="auto"/>
        <w:bidi w:val="0"/>
        <w:spacing w:before="0" w:after="0" w:line="235" w:lineRule="exact"/>
        <w:ind w:left="0" w:right="0" w:firstLine="460"/>
        <w:jc w:val="both"/>
      </w:pPr>
      <w:r>
        <w:rPr>
          <w:rFonts w:ascii="Times New Roman" w:eastAsia="Times New Roman" w:hAnsi="Times New Roman" w:cs="Times New Roman"/>
          <w:color w:val="000000"/>
          <w:spacing w:val="0"/>
          <w:w w:val="100"/>
          <w:position w:val="0"/>
        </w:rPr>
        <w:t>-</w:t>
      </w:r>
      <w:r>
        <w:rPr>
          <w:color w:val="000000"/>
          <w:spacing w:val="0"/>
          <w:w w:val="100"/>
          <w:position w:val="0"/>
        </w:rPr>
        <w:t>以公允价值计量且其变动计入其他综合收益的债权投资</w:t>
      </w:r>
    </w:p>
    <w:p>
      <w:pPr>
        <w:pStyle w:val="Style20"/>
        <w:keepNext w:val="0"/>
        <w:keepLines w:val="0"/>
        <w:widowControl w:val="0"/>
        <w:shd w:val="clear" w:color="auto" w:fill="auto"/>
        <w:bidi w:val="0"/>
        <w:spacing w:before="0" w:after="0" w:line="235" w:lineRule="exact"/>
        <w:ind w:left="780" w:right="0" w:firstLine="0"/>
        <w:jc w:val="both"/>
      </w:pPr>
      <w:r>
        <w:rPr>
          <w:color w:val="000000"/>
          <w:spacing w:val="0"/>
          <w:w w:val="100"/>
          <w:position w:val="0"/>
        </w:rPr>
        <w:t>初始确认后，对于该类金融资产以公允价值进行后续计量。采用实际利率法计算的利息、减值损失或利得及汇兑 损益计入当期损益，其他利得或损失计入其他综合收益。终止确认时，将之前计入其他综合收益的累计利得或损 失从其他综合收益中转出，计入当期损益。</w:t>
      </w:r>
    </w:p>
    <w:p>
      <w:pPr>
        <w:pStyle w:val="Style20"/>
        <w:keepNext w:val="0"/>
        <w:keepLines w:val="0"/>
        <w:widowControl w:val="0"/>
        <w:shd w:val="clear" w:color="auto" w:fill="auto"/>
        <w:bidi w:val="0"/>
        <w:spacing w:before="0" w:after="0" w:line="235" w:lineRule="exact"/>
        <w:ind w:left="0" w:right="0" w:firstLine="460"/>
        <w:jc w:val="both"/>
      </w:pPr>
      <w:r>
        <w:rPr>
          <w:rFonts w:ascii="Times New Roman" w:eastAsia="Times New Roman" w:hAnsi="Times New Roman" w:cs="Times New Roman"/>
          <w:color w:val="000000"/>
          <w:spacing w:val="0"/>
          <w:w w:val="100"/>
          <w:position w:val="0"/>
        </w:rPr>
        <w:t>-</w:t>
      </w:r>
      <w:r>
        <w:rPr>
          <w:color w:val="000000"/>
          <w:spacing w:val="0"/>
          <w:w w:val="100"/>
          <w:position w:val="0"/>
        </w:rPr>
        <w:t>以公允价值计量且其变动计入其他综合收益的权益工具投资</w:t>
      </w:r>
    </w:p>
    <w:p>
      <w:pPr>
        <w:pStyle w:val="Style20"/>
        <w:keepNext w:val="0"/>
        <w:keepLines w:val="0"/>
        <w:widowControl w:val="0"/>
        <w:shd w:val="clear" w:color="auto" w:fill="auto"/>
        <w:bidi w:val="0"/>
        <w:spacing w:before="0" w:after="280" w:line="216" w:lineRule="exact"/>
        <w:ind w:left="780" w:right="0" w:firstLine="0"/>
        <w:jc w:val="both"/>
      </w:pPr>
      <w:r>
        <w:rPr>
          <w:color w:val="000000"/>
          <w:spacing w:val="0"/>
          <w:w w:val="100"/>
          <w:position w:val="0"/>
        </w:rPr>
        <w:t>初始确认后，对于该类金融资产以公允价值进行后续计量。股利收入计入损益，其他利得或损失计入其他综合收 益。终止确认时，将之前计入其他综合收益的累计利得或损失从其他综合收益中转出，计入留存收益。</w:t>
      </w:r>
    </w:p>
    <w:p>
      <w:pPr>
        <w:pStyle w:val="Style20"/>
        <w:keepNext w:val="0"/>
        <w:keepLines w:val="0"/>
        <w:widowControl w:val="0"/>
        <w:shd w:val="clear" w:color="auto" w:fill="auto"/>
        <w:tabs>
          <w:tab w:pos="562" w:val="left"/>
        </w:tabs>
        <w:bidi w:val="0"/>
        <w:spacing w:before="0" w:after="0" w:line="235" w:lineRule="exact"/>
        <w:ind w:left="0" w:right="0" w:firstLine="160"/>
        <w:jc w:val="both"/>
      </w:pPr>
      <w:bookmarkStart w:id="590" w:name="bookmark590"/>
      <w:r>
        <w:rPr>
          <w:rFonts w:ascii="Times New Roman" w:eastAsia="Times New Roman" w:hAnsi="Times New Roman" w:cs="Times New Roman"/>
          <w:color w:val="000000"/>
          <w:spacing w:val="0"/>
          <w:w w:val="100"/>
          <w:position w:val="0"/>
        </w:rPr>
        <w:t>（</w:t>
      </w:r>
      <w:bookmarkEnd w:id="590"/>
      <w:r>
        <w:rPr>
          <w:rFonts w:ascii="Times New Roman" w:eastAsia="Times New Roman" w:hAnsi="Times New Roman" w:cs="Times New Roman"/>
          <w:color w:val="000000"/>
          <w:spacing w:val="0"/>
          <w:w w:val="100"/>
          <w:position w:val="0"/>
        </w:rPr>
        <w:t>3）</w:t>
        <w:tab/>
      </w:r>
      <w:r>
        <w:rPr>
          <w:color w:val="000000"/>
          <w:spacing w:val="0"/>
          <w:w w:val="100"/>
          <w:position w:val="0"/>
        </w:rPr>
        <w:t>金融负债的分类和后续计量</w:t>
      </w:r>
    </w:p>
    <w:p>
      <w:pPr>
        <w:pStyle w:val="Style20"/>
        <w:keepNext w:val="0"/>
        <w:keepLines w:val="0"/>
        <w:widowControl w:val="0"/>
        <w:shd w:val="clear" w:color="auto" w:fill="auto"/>
        <w:bidi w:val="0"/>
        <w:spacing w:before="0" w:after="0" w:line="235" w:lineRule="exact"/>
        <w:ind w:left="0" w:right="0" w:firstLine="640"/>
        <w:jc w:val="both"/>
      </w:pPr>
      <w:r>
        <w:rPr>
          <w:color w:val="000000"/>
          <w:spacing w:val="0"/>
          <w:w w:val="100"/>
          <w:position w:val="0"/>
        </w:rPr>
        <w:t>本集团将金融负债分类为以公允价值计量且其变动计入当期损益的金融负债及以摊余成本计量的金融负债。</w:t>
      </w:r>
    </w:p>
    <w:p>
      <w:pPr>
        <w:pStyle w:val="Style20"/>
        <w:keepNext w:val="0"/>
        <w:keepLines w:val="0"/>
        <w:widowControl w:val="0"/>
        <w:shd w:val="clear" w:color="auto" w:fill="auto"/>
        <w:bidi w:val="0"/>
        <w:spacing w:before="0" w:after="0" w:line="235" w:lineRule="exact"/>
        <w:ind w:left="0" w:right="0" w:firstLine="640"/>
        <w:jc w:val="both"/>
      </w:pPr>
      <w:r>
        <w:rPr>
          <w:rFonts w:ascii="Times New Roman" w:eastAsia="Times New Roman" w:hAnsi="Times New Roman" w:cs="Times New Roman"/>
          <w:color w:val="000000"/>
          <w:spacing w:val="0"/>
          <w:w w:val="100"/>
          <w:position w:val="0"/>
        </w:rPr>
        <w:t>-</w:t>
      </w:r>
      <w:r>
        <w:rPr>
          <w:color w:val="000000"/>
          <w:spacing w:val="0"/>
          <w:w w:val="100"/>
          <w:position w:val="0"/>
        </w:rPr>
        <w:t>以公允价值计量且其变动计入当期损益的金融负债</w:t>
      </w:r>
    </w:p>
    <w:p>
      <w:pPr>
        <w:pStyle w:val="Style20"/>
        <w:keepNext w:val="0"/>
        <w:keepLines w:val="0"/>
        <w:widowControl w:val="0"/>
        <w:shd w:val="clear" w:color="auto" w:fill="auto"/>
        <w:bidi w:val="0"/>
        <w:spacing w:before="0" w:after="0" w:line="230" w:lineRule="exact"/>
        <w:ind w:left="940" w:right="0" w:firstLine="0"/>
        <w:jc w:val="both"/>
      </w:pPr>
      <w:r>
        <w:rPr>
          <w:color w:val="000000"/>
          <w:spacing w:val="0"/>
          <w:w w:val="100"/>
          <w:position w:val="0"/>
        </w:rPr>
        <w:t>该类金融负债包括交易性金融负债</w:t>
      </w:r>
      <w:r>
        <w:rPr>
          <w:color w:val="000000"/>
          <w:spacing w:val="0"/>
          <w:w w:val="100"/>
          <w:position w:val="0"/>
        </w:rPr>
        <w:t>（</w:t>
      </w:r>
      <w:r>
        <w:rPr>
          <w:color w:val="000000"/>
          <w:spacing w:val="0"/>
          <w:w w:val="100"/>
          <w:position w:val="0"/>
        </w:rPr>
        <w:t>含属于金融负债的衍生工具</w:t>
      </w:r>
      <w:r>
        <w:rPr>
          <w:color w:val="000000"/>
          <w:spacing w:val="0"/>
          <w:w w:val="100"/>
          <w:position w:val="0"/>
        </w:rPr>
        <w:t>）</w:t>
      </w:r>
      <w:r>
        <w:rPr>
          <w:color w:val="000000"/>
          <w:spacing w:val="0"/>
          <w:w w:val="100"/>
          <w:position w:val="0"/>
        </w:rPr>
        <w:t>和指定为以公允价值计量且其变动计入当期 损益的金融负债。</w:t>
      </w:r>
    </w:p>
    <w:p>
      <w:pPr>
        <w:pStyle w:val="Style20"/>
        <w:keepNext w:val="0"/>
        <w:keepLines w:val="0"/>
        <w:widowControl w:val="0"/>
        <w:shd w:val="clear" w:color="auto" w:fill="auto"/>
        <w:bidi w:val="0"/>
        <w:spacing w:before="0" w:after="0" w:line="235" w:lineRule="exact"/>
        <w:ind w:left="940" w:right="0" w:firstLine="0"/>
        <w:jc w:val="both"/>
      </w:pPr>
      <w:r>
        <w:rPr>
          <w:color w:val="000000"/>
          <w:spacing w:val="0"/>
          <w:w w:val="100"/>
          <w:position w:val="0"/>
        </w:rPr>
        <w:t>初始确认后，对于该类金融负债以公允价值进行后续计量，除与套期会计有关外，产生的利得或损失</w:t>
      </w:r>
      <w:r>
        <w:rPr>
          <w:color w:val="000000"/>
          <w:spacing w:val="0"/>
          <w:w w:val="100"/>
          <w:position w:val="0"/>
        </w:rPr>
        <w:t>（</w:t>
      </w:r>
      <w:r>
        <w:rPr>
          <w:color w:val="000000"/>
          <w:spacing w:val="0"/>
          <w:w w:val="100"/>
          <w:position w:val="0"/>
        </w:rPr>
        <w:t>包括利息 费用</w:t>
      </w:r>
      <w:r>
        <w:rPr>
          <w:color w:val="000000"/>
          <w:spacing w:val="0"/>
          <w:w w:val="100"/>
          <w:position w:val="0"/>
        </w:rPr>
        <w:t>）</w:t>
      </w:r>
      <w:r>
        <w:rPr>
          <w:color w:val="000000"/>
          <w:spacing w:val="0"/>
          <w:w w:val="100"/>
          <w:position w:val="0"/>
        </w:rPr>
        <w:t>计入当期损益。</w:t>
      </w:r>
    </w:p>
    <w:p>
      <w:pPr>
        <w:pStyle w:val="Style20"/>
        <w:keepNext w:val="0"/>
        <w:keepLines w:val="0"/>
        <w:widowControl w:val="0"/>
        <w:shd w:val="clear" w:color="auto" w:fill="auto"/>
        <w:bidi w:val="0"/>
        <w:spacing w:before="0" w:after="0" w:line="235" w:lineRule="exact"/>
        <w:ind w:left="0" w:right="0" w:firstLine="58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以摊余成本计量的金融负债</w:t>
      </w:r>
    </w:p>
    <w:p>
      <w:pPr>
        <w:pStyle w:val="Style20"/>
        <w:keepNext w:val="0"/>
        <w:keepLines w:val="0"/>
        <w:widowControl w:val="0"/>
        <w:shd w:val="clear" w:color="auto" w:fill="auto"/>
        <w:bidi w:val="0"/>
        <w:spacing w:before="0" w:after="280" w:line="235" w:lineRule="exact"/>
        <w:ind w:left="0" w:right="0" w:firstLine="940"/>
        <w:jc w:val="both"/>
      </w:pPr>
      <w:r>
        <w:rPr>
          <w:color w:val="000000"/>
          <w:spacing w:val="0"/>
          <w:w w:val="100"/>
          <w:position w:val="0"/>
        </w:rPr>
        <w:t>初始确认后，对于该类金融负债采用实际利率法以摊余成本计量。</w:t>
      </w:r>
    </w:p>
    <w:p>
      <w:pPr>
        <w:pStyle w:val="Style59"/>
        <w:keepNext w:val="0"/>
        <w:keepLines w:val="0"/>
        <w:widowControl w:val="0"/>
        <w:shd w:val="clear" w:color="auto" w:fill="auto"/>
        <w:tabs>
          <w:tab w:pos="562" w:val="left"/>
        </w:tabs>
        <w:bidi w:val="0"/>
        <w:spacing w:before="0" w:after="0" w:line="235" w:lineRule="exact"/>
        <w:ind w:left="0" w:right="0" w:firstLine="160"/>
        <w:jc w:val="both"/>
      </w:pPr>
      <w:bookmarkStart w:id="591" w:name="bookmark591"/>
      <w:r>
        <w:rPr>
          <w:color w:val="000000"/>
          <w:spacing w:val="0"/>
          <w:w w:val="100"/>
          <w:position w:val="0"/>
        </w:rPr>
        <w:t>（</w:t>
      </w:r>
      <w:bookmarkEnd w:id="591"/>
      <w:r>
        <w:rPr>
          <w:color w:val="000000"/>
          <w:spacing w:val="0"/>
          <w:w w:val="100"/>
          <w:position w:val="0"/>
        </w:rPr>
        <w:t>4）</w:t>
        <w:tab/>
      </w:r>
      <w:r>
        <w:rPr>
          <w:rFonts w:ascii="SimSun" w:eastAsia="SimSun" w:hAnsi="SimSun" w:cs="SimSun"/>
          <w:color w:val="000000"/>
          <w:spacing w:val="0"/>
          <w:w w:val="100"/>
          <w:position w:val="0"/>
        </w:rPr>
        <w:t>抵销</w:t>
      </w:r>
    </w:p>
    <w:p>
      <w:pPr>
        <w:pStyle w:val="Style20"/>
        <w:keepNext w:val="0"/>
        <w:keepLines w:val="0"/>
        <w:widowControl w:val="0"/>
        <w:shd w:val="clear" w:color="auto" w:fill="auto"/>
        <w:bidi w:val="0"/>
        <w:spacing w:before="0" w:after="0" w:line="245" w:lineRule="exact"/>
        <w:ind w:left="640" w:right="0" w:firstLine="0"/>
        <w:jc w:val="both"/>
      </w:pPr>
      <w:r>
        <w:rPr>
          <w:color w:val="000000"/>
          <w:spacing w:val="0"/>
          <w:w w:val="100"/>
          <w:position w:val="0"/>
        </w:rPr>
        <w:t>金融资产和金融负债在资产负债表内分别列示，没有相互抵销。但是，同时满足下列条件的，以相互抵销后的净额 在资产负债表内列示：</w:t>
      </w:r>
    </w:p>
    <w:p>
      <w:pPr>
        <w:pStyle w:val="Style20"/>
        <w:keepNext w:val="0"/>
        <w:keepLines w:val="0"/>
        <w:widowControl w:val="0"/>
        <w:shd w:val="clear" w:color="auto" w:fill="auto"/>
        <w:bidi w:val="0"/>
        <w:spacing w:before="0" w:after="0" w:line="235" w:lineRule="exact"/>
        <w:ind w:left="64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本集团具有抵销已确认金额的法定权利，且该种法定权利是当前可执行的；</w:t>
      </w:r>
    </w:p>
    <w:p>
      <w:pPr>
        <w:pStyle w:val="Style20"/>
        <w:keepNext w:val="0"/>
        <w:keepLines w:val="0"/>
        <w:widowControl w:val="0"/>
        <w:shd w:val="clear" w:color="auto" w:fill="auto"/>
        <w:bidi w:val="0"/>
        <w:spacing w:before="0" w:after="280" w:line="235" w:lineRule="exact"/>
        <w:ind w:left="64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本集团计划以净额结算，或同时变现该金融资产和清偿该金融负债。</w:t>
      </w:r>
    </w:p>
    <w:p>
      <w:pPr>
        <w:pStyle w:val="Style20"/>
        <w:keepNext w:val="0"/>
        <w:keepLines w:val="0"/>
        <w:widowControl w:val="0"/>
        <w:shd w:val="clear" w:color="auto" w:fill="auto"/>
        <w:tabs>
          <w:tab w:pos="562" w:val="left"/>
        </w:tabs>
        <w:bidi w:val="0"/>
        <w:spacing w:before="0" w:after="0" w:line="235" w:lineRule="exact"/>
        <w:ind w:left="0" w:right="0" w:firstLine="160"/>
        <w:jc w:val="both"/>
      </w:pPr>
      <w:bookmarkStart w:id="592" w:name="bookmark592"/>
      <w:r>
        <w:rPr>
          <w:rFonts w:ascii="Times New Roman" w:eastAsia="Times New Roman" w:hAnsi="Times New Roman" w:cs="Times New Roman"/>
          <w:color w:val="000000"/>
          <w:spacing w:val="0"/>
          <w:w w:val="100"/>
          <w:position w:val="0"/>
        </w:rPr>
        <w:t>（</w:t>
      </w:r>
      <w:bookmarkEnd w:id="592"/>
      <w:r>
        <w:rPr>
          <w:rFonts w:ascii="Times New Roman" w:eastAsia="Times New Roman" w:hAnsi="Times New Roman" w:cs="Times New Roman"/>
          <w:color w:val="000000"/>
          <w:spacing w:val="0"/>
          <w:w w:val="100"/>
          <w:position w:val="0"/>
        </w:rPr>
        <w:t>5）</w:t>
        <w:tab/>
      </w:r>
      <w:r>
        <w:rPr>
          <w:color w:val="000000"/>
          <w:spacing w:val="0"/>
          <w:w w:val="100"/>
          <w:position w:val="0"/>
        </w:rPr>
        <w:t>金融资产和金融负债的终止确认</w:t>
      </w:r>
    </w:p>
    <w:p>
      <w:pPr>
        <w:pStyle w:val="Style20"/>
        <w:keepNext w:val="0"/>
        <w:keepLines w:val="0"/>
        <w:widowControl w:val="0"/>
        <w:shd w:val="clear" w:color="auto" w:fill="auto"/>
        <w:bidi w:val="0"/>
        <w:spacing w:before="0" w:after="0" w:line="235" w:lineRule="exact"/>
        <w:ind w:left="0" w:right="0" w:firstLine="640"/>
        <w:jc w:val="both"/>
      </w:pPr>
      <w:r>
        <w:rPr>
          <w:color w:val="000000"/>
          <w:spacing w:val="0"/>
          <w:w w:val="100"/>
          <w:position w:val="0"/>
        </w:rPr>
        <w:t>满足下列条件之一时，本集团终止确认该金融资产：</w:t>
      </w:r>
    </w:p>
    <w:p>
      <w:pPr>
        <w:pStyle w:val="Style20"/>
        <w:keepNext w:val="0"/>
        <w:keepLines w:val="0"/>
        <w:widowControl w:val="0"/>
        <w:shd w:val="clear" w:color="auto" w:fill="auto"/>
        <w:bidi w:val="0"/>
        <w:spacing w:before="0" w:after="0" w:line="235" w:lineRule="exact"/>
        <w:ind w:left="0" w:right="0" w:firstLine="640"/>
        <w:jc w:val="both"/>
      </w:pPr>
      <w:r>
        <w:rPr>
          <w:rFonts w:ascii="Times New Roman" w:eastAsia="Times New Roman" w:hAnsi="Times New Roman" w:cs="Times New Roman"/>
          <w:color w:val="000000"/>
          <w:spacing w:val="0"/>
          <w:w w:val="100"/>
          <w:position w:val="0"/>
        </w:rPr>
        <w:t>-</w:t>
      </w:r>
      <w:r>
        <w:rPr>
          <w:color w:val="000000"/>
          <w:spacing w:val="0"/>
          <w:w w:val="100"/>
          <w:position w:val="0"/>
        </w:rPr>
        <w:t>收取该金融资产现金流量的合同权利终止；</w:t>
      </w:r>
    </w:p>
    <w:p>
      <w:pPr>
        <w:pStyle w:val="Style20"/>
        <w:keepNext w:val="0"/>
        <w:keepLines w:val="0"/>
        <w:widowControl w:val="0"/>
        <w:shd w:val="clear" w:color="auto" w:fill="auto"/>
        <w:bidi w:val="0"/>
        <w:spacing w:before="0" w:after="0" w:line="235" w:lineRule="exact"/>
        <w:ind w:left="0" w:right="0" w:firstLine="640"/>
        <w:jc w:val="both"/>
      </w:pPr>
      <w:r>
        <w:rPr>
          <w:rFonts w:ascii="Times New Roman" w:eastAsia="Times New Roman" w:hAnsi="Times New Roman" w:cs="Times New Roman"/>
          <w:color w:val="000000"/>
          <w:spacing w:val="0"/>
          <w:w w:val="100"/>
          <w:position w:val="0"/>
        </w:rPr>
        <w:t>-</w:t>
      </w:r>
      <w:r>
        <w:rPr>
          <w:color w:val="000000"/>
          <w:spacing w:val="0"/>
          <w:w w:val="100"/>
          <w:position w:val="0"/>
        </w:rPr>
        <w:t>该金融资产已转移，且本集团将金融资产所有权上几乎所有的风险和报酬转移给转入方；</w:t>
      </w:r>
    </w:p>
    <w:p>
      <w:pPr>
        <w:pStyle w:val="Style20"/>
        <w:keepNext w:val="0"/>
        <w:keepLines w:val="0"/>
        <w:widowControl w:val="0"/>
        <w:shd w:val="clear" w:color="auto" w:fill="auto"/>
        <w:bidi w:val="0"/>
        <w:spacing w:before="0" w:after="0" w:line="235" w:lineRule="exact"/>
        <w:ind w:left="940" w:right="0" w:hanging="300"/>
        <w:jc w:val="both"/>
      </w:pPr>
      <w:r>
        <w:rPr>
          <w:rFonts w:ascii="Times New Roman" w:eastAsia="Times New Roman" w:hAnsi="Times New Roman" w:cs="Times New Roman"/>
          <w:color w:val="000000"/>
          <w:spacing w:val="0"/>
          <w:w w:val="100"/>
          <w:position w:val="0"/>
        </w:rPr>
        <w:t>-</w:t>
      </w:r>
      <w:r>
        <w:rPr>
          <w:color w:val="000000"/>
          <w:spacing w:val="0"/>
          <w:w w:val="100"/>
          <w:position w:val="0"/>
        </w:rPr>
        <w:t>该金融资产已转移，虽然本集团既没有转移也没有保留金融资产所有权上几乎所有的风险和报酬，但是未保留 对该金融资产的控制。</w:t>
      </w:r>
    </w:p>
    <w:p>
      <w:pPr>
        <w:pStyle w:val="Style20"/>
        <w:keepNext w:val="0"/>
        <w:keepLines w:val="0"/>
        <w:widowControl w:val="0"/>
        <w:shd w:val="clear" w:color="auto" w:fill="auto"/>
        <w:bidi w:val="0"/>
        <w:spacing w:before="0" w:after="0" w:line="235" w:lineRule="exact"/>
        <w:ind w:left="0" w:right="0" w:firstLine="640"/>
        <w:jc w:val="both"/>
      </w:pPr>
      <w:r>
        <w:rPr>
          <w:color w:val="000000"/>
          <w:spacing w:val="0"/>
          <w:w w:val="100"/>
          <w:position w:val="0"/>
        </w:rPr>
        <w:t>金融资产转移整体满足终止确认条件的，本集团将下列两项金额的差额计入当期损益：</w:t>
      </w:r>
    </w:p>
    <w:p>
      <w:pPr>
        <w:pStyle w:val="Style20"/>
        <w:keepNext w:val="0"/>
        <w:keepLines w:val="0"/>
        <w:widowControl w:val="0"/>
        <w:shd w:val="clear" w:color="auto" w:fill="auto"/>
        <w:bidi w:val="0"/>
        <w:spacing w:before="0" w:after="0" w:line="235" w:lineRule="exact"/>
        <w:ind w:left="0" w:right="0" w:firstLine="640"/>
        <w:jc w:val="both"/>
      </w:pPr>
      <w:r>
        <w:rPr>
          <w:rFonts w:ascii="Times New Roman" w:eastAsia="Times New Roman" w:hAnsi="Times New Roman" w:cs="Times New Roman"/>
          <w:color w:val="000000"/>
          <w:spacing w:val="0"/>
          <w:w w:val="100"/>
          <w:position w:val="0"/>
        </w:rPr>
        <w:t>-</w:t>
      </w:r>
      <w:r>
        <w:rPr>
          <w:color w:val="000000"/>
          <w:spacing w:val="0"/>
          <w:w w:val="100"/>
          <w:position w:val="0"/>
        </w:rPr>
        <w:t>被转移金融资产在终止确认日的账面价值；</w:t>
      </w:r>
    </w:p>
    <w:p>
      <w:pPr>
        <w:pStyle w:val="Style20"/>
        <w:keepNext w:val="0"/>
        <w:keepLines w:val="0"/>
        <w:widowControl w:val="0"/>
        <w:shd w:val="clear" w:color="auto" w:fill="auto"/>
        <w:bidi w:val="0"/>
        <w:spacing w:before="0" w:after="0" w:line="226" w:lineRule="exact"/>
        <w:ind w:left="940" w:right="0" w:hanging="300"/>
        <w:jc w:val="both"/>
      </w:pPr>
      <w:r>
        <w:rPr>
          <w:rFonts w:ascii="Times New Roman" w:eastAsia="Times New Roman" w:hAnsi="Times New Roman" w:cs="Times New Roman"/>
          <w:color w:val="000000"/>
          <w:spacing w:val="0"/>
          <w:w w:val="100"/>
          <w:position w:val="0"/>
        </w:rPr>
        <w:t>-</w:t>
      </w:r>
      <w:r>
        <w:rPr>
          <w:color w:val="000000"/>
          <w:spacing w:val="0"/>
          <w:w w:val="100"/>
          <w:position w:val="0"/>
        </w:rPr>
        <w:t xml:space="preserve">因转移金融资产而收到的对价，与原直接计入其他综合收益的公允价值变动累计额中对应终止确认部分的金额 </w:t>
      </w:r>
      <w:r>
        <w:rPr>
          <w:rFonts w:ascii="Times New Roman" w:eastAsia="Times New Roman" w:hAnsi="Times New Roman" w:cs="Times New Roman"/>
          <w:color w:val="000000"/>
          <w:spacing w:val="0"/>
          <w:w w:val="100"/>
          <w:position w:val="0"/>
        </w:rPr>
        <w:t>（</w:t>
      </w:r>
      <w:r>
        <w:rPr>
          <w:color w:val="000000"/>
          <w:spacing w:val="0"/>
          <w:w w:val="100"/>
          <w:position w:val="0"/>
        </w:rPr>
        <w:t>涉及转移的金融资产为以公允价值计量且其变动计入其他综合收益的债权投资</w:t>
      </w:r>
      <w:r>
        <w:rPr>
          <w:color w:val="000000"/>
          <w:spacing w:val="0"/>
          <w:w w:val="100"/>
          <w:position w:val="0"/>
        </w:rPr>
        <w:t>）</w:t>
      </w:r>
      <w:r>
        <w:rPr>
          <w:color w:val="000000"/>
          <w:spacing w:val="0"/>
          <w:w w:val="100"/>
          <w:position w:val="0"/>
        </w:rPr>
        <w:t>之和。</w:t>
      </w:r>
    </w:p>
    <w:p>
      <w:pPr>
        <w:pStyle w:val="Style20"/>
        <w:keepNext w:val="0"/>
        <w:keepLines w:val="0"/>
        <w:widowControl w:val="0"/>
        <w:shd w:val="clear" w:color="auto" w:fill="auto"/>
        <w:bidi w:val="0"/>
        <w:spacing w:before="0" w:after="280" w:line="235" w:lineRule="exact"/>
        <w:ind w:left="0" w:right="0" w:firstLine="640"/>
        <w:jc w:val="both"/>
      </w:pPr>
      <w:r>
        <w:rPr>
          <w:color w:val="000000"/>
          <w:spacing w:val="0"/>
          <w:w w:val="100"/>
          <w:position w:val="0"/>
        </w:rPr>
        <w:t>金融负债</w:t>
      </w:r>
      <w:r>
        <w:rPr>
          <w:color w:val="000000"/>
          <w:spacing w:val="0"/>
          <w:w w:val="100"/>
          <w:position w:val="0"/>
        </w:rPr>
        <w:t>（</w:t>
      </w:r>
      <w:r>
        <w:rPr>
          <w:color w:val="000000"/>
          <w:spacing w:val="0"/>
          <w:w w:val="100"/>
          <w:position w:val="0"/>
        </w:rPr>
        <w:t>或其一部分</w:t>
      </w:r>
      <w:r>
        <w:rPr>
          <w:color w:val="000000"/>
          <w:spacing w:val="0"/>
          <w:w w:val="100"/>
          <w:position w:val="0"/>
        </w:rPr>
        <w:t>）</w:t>
      </w:r>
      <w:r>
        <w:rPr>
          <w:color w:val="000000"/>
          <w:spacing w:val="0"/>
          <w:w w:val="100"/>
          <w:position w:val="0"/>
        </w:rPr>
        <w:t>的现时义务已经解除的，本集团终止确认该金融负债</w:t>
      </w:r>
      <w:r>
        <w:rPr>
          <w:color w:val="000000"/>
          <w:spacing w:val="0"/>
          <w:w w:val="100"/>
          <w:position w:val="0"/>
        </w:rPr>
        <w:t>（</w:t>
      </w:r>
      <w:r>
        <w:rPr>
          <w:color w:val="000000"/>
          <w:spacing w:val="0"/>
          <w:w w:val="100"/>
          <w:position w:val="0"/>
        </w:rPr>
        <w:t>或该部分金融负债</w:t>
      </w:r>
      <w:r>
        <w:rPr>
          <w:color w:val="000000"/>
          <w:spacing w:val="0"/>
          <w:w w:val="100"/>
          <w:position w:val="0"/>
        </w:rPr>
        <w:t>）</w:t>
      </w:r>
      <w:r>
        <w:rPr>
          <w:color w:val="000000"/>
          <w:spacing w:val="0"/>
          <w:w w:val="100"/>
          <w:position w:val="0"/>
        </w:rPr>
        <w:t>。</w:t>
      </w:r>
    </w:p>
    <w:p>
      <w:pPr>
        <w:pStyle w:val="Style59"/>
        <w:keepNext w:val="0"/>
        <w:keepLines w:val="0"/>
        <w:widowControl w:val="0"/>
        <w:shd w:val="clear" w:color="auto" w:fill="auto"/>
        <w:tabs>
          <w:tab w:pos="562" w:val="left"/>
        </w:tabs>
        <w:bidi w:val="0"/>
        <w:spacing w:before="0" w:after="0" w:line="235" w:lineRule="exact"/>
        <w:ind w:left="0" w:right="0" w:firstLine="160"/>
        <w:jc w:val="both"/>
      </w:pPr>
      <w:bookmarkStart w:id="593" w:name="bookmark593"/>
      <w:r>
        <w:rPr>
          <w:color w:val="000000"/>
          <w:spacing w:val="0"/>
          <w:w w:val="100"/>
          <w:position w:val="0"/>
        </w:rPr>
        <w:t>（</w:t>
      </w:r>
      <w:bookmarkEnd w:id="593"/>
      <w:r>
        <w:rPr>
          <w:color w:val="000000"/>
          <w:spacing w:val="0"/>
          <w:w w:val="100"/>
          <w:position w:val="0"/>
        </w:rPr>
        <w:t>6）</w:t>
        <w:tab/>
      </w:r>
      <w:r>
        <w:rPr>
          <w:rFonts w:ascii="SimSun" w:eastAsia="SimSun" w:hAnsi="SimSun" w:cs="SimSun"/>
          <w:color w:val="000000"/>
          <w:spacing w:val="0"/>
          <w:w w:val="100"/>
          <w:position w:val="0"/>
        </w:rPr>
        <w:t>减值</w:t>
      </w:r>
    </w:p>
    <w:p>
      <w:pPr>
        <w:pStyle w:val="Style20"/>
        <w:keepNext w:val="0"/>
        <w:keepLines w:val="0"/>
        <w:widowControl w:val="0"/>
        <w:shd w:val="clear" w:color="auto" w:fill="auto"/>
        <w:bidi w:val="0"/>
        <w:spacing w:before="0" w:after="0" w:line="235" w:lineRule="exact"/>
        <w:ind w:left="0" w:right="0" w:firstLine="640"/>
        <w:jc w:val="both"/>
      </w:pPr>
      <w:r>
        <w:rPr>
          <w:color w:val="000000"/>
          <w:spacing w:val="0"/>
          <w:w w:val="100"/>
          <w:position w:val="0"/>
        </w:rPr>
        <w:t>本集团以预期信用损失为基础，对下列项目进行减值会计处理并确认损失准备：</w:t>
      </w:r>
    </w:p>
    <w:p>
      <w:pPr>
        <w:pStyle w:val="Style20"/>
        <w:keepNext w:val="0"/>
        <w:keepLines w:val="0"/>
        <w:widowControl w:val="0"/>
        <w:numPr>
          <w:ilvl w:val="0"/>
          <w:numId w:val="51"/>
        </w:numPr>
        <w:shd w:val="clear" w:color="auto" w:fill="auto"/>
        <w:tabs>
          <w:tab w:pos="938" w:val="left"/>
        </w:tabs>
        <w:bidi w:val="0"/>
        <w:spacing w:before="0" w:after="0" w:line="235" w:lineRule="exact"/>
        <w:ind w:left="0" w:right="0" w:firstLine="640"/>
        <w:jc w:val="both"/>
      </w:pPr>
      <w:bookmarkStart w:id="594" w:name="bookmark594"/>
      <w:bookmarkEnd w:id="594"/>
      <w:r>
        <w:rPr>
          <w:color w:val="000000"/>
          <w:spacing w:val="0"/>
          <w:w w:val="100"/>
          <w:position w:val="0"/>
        </w:rPr>
        <w:t>以摊余成本计量的金融资产；</w:t>
      </w:r>
    </w:p>
    <w:p>
      <w:pPr>
        <w:pStyle w:val="Style20"/>
        <w:keepNext w:val="0"/>
        <w:keepLines w:val="0"/>
        <w:widowControl w:val="0"/>
        <w:numPr>
          <w:ilvl w:val="0"/>
          <w:numId w:val="51"/>
        </w:numPr>
        <w:shd w:val="clear" w:color="auto" w:fill="auto"/>
        <w:tabs>
          <w:tab w:pos="938" w:val="left"/>
        </w:tabs>
        <w:bidi w:val="0"/>
        <w:spacing w:before="0" w:after="0" w:line="235" w:lineRule="exact"/>
        <w:ind w:left="0" w:right="0" w:firstLine="640"/>
        <w:jc w:val="both"/>
      </w:pPr>
      <w:bookmarkStart w:id="595" w:name="bookmark595"/>
      <w:bookmarkEnd w:id="595"/>
      <w:r>
        <w:rPr>
          <w:color w:val="000000"/>
          <w:spacing w:val="0"/>
          <w:w w:val="100"/>
          <w:position w:val="0"/>
        </w:rPr>
        <w:t>合同资产；</w:t>
      </w:r>
    </w:p>
    <w:p>
      <w:pPr>
        <w:pStyle w:val="Style20"/>
        <w:keepNext w:val="0"/>
        <w:keepLines w:val="0"/>
        <w:widowControl w:val="0"/>
        <w:shd w:val="clear" w:color="auto" w:fill="auto"/>
        <w:bidi w:val="0"/>
        <w:spacing w:before="0" w:after="0" w:line="235" w:lineRule="exact"/>
        <w:ind w:left="0" w:right="0" w:firstLine="640"/>
        <w:jc w:val="both"/>
      </w:pPr>
      <w:r>
        <w:rPr>
          <w:rFonts w:ascii="Times New Roman" w:eastAsia="Times New Roman" w:hAnsi="Times New Roman" w:cs="Times New Roman"/>
          <w:color w:val="000000"/>
          <w:spacing w:val="0"/>
          <w:w w:val="100"/>
          <w:position w:val="0"/>
        </w:rPr>
        <w:t>-</w:t>
      </w:r>
      <w:r>
        <w:rPr>
          <w:color w:val="000000"/>
          <w:spacing w:val="0"/>
          <w:w w:val="100"/>
          <w:position w:val="0"/>
        </w:rPr>
        <w:t>以公允价值计量且其变动计入其他综合收益的债权投资。</w:t>
      </w:r>
    </w:p>
    <w:p>
      <w:pPr>
        <w:pStyle w:val="Style20"/>
        <w:keepNext w:val="0"/>
        <w:keepLines w:val="0"/>
        <w:widowControl w:val="0"/>
        <w:shd w:val="clear" w:color="auto" w:fill="auto"/>
        <w:bidi w:val="0"/>
        <w:spacing w:before="0" w:after="280" w:line="226" w:lineRule="exact"/>
        <w:ind w:left="640" w:right="0" w:firstLine="0"/>
        <w:jc w:val="both"/>
      </w:pPr>
      <w:r>
        <w:rPr>
          <w:color w:val="000000"/>
          <w:spacing w:val="0"/>
          <w:w w:val="100"/>
          <w:position w:val="0"/>
        </w:rPr>
        <w:t>本集团持有的其他以公允价值计量的金融资产不适用预期信用损失模型，包括以公允价值计量且其变动计入当期损 益的债权投资或权益工具投资。</w:t>
      </w:r>
    </w:p>
    <w:p>
      <w:pPr>
        <w:pStyle w:val="Style20"/>
        <w:keepNext w:val="0"/>
        <w:keepLines w:val="0"/>
        <w:widowControl w:val="0"/>
        <w:shd w:val="clear" w:color="auto" w:fill="auto"/>
        <w:bidi w:val="0"/>
        <w:spacing w:before="0" w:after="0" w:line="240" w:lineRule="auto"/>
        <w:ind w:left="640" w:right="0" w:firstLine="0"/>
        <w:jc w:val="both"/>
      </w:pPr>
      <w:r>
        <w:rPr>
          <w:i/>
          <w:iCs/>
          <w:color w:val="000000"/>
          <w:spacing w:val="0"/>
          <w:w w:val="100"/>
          <w:position w:val="0"/>
        </w:rPr>
        <w:t>预期信用损失的计量</w:t>
      </w:r>
    </w:p>
    <w:p>
      <w:pPr>
        <w:pStyle w:val="Style20"/>
        <w:keepNext w:val="0"/>
        <w:keepLines w:val="0"/>
        <w:widowControl w:val="0"/>
        <w:shd w:val="clear" w:color="auto" w:fill="auto"/>
        <w:bidi w:val="0"/>
        <w:spacing w:before="0" w:after="0" w:line="252" w:lineRule="exact"/>
        <w:ind w:left="640" w:right="0" w:firstLine="0"/>
        <w:jc w:val="both"/>
      </w:pPr>
      <w:r>
        <w:rPr>
          <w:color w:val="000000"/>
          <w:spacing w:val="0"/>
          <w:w w:val="100"/>
          <w:position w:val="0"/>
        </w:rPr>
        <w:t>预期信用损失，是指以发生违约的风险为权重的金融工具信用损失的加权平均值。信用损失，是指本集团按照原实 际利率折现的、根据合同应收的所有合同现金流量与预期收取的所有现金流量之间的差额，即全部现金短缺的现值。 在计量预期信用损失时，本集团需考虑的最长期限为企业面临信用风险的最长合同期限</w:t>
      </w:r>
      <w:r>
        <w:rPr>
          <w:color w:val="000000"/>
          <w:spacing w:val="0"/>
          <w:w w:val="100"/>
          <w:position w:val="0"/>
        </w:rPr>
        <w:t>（</w:t>
      </w:r>
      <w:r>
        <w:rPr>
          <w:color w:val="000000"/>
          <w:spacing w:val="0"/>
          <w:w w:val="100"/>
          <w:position w:val="0"/>
        </w:rPr>
        <w:t>包括考虑续约选择权</w:t>
      </w:r>
      <w:r>
        <w:rPr>
          <w:color w:val="000000"/>
          <w:spacing w:val="0"/>
          <w:w w:val="100"/>
          <w:position w:val="0"/>
        </w:rPr>
        <w:t>）</w:t>
      </w:r>
      <w:r>
        <w:rPr>
          <w:color w:val="000000"/>
          <w:spacing w:val="0"/>
          <w:w w:val="100"/>
          <w:position w:val="0"/>
        </w:rPr>
        <w:t>。 整个存续期预期信用损失，是指因金融工具整个预计存续期内所有可能发生的违约事件而导致的预期信用损失。</w:t>
      </w:r>
    </w:p>
    <w:p>
      <w:pPr>
        <w:pStyle w:val="Style20"/>
        <w:keepNext w:val="0"/>
        <w:keepLines w:val="0"/>
        <w:widowControl w:val="0"/>
        <w:shd w:val="clear" w:color="auto" w:fill="auto"/>
        <w:bidi w:val="0"/>
        <w:spacing w:before="0" w:after="0" w:line="252" w:lineRule="exact"/>
        <w:ind w:left="640" w:right="0" w:firstLine="0"/>
        <w:jc w:val="both"/>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个月内预期信用损失，是指因资产负债表日后</w:t>
      </w:r>
      <w:r>
        <w:rPr>
          <w:rFonts w:ascii="Times New Roman" w:eastAsia="Times New Roman" w:hAnsi="Times New Roman" w:cs="Times New Roman"/>
          <w:color w:val="000000"/>
          <w:spacing w:val="0"/>
          <w:w w:val="100"/>
          <w:position w:val="0"/>
        </w:rPr>
        <w:t>12</w:t>
      </w:r>
      <w:r>
        <w:rPr>
          <w:color w:val="000000"/>
          <w:spacing w:val="0"/>
          <w:w w:val="100"/>
          <w:position w:val="0"/>
        </w:rPr>
        <w:t>个月内</w:t>
      </w:r>
      <w:r>
        <w:rPr>
          <w:color w:val="000000"/>
          <w:spacing w:val="0"/>
          <w:w w:val="100"/>
          <w:position w:val="0"/>
        </w:rPr>
        <w:t>（</w:t>
      </w:r>
      <w:r>
        <w:rPr>
          <w:color w:val="000000"/>
          <w:spacing w:val="0"/>
          <w:w w:val="100"/>
          <w:position w:val="0"/>
        </w:rPr>
        <w:t>若金融工具的预计存续期少于</w:t>
      </w:r>
      <w:r>
        <w:rPr>
          <w:rFonts w:ascii="Times New Roman" w:eastAsia="Times New Roman" w:hAnsi="Times New Roman" w:cs="Times New Roman"/>
          <w:color w:val="000000"/>
          <w:spacing w:val="0"/>
          <w:w w:val="100"/>
          <w:position w:val="0"/>
        </w:rPr>
        <w:t>12</w:t>
      </w:r>
      <w:r>
        <w:rPr>
          <w:color w:val="000000"/>
          <w:spacing w:val="0"/>
          <w:w w:val="100"/>
          <w:position w:val="0"/>
        </w:rPr>
        <w:t>个月，则为预计 存续期</w:t>
      </w:r>
      <w:r>
        <w:rPr>
          <w:color w:val="000000"/>
          <w:spacing w:val="0"/>
          <w:w w:val="100"/>
          <w:position w:val="0"/>
        </w:rPr>
        <w:t>）</w:t>
      </w:r>
      <w:r>
        <w:rPr>
          <w:color w:val="000000"/>
          <w:spacing w:val="0"/>
          <w:w w:val="100"/>
          <w:position w:val="0"/>
        </w:rPr>
        <w:t>可能发生的金融工具违约事件而导致的预期信用损失，是整个存续期预期信用损失的一部分。</w:t>
      </w:r>
    </w:p>
    <w:p>
      <w:pPr>
        <w:pStyle w:val="Style20"/>
        <w:keepNext w:val="0"/>
        <w:keepLines w:val="0"/>
        <w:widowControl w:val="0"/>
        <w:shd w:val="clear" w:color="auto" w:fill="auto"/>
        <w:bidi w:val="0"/>
        <w:spacing w:before="0" w:after="0" w:line="226" w:lineRule="exact"/>
        <w:ind w:left="640" w:right="0" w:firstLine="0"/>
        <w:jc w:val="both"/>
      </w:pPr>
      <w:r>
        <w:rPr>
          <w:color w:val="000000"/>
          <w:spacing w:val="0"/>
          <w:w w:val="100"/>
          <w:position w:val="0"/>
        </w:rPr>
        <w:t>对于应收账款和合同资产，本集团始终按照相当于整个存续期内预期信用损失的金额计量其损失准备。本集团基于 历史信用损失经验、使用准备矩阵计算上述金融资产的预期信用损失，相关历史经验根据资产负债表日借款人的特 定因素、以及对当前状况和未来经济状况预测的评估进行调整。</w:t>
      </w:r>
    </w:p>
    <w:p>
      <w:pPr>
        <w:pStyle w:val="Style20"/>
        <w:keepNext w:val="0"/>
        <w:keepLines w:val="0"/>
        <w:widowControl w:val="0"/>
        <w:shd w:val="clear" w:color="auto" w:fill="auto"/>
        <w:bidi w:val="0"/>
        <w:spacing w:before="0" w:after="0" w:line="240" w:lineRule="exact"/>
        <w:ind w:left="640" w:right="0" w:firstLine="0"/>
        <w:jc w:val="both"/>
      </w:pPr>
      <w:r>
        <w:rPr>
          <w:color w:val="000000"/>
          <w:spacing w:val="0"/>
          <w:w w:val="100"/>
          <w:position w:val="0"/>
        </w:rPr>
        <w:t>除应收账款和合同资产外，本集团对满足下列情形的金融工具按照相当于未来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 其损失准备，对其他金融工具按照相当于整个存续期内预期信用损失的金额计量其损失准备：</w:t>
      </w:r>
    </w:p>
    <w:p>
      <w:pPr>
        <w:pStyle w:val="Style20"/>
        <w:keepNext w:val="0"/>
        <w:keepLines w:val="0"/>
        <w:widowControl w:val="0"/>
        <w:shd w:val="clear" w:color="auto" w:fill="auto"/>
        <w:bidi w:val="0"/>
        <w:spacing w:before="0" w:after="0" w:line="235" w:lineRule="exact"/>
        <w:ind w:left="0" w:right="0" w:firstLine="640"/>
        <w:jc w:val="both"/>
      </w:pPr>
      <w:r>
        <w:rPr>
          <w:rFonts w:ascii="Times New Roman" w:eastAsia="Times New Roman" w:hAnsi="Times New Roman" w:cs="Times New Roman"/>
          <w:color w:val="000000"/>
          <w:spacing w:val="0"/>
          <w:w w:val="100"/>
          <w:position w:val="0"/>
        </w:rPr>
        <w:t>-</w:t>
      </w:r>
      <w:r>
        <w:rPr>
          <w:color w:val="000000"/>
          <w:spacing w:val="0"/>
          <w:w w:val="100"/>
          <w:position w:val="0"/>
        </w:rPr>
        <w:t>该金融工具在资产负债表日只具有较低的信用风险；或</w:t>
      </w:r>
    </w:p>
    <w:p>
      <w:pPr>
        <w:pStyle w:val="Style20"/>
        <w:keepNext w:val="0"/>
        <w:keepLines w:val="0"/>
        <w:widowControl w:val="0"/>
        <w:shd w:val="clear" w:color="auto" w:fill="auto"/>
        <w:bidi w:val="0"/>
        <w:spacing w:before="0" w:after="0" w:line="235" w:lineRule="exact"/>
        <w:ind w:left="0" w:right="0" w:firstLine="640"/>
        <w:jc w:val="both"/>
      </w:pPr>
      <w:r>
        <w:rPr>
          <w:rFonts w:ascii="Times New Roman" w:eastAsia="Times New Roman" w:hAnsi="Times New Roman" w:cs="Times New Roman"/>
          <w:color w:val="000000"/>
          <w:spacing w:val="0"/>
          <w:w w:val="100"/>
          <w:position w:val="0"/>
        </w:rPr>
        <w:t>-</w:t>
      </w:r>
      <w:r>
        <w:rPr>
          <w:color w:val="000000"/>
          <w:spacing w:val="0"/>
          <w:w w:val="100"/>
          <w:position w:val="0"/>
        </w:rPr>
        <w:t>该金融工具的信用风险自初始确认后并未显著增加。</w:t>
      </w:r>
    </w:p>
    <w:p>
      <w:pPr>
        <w:pStyle w:val="Style20"/>
        <w:keepNext w:val="0"/>
        <w:keepLines w:val="0"/>
        <w:widowControl w:val="0"/>
        <w:pBdr>
          <w:top w:val="single" w:sz="4" w:space="0" w:color="auto"/>
        </w:pBdr>
        <w:shd w:val="clear" w:color="auto" w:fill="auto"/>
        <w:bidi w:val="0"/>
        <w:spacing w:before="0" w:after="0" w:line="240" w:lineRule="auto"/>
        <w:ind w:left="0" w:right="0" w:firstLine="620"/>
        <w:jc w:val="both"/>
      </w:pPr>
      <w:r>
        <w:rPr>
          <w:i/>
          <w:iCs/>
          <w:color w:val="000000"/>
          <w:spacing w:val="0"/>
          <w:w w:val="100"/>
          <w:position w:val="0"/>
        </w:rPr>
        <w:t>具有较低的信用风险</w:t>
      </w:r>
    </w:p>
    <w:p>
      <w:pPr>
        <w:pStyle w:val="Style20"/>
        <w:keepNext w:val="0"/>
        <w:keepLines w:val="0"/>
        <w:widowControl w:val="0"/>
        <w:shd w:val="clear" w:color="auto" w:fill="auto"/>
        <w:bidi w:val="0"/>
        <w:spacing w:before="0" w:after="280" w:line="238" w:lineRule="exact"/>
        <w:ind w:left="620" w:right="0" w:firstLine="20"/>
        <w:jc w:val="both"/>
      </w:pPr>
      <w:r>
        <w:rPr>
          <w:color w:val="000000"/>
          <w:spacing w:val="0"/>
          <w:w w:val="100"/>
          <w:position w:val="0"/>
        </w:rPr>
        <w:t>如果金融工具的违约风险较低，借款人在短期内履行其合同现金流量义务的能力很强，并且即便较长时期内经济形 势和经营环境存在不利变化但未必一定降低借款人履行其合同现金流量义务的能力，该金融工具被视为具有较低的 信用风险。</w:t>
      </w:r>
    </w:p>
    <w:p>
      <w:pPr>
        <w:pStyle w:val="Style20"/>
        <w:keepNext w:val="0"/>
        <w:keepLines w:val="0"/>
        <w:widowControl w:val="0"/>
        <w:shd w:val="clear" w:color="auto" w:fill="auto"/>
        <w:bidi w:val="0"/>
        <w:spacing w:before="0" w:after="0" w:line="240" w:lineRule="auto"/>
        <w:ind w:left="0" w:right="0" w:firstLine="620"/>
        <w:jc w:val="both"/>
      </w:pPr>
      <w:r>
        <w:rPr>
          <w:i/>
          <w:iCs/>
          <w:color w:val="000000"/>
          <w:spacing w:val="0"/>
          <w:w w:val="100"/>
          <w:position w:val="0"/>
        </w:rPr>
        <w:t>信用风险显著增加</w:t>
      </w:r>
    </w:p>
    <w:p>
      <w:pPr>
        <w:pStyle w:val="Style20"/>
        <w:keepNext w:val="0"/>
        <w:keepLines w:val="0"/>
        <w:widowControl w:val="0"/>
        <w:shd w:val="clear" w:color="auto" w:fill="auto"/>
        <w:bidi w:val="0"/>
        <w:spacing w:before="0" w:after="0" w:line="235" w:lineRule="exact"/>
        <w:ind w:left="620" w:right="0" w:firstLine="20"/>
        <w:jc w:val="both"/>
      </w:pPr>
      <w:r>
        <w:rPr>
          <w:color w:val="000000"/>
          <w:spacing w:val="0"/>
          <w:w w:val="100"/>
          <w:position w:val="0"/>
        </w:rPr>
        <w:t>本集团通过比较金融工具在资产负债表日发生违约的风险与在初始确认日发生违约的风险，以确定金融工具预计存 续期内发生违约风险的相对变化，以评估金融工具的信用风险自初始确认后是否已显著增加。</w:t>
      </w:r>
    </w:p>
    <w:p>
      <w:pPr>
        <w:pStyle w:val="Style20"/>
        <w:keepNext w:val="0"/>
        <w:keepLines w:val="0"/>
        <w:widowControl w:val="0"/>
        <w:shd w:val="clear" w:color="auto" w:fill="auto"/>
        <w:bidi w:val="0"/>
        <w:spacing w:before="0" w:after="0" w:line="240" w:lineRule="exact"/>
        <w:ind w:left="620" w:right="0" w:firstLine="20"/>
        <w:jc w:val="both"/>
      </w:pPr>
      <w:r>
        <w:rPr>
          <w:color w:val="000000"/>
          <w:spacing w:val="0"/>
          <w:w w:val="100"/>
          <w:position w:val="0"/>
        </w:rPr>
        <w:t>在确定信用风险自初始确认后是否显著增加时，本集团考虑无须付出不必要的额外成本或努力即可获得的合理且有 依据的信息，包括前瞻性信息。本集团考虑的信息包括：</w:t>
      </w:r>
    </w:p>
    <w:p>
      <w:pPr>
        <w:pStyle w:val="Style20"/>
        <w:keepNext w:val="0"/>
        <w:keepLines w:val="0"/>
        <w:widowControl w:val="0"/>
        <w:shd w:val="clear" w:color="auto" w:fill="auto"/>
        <w:bidi w:val="0"/>
        <w:spacing w:before="0" w:after="0" w:line="235" w:lineRule="exact"/>
        <w:ind w:left="0" w:right="0" w:firstLine="620"/>
        <w:jc w:val="both"/>
      </w:pPr>
      <w:r>
        <w:rPr>
          <w:rFonts w:ascii="Times New Roman" w:eastAsia="Times New Roman" w:hAnsi="Times New Roman" w:cs="Times New Roman"/>
          <w:color w:val="000000"/>
          <w:spacing w:val="0"/>
          <w:w w:val="100"/>
          <w:position w:val="0"/>
        </w:rPr>
        <w:t>-</w:t>
      </w:r>
      <w:r>
        <w:rPr>
          <w:color w:val="000000"/>
          <w:spacing w:val="0"/>
          <w:w w:val="100"/>
          <w:position w:val="0"/>
        </w:rPr>
        <w:t>债务人未能按合同到期日支付本金和利息的情况；</w:t>
      </w:r>
    </w:p>
    <w:p>
      <w:pPr>
        <w:pStyle w:val="Style20"/>
        <w:keepNext w:val="0"/>
        <w:keepLines w:val="0"/>
        <w:widowControl w:val="0"/>
        <w:shd w:val="clear" w:color="auto" w:fill="auto"/>
        <w:bidi w:val="0"/>
        <w:spacing w:before="0" w:after="0" w:line="235" w:lineRule="exact"/>
        <w:ind w:left="0" w:right="0" w:firstLine="620"/>
        <w:jc w:val="both"/>
      </w:pPr>
      <w:r>
        <w:rPr>
          <w:rFonts w:ascii="Times New Roman" w:eastAsia="Times New Roman" w:hAnsi="Times New Roman" w:cs="Times New Roman"/>
          <w:color w:val="000000"/>
          <w:spacing w:val="0"/>
          <w:w w:val="100"/>
          <w:position w:val="0"/>
        </w:rPr>
        <w:t>-</w:t>
      </w:r>
      <w:r>
        <w:rPr>
          <w:color w:val="000000"/>
          <w:spacing w:val="0"/>
          <w:w w:val="100"/>
          <w:position w:val="0"/>
        </w:rPr>
        <w:t>已发生的或预期的金融工具的外部或内部信用评级</w:t>
      </w:r>
      <w:r>
        <w:rPr>
          <w:color w:val="000000"/>
          <w:spacing w:val="0"/>
          <w:w w:val="100"/>
          <w:position w:val="0"/>
        </w:rPr>
        <w:t>(</w:t>
      </w:r>
      <w:r>
        <w:rPr>
          <w:color w:val="000000"/>
          <w:spacing w:val="0"/>
          <w:w w:val="100"/>
          <w:position w:val="0"/>
        </w:rPr>
        <w:t>如有</w:t>
      </w:r>
      <w:r>
        <w:rPr>
          <w:color w:val="000000"/>
          <w:spacing w:val="0"/>
          <w:w w:val="100"/>
          <w:position w:val="0"/>
        </w:rPr>
        <w:t>)</w:t>
      </w:r>
      <w:r>
        <w:rPr>
          <w:color w:val="000000"/>
          <w:spacing w:val="0"/>
          <w:w w:val="100"/>
          <w:position w:val="0"/>
        </w:rPr>
        <w:t>的严重恶化；</w:t>
      </w:r>
    </w:p>
    <w:p>
      <w:pPr>
        <w:pStyle w:val="Style20"/>
        <w:keepNext w:val="0"/>
        <w:keepLines w:val="0"/>
        <w:widowControl w:val="0"/>
        <w:shd w:val="clear" w:color="auto" w:fill="auto"/>
        <w:bidi w:val="0"/>
        <w:spacing w:before="0" w:after="0" w:line="235" w:lineRule="exact"/>
        <w:ind w:left="0" w:right="0" w:firstLine="620"/>
        <w:jc w:val="both"/>
      </w:pPr>
      <w:r>
        <w:rPr>
          <w:rFonts w:ascii="Times New Roman" w:eastAsia="Times New Roman" w:hAnsi="Times New Roman" w:cs="Times New Roman"/>
          <w:color w:val="000000"/>
          <w:spacing w:val="0"/>
          <w:w w:val="100"/>
          <w:position w:val="0"/>
        </w:rPr>
        <w:t>-</w:t>
      </w:r>
      <w:r>
        <w:rPr>
          <w:color w:val="000000"/>
          <w:spacing w:val="0"/>
          <w:w w:val="100"/>
          <w:position w:val="0"/>
        </w:rPr>
        <w:t>已发生的或预期的债务人经营成果的严重恶化；</w:t>
      </w:r>
    </w:p>
    <w:p>
      <w:pPr>
        <w:pStyle w:val="Style20"/>
        <w:keepNext w:val="0"/>
        <w:keepLines w:val="0"/>
        <w:widowControl w:val="0"/>
        <w:shd w:val="clear" w:color="auto" w:fill="auto"/>
        <w:bidi w:val="0"/>
        <w:spacing w:before="0" w:after="0" w:line="235" w:lineRule="exact"/>
        <w:ind w:left="0" w:right="0" w:firstLine="620"/>
        <w:jc w:val="both"/>
      </w:pPr>
      <w:r>
        <w:rPr>
          <w:rFonts w:ascii="Times New Roman" w:eastAsia="Times New Roman" w:hAnsi="Times New Roman" w:cs="Times New Roman"/>
          <w:color w:val="000000"/>
          <w:spacing w:val="0"/>
          <w:w w:val="100"/>
          <w:position w:val="0"/>
        </w:rPr>
        <w:t>-</w:t>
      </w:r>
      <w:r>
        <w:rPr>
          <w:color w:val="000000"/>
          <w:spacing w:val="0"/>
          <w:w w:val="100"/>
          <w:position w:val="0"/>
        </w:rPr>
        <w:t>现存的或预期的技术、市场、经济或法律环境变化，并将对债务人对本集团的还款能力产生重大不利影响。</w:t>
      </w:r>
    </w:p>
    <w:p>
      <w:pPr>
        <w:pStyle w:val="Style20"/>
        <w:keepNext w:val="0"/>
        <w:keepLines w:val="0"/>
        <w:widowControl w:val="0"/>
        <w:shd w:val="clear" w:color="auto" w:fill="auto"/>
        <w:bidi w:val="0"/>
        <w:spacing w:before="0" w:after="0" w:line="230" w:lineRule="exact"/>
        <w:ind w:left="620" w:right="0" w:firstLine="20"/>
        <w:jc w:val="both"/>
      </w:pPr>
      <w:r>
        <w:rPr>
          <w:color w:val="000000"/>
          <w:spacing w:val="0"/>
          <w:w w:val="100"/>
          <w:position w:val="0"/>
        </w:rPr>
        <w:t>根据金融工具的性质，本集团以单项金融工具或金融工具组合为基础评估信用风险是否显著增加。以金融工具组合 为基础进行评估时，本集团可基于共同信用风险特征对金融工具进行分类，例如逾期信息和信用风险评级。</w:t>
      </w:r>
    </w:p>
    <w:p>
      <w:pPr>
        <w:pStyle w:val="Style20"/>
        <w:keepNext w:val="0"/>
        <w:keepLines w:val="0"/>
        <w:widowControl w:val="0"/>
        <w:shd w:val="clear" w:color="auto" w:fill="auto"/>
        <w:bidi w:val="0"/>
        <w:spacing w:before="0" w:after="0" w:line="235" w:lineRule="exact"/>
        <w:ind w:left="0" w:right="0" w:firstLine="620"/>
        <w:jc w:val="left"/>
      </w:pPr>
      <w:r>
        <w:rPr>
          <w:color w:val="000000"/>
          <w:spacing w:val="0"/>
          <w:w w:val="100"/>
          <w:position w:val="0"/>
        </w:rPr>
        <w:t>如果逾期超过</w:t>
      </w:r>
      <w:r>
        <w:rPr>
          <w:rFonts w:ascii="Times New Roman" w:eastAsia="Times New Roman" w:hAnsi="Times New Roman" w:cs="Times New Roman"/>
          <w:color w:val="000000"/>
          <w:spacing w:val="0"/>
          <w:w w:val="100"/>
          <w:position w:val="0"/>
        </w:rPr>
        <w:t>30</w:t>
      </w:r>
      <w:r>
        <w:rPr>
          <w:color w:val="000000"/>
          <w:spacing w:val="0"/>
          <w:w w:val="100"/>
          <w:position w:val="0"/>
        </w:rPr>
        <w:t>日，本集团确定金融工具的信用风险已经显著增加。</w:t>
      </w:r>
    </w:p>
    <w:p>
      <w:pPr>
        <w:pStyle w:val="Style20"/>
        <w:keepNext w:val="0"/>
        <w:keepLines w:val="0"/>
        <w:widowControl w:val="0"/>
        <w:shd w:val="clear" w:color="auto" w:fill="auto"/>
        <w:bidi w:val="0"/>
        <w:spacing w:before="0" w:after="0" w:line="235" w:lineRule="exact"/>
        <w:ind w:left="0" w:right="0" w:firstLine="620"/>
        <w:jc w:val="left"/>
      </w:pPr>
      <w:r>
        <w:rPr>
          <w:color w:val="000000"/>
          <w:spacing w:val="0"/>
          <w:w w:val="100"/>
          <w:position w:val="0"/>
        </w:rPr>
        <w:t>本集团认为金融资产在下列情况发生违约：</w:t>
      </w:r>
    </w:p>
    <w:p>
      <w:pPr>
        <w:pStyle w:val="Style20"/>
        <w:keepNext w:val="0"/>
        <w:keepLines w:val="0"/>
        <w:widowControl w:val="0"/>
        <w:shd w:val="clear" w:color="auto" w:fill="auto"/>
        <w:bidi w:val="0"/>
        <w:spacing w:before="0" w:after="0" w:line="240" w:lineRule="exact"/>
        <w:ind w:left="920" w:right="0" w:hanging="280"/>
        <w:jc w:val="both"/>
      </w:pPr>
      <w:r>
        <w:rPr>
          <w:rFonts w:ascii="Times New Roman" w:eastAsia="Times New Roman" w:hAnsi="Times New Roman" w:cs="Times New Roman"/>
          <w:color w:val="000000"/>
          <w:spacing w:val="0"/>
          <w:w w:val="100"/>
          <w:position w:val="0"/>
        </w:rPr>
        <w:t>-</w:t>
      </w:r>
      <w:r>
        <w:rPr>
          <w:color w:val="000000"/>
          <w:spacing w:val="0"/>
          <w:w w:val="100"/>
          <w:position w:val="0"/>
        </w:rPr>
        <w:t>借款人不大可能全额支付其对本集团的欠款，该评估不考虑本集团采取例如变现抵押品</w:t>
      </w:r>
      <w:r>
        <w:rPr>
          <w:color w:val="000000"/>
          <w:spacing w:val="0"/>
          <w:w w:val="100"/>
          <w:position w:val="0"/>
        </w:rPr>
        <w:t>(</w:t>
      </w:r>
      <w:r>
        <w:rPr>
          <w:color w:val="000000"/>
          <w:spacing w:val="0"/>
          <w:w w:val="100"/>
          <w:position w:val="0"/>
        </w:rPr>
        <w:t>如果持有</w:t>
      </w:r>
      <w:r>
        <w:rPr>
          <w:color w:val="000000"/>
          <w:spacing w:val="0"/>
          <w:w w:val="100"/>
          <w:position w:val="0"/>
        </w:rPr>
        <w:t>)</w:t>
      </w:r>
      <w:r>
        <w:rPr>
          <w:color w:val="000000"/>
          <w:spacing w:val="0"/>
          <w:w w:val="100"/>
          <w:position w:val="0"/>
        </w:rPr>
        <w:t>等追索行 动；或</w:t>
      </w:r>
    </w:p>
    <w:p>
      <w:pPr>
        <w:pStyle w:val="Style20"/>
        <w:keepNext w:val="0"/>
        <w:keepLines w:val="0"/>
        <w:widowControl w:val="0"/>
        <w:shd w:val="clear" w:color="auto" w:fill="auto"/>
        <w:bidi w:val="0"/>
        <w:spacing w:before="0" w:after="280" w:line="276" w:lineRule="auto"/>
        <w:ind w:left="0" w:right="0" w:firstLine="620"/>
        <w:jc w:val="both"/>
      </w:pPr>
      <w:r>
        <w:rPr>
          <w:rFonts w:ascii="Times New Roman" w:eastAsia="Times New Roman" w:hAnsi="Times New Roman" w:cs="Times New Roman"/>
          <w:color w:val="000000"/>
          <w:spacing w:val="0"/>
          <w:w w:val="100"/>
          <w:position w:val="0"/>
        </w:rPr>
        <w:t>-</w:t>
      </w:r>
      <w:r>
        <w:rPr>
          <w:color w:val="000000"/>
          <w:spacing w:val="0"/>
          <w:w w:val="100"/>
          <w:position w:val="0"/>
        </w:rPr>
        <w:t>金融资产逾期超过</w:t>
      </w:r>
      <w:r>
        <w:rPr>
          <w:rFonts w:ascii="Times New Roman" w:eastAsia="Times New Roman" w:hAnsi="Times New Roman" w:cs="Times New Roman"/>
          <w:color w:val="000000"/>
          <w:spacing w:val="0"/>
          <w:w w:val="100"/>
          <w:position w:val="0"/>
        </w:rPr>
        <w:t>90</w:t>
      </w:r>
      <w:r>
        <w:rPr>
          <w:color w:val="000000"/>
          <w:spacing w:val="0"/>
          <w:w w:val="100"/>
          <w:position w:val="0"/>
        </w:rPr>
        <w:t>日。</w:t>
      </w:r>
    </w:p>
    <w:p>
      <w:pPr>
        <w:pStyle w:val="Style20"/>
        <w:keepNext w:val="0"/>
        <w:keepLines w:val="0"/>
        <w:widowControl w:val="0"/>
        <w:shd w:val="clear" w:color="auto" w:fill="auto"/>
        <w:bidi w:val="0"/>
        <w:spacing w:before="0" w:after="0" w:line="240" w:lineRule="auto"/>
        <w:ind w:left="0" w:right="0" w:firstLine="620"/>
        <w:jc w:val="both"/>
      </w:pPr>
      <w:r>
        <w:rPr>
          <w:i/>
          <w:iCs/>
          <w:color w:val="000000"/>
          <w:spacing w:val="0"/>
          <w:w w:val="100"/>
          <w:position w:val="0"/>
        </w:rPr>
        <w:t>已发生信用减值的金融资产</w:t>
      </w:r>
    </w:p>
    <w:p>
      <w:pPr>
        <w:pStyle w:val="Style20"/>
        <w:keepNext w:val="0"/>
        <w:keepLines w:val="0"/>
        <w:widowControl w:val="0"/>
        <w:shd w:val="clear" w:color="auto" w:fill="auto"/>
        <w:bidi w:val="0"/>
        <w:spacing w:before="0" w:after="0" w:line="235" w:lineRule="exact"/>
        <w:ind w:left="620" w:right="0" w:firstLine="20"/>
        <w:jc w:val="both"/>
      </w:pPr>
      <w:r>
        <w:rPr>
          <w:color w:val="000000"/>
          <w:spacing w:val="0"/>
          <w:w w:val="100"/>
          <w:position w:val="0"/>
        </w:rPr>
        <w:t>本集团在资产负债表日评估以摊余成本计量的金融资产是否已发生信用减值。当对金融资产预期未来现金流量具有 不利影响的一项或多项事件发生时，该金融资产成为已发生信用减值的金融资产。金融资产已发生信用减值的证据 包括下列可观察信息：</w:t>
      </w:r>
    </w:p>
    <w:p>
      <w:pPr>
        <w:pStyle w:val="Style20"/>
        <w:keepNext w:val="0"/>
        <w:keepLines w:val="0"/>
        <w:widowControl w:val="0"/>
        <w:shd w:val="clear" w:color="auto" w:fill="auto"/>
        <w:bidi w:val="0"/>
        <w:spacing w:before="0" w:after="0" w:line="235" w:lineRule="exact"/>
        <w:ind w:left="0" w:right="0" w:firstLine="620"/>
        <w:jc w:val="both"/>
      </w:pPr>
      <w:r>
        <w:rPr>
          <w:rFonts w:ascii="Times New Roman" w:eastAsia="Times New Roman" w:hAnsi="Times New Roman" w:cs="Times New Roman"/>
          <w:color w:val="000000"/>
          <w:spacing w:val="0"/>
          <w:w w:val="100"/>
          <w:position w:val="0"/>
        </w:rPr>
        <w:t>-</w:t>
      </w:r>
      <w:r>
        <w:rPr>
          <w:color w:val="000000"/>
          <w:spacing w:val="0"/>
          <w:w w:val="100"/>
          <w:position w:val="0"/>
        </w:rPr>
        <w:t>发行方或债务人发生重大财务困难；</w:t>
      </w:r>
    </w:p>
    <w:p>
      <w:pPr>
        <w:pStyle w:val="Style20"/>
        <w:keepNext w:val="0"/>
        <w:keepLines w:val="0"/>
        <w:widowControl w:val="0"/>
        <w:shd w:val="clear" w:color="auto" w:fill="auto"/>
        <w:bidi w:val="0"/>
        <w:spacing w:before="0" w:after="0" w:line="235" w:lineRule="exact"/>
        <w:ind w:left="0" w:right="0" w:firstLine="620"/>
        <w:jc w:val="both"/>
      </w:pPr>
      <w:r>
        <w:rPr>
          <w:rFonts w:ascii="Times New Roman" w:eastAsia="Times New Roman" w:hAnsi="Times New Roman" w:cs="Times New Roman"/>
          <w:color w:val="000000"/>
          <w:spacing w:val="0"/>
          <w:w w:val="100"/>
          <w:position w:val="0"/>
        </w:rPr>
        <w:t>-</w:t>
      </w:r>
      <w:r>
        <w:rPr>
          <w:color w:val="000000"/>
          <w:spacing w:val="0"/>
          <w:w w:val="100"/>
          <w:position w:val="0"/>
        </w:rPr>
        <w:t>债务人违反合同，如偿付利息或本金违约或逾期等；</w:t>
      </w:r>
    </w:p>
    <w:p>
      <w:pPr>
        <w:pStyle w:val="Style20"/>
        <w:keepNext w:val="0"/>
        <w:keepLines w:val="0"/>
        <w:widowControl w:val="0"/>
        <w:shd w:val="clear" w:color="auto" w:fill="auto"/>
        <w:bidi w:val="0"/>
        <w:spacing w:before="0" w:after="0" w:line="235" w:lineRule="exact"/>
        <w:ind w:left="0" w:right="0" w:firstLine="620"/>
        <w:jc w:val="both"/>
      </w:pPr>
      <w:r>
        <w:rPr>
          <w:rFonts w:ascii="Times New Roman" w:eastAsia="Times New Roman" w:hAnsi="Times New Roman" w:cs="Times New Roman"/>
          <w:color w:val="000000"/>
          <w:spacing w:val="0"/>
          <w:w w:val="100"/>
          <w:position w:val="0"/>
        </w:rPr>
        <w:t>-</w:t>
      </w:r>
      <w:r>
        <w:rPr>
          <w:color w:val="000000"/>
          <w:spacing w:val="0"/>
          <w:w w:val="100"/>
          <w:position w:val="0"/>
        </w:rPr>
        <w:t>本集团出于与债务人财务困难有关的经济或合同考虑，给予债务人在任何其他情况下都不会做出的让步；</w:t>
      </w:r>
    </w:p>
    <w:p>
      <w:pPr>
        <w:pStyle w:val="Style20"/>
        <w:keepNext w:val="0"/>
        <w:keepLines w:val="0"/>
        <w:widowControl w:val="0"/>
        <w:shd w:val="clear" w:color="auto" w:fill="auto"/>
        <w:bidi w:val="0"/>
        <w:spacing w:before="0" w:after="0" w:line="235" w:lineRule="exact"/>
        <w:ind w:left="0" w:right="0" w:firstLine="620"/>
        <w:jc w:val="both"/>
      </w:pPr>
      <w:r>
        <w:rPr>
          <w:rFonts w:ascii="Times New Roman" w:eastAsia="Times New Roman" w:hAnsi="Times New Roman" w:cs="Times New Roman"/>
          <w:color w:val="000000"/>
          <w:spacing w:val="0"/>
          <w:w w:val="100"/>
          <w:position w:val="0"/>
        </w:rPr>
        <w:t>-</w:t>
      </w:r>
      <w:r>
        <w:rPr>
          <w:color w:val="000000"/>
          <w:spacing w:val="0"/>
          <w:w w:val="100"/>
          <w:position w:val="0"/>
        </w:rPr>
        <w:t>债务人很可能破产或进行其他财务重组；</w:t>
      </w:r>
    </w:p>
    <w:p>
      <w:pPr>
        <w:pStyle w:val="Style20"/>
        <w:keepNext w:val="0"/>
        <w:keepLines w:val="0"/>
        <w:widowControl w:val="0"/>
        <w:shd w:val="clear" w:color="auto" w:fill="auto"/>
        <w:bidi w:val="0"/>
        <w:spacing w:before="0" w:after="280" w:line="235" w:lineRule="exact"/>
        <w:ind w:left="0" w:right="0" w:firstLine="620"/>
        <w:jc w:val="both"/>
      </w:pPr>
      <w:r>
        <w:rPr>
          <w:rFonts w:ascii="Times New Roman" w:eastAsia="Times New Roman" w:hAnsi="Times New Roman" w:cs="Times New Roman"/>
          <w:color w:val="000000"/>
          <w:spacing w:val="0"/>
          <w:w w:val="100"/>
          <w:position w:val="0"/>
        </w:rPr>
        <w:t>-</w:t>
      </w:r>
      <w:r>
        <w:rPr>
          <w:color w:val="000000"/>
          <w:spacing w:val="0"/>
          <w:w w:val="100"/>
          <w:position w:val="0"/>
        </w:rPr>
        <w:t>发行方或债务人财务困难导致该金融资产的活跃市场消失。</w:t>
      </w:r>
    </w:p>
    <w:p>
      <w:pPr>
        <w:pStyle w:val="Style20"/>
        <w:keepNext w:val="0"/>
        <w:keepLines w:val="0"/>
        <w:widowControl w:val="0"/>
        <w:shd w:val="clear" w:color="auto" w:fill="auto"/>
        <w:bidi w:val="0"/>
        <w:spacing w:before="0" w:after="0" w:line="240" w:lineRule="auto"/>
        <w:ind w:left="0" w:right="0" w:firstLine="620"/>
        <w:jc w:val="both"/>
      </w:pPr>
      <w:r>
        <w:rPr>
          <w:i/>
          <w:iCs/>
          <w:color w:val="000000"/>
          <w:spacing w:val="0"/>
          <w:w w:val="100"/>
          <w:position w:val="0"/>
        </w:rPr>
        <w:t>预期信用损失准备的列报</w:t>
      </w:r>
    </w:p>
    <w:p>
      <w:pPr>
        <w:pStyle w:val="Style20"/>
        <w:keepNext w:val="0"/>
        <w:keepLines w:val="0"/>
        <w:widowControl w:val="0"/>
        <w:shd w:val="clear" w:color="auto" w:fill="auto"/>
        <w:bidi w:val="0"/>
        <w:spacing w:before="0" w:after="280" w:line="227" w:lineRule="exact"/>
        <w:ind w:left="620" w:right="0" w:firstLine="20"/>
        <w:jc w:val="both"/>
      </w:pPr>
      <w:r>
        <w:rPr>
          <w:color w:val="000000"/>
          <w:spacing w:val="0"/>
          <w:w w:val="100"/>
          <w:position w:val="0"/>
        </w:rPr>
        <w:t>为反映金融工具的信用风险自初始确认后的变化，本集团在每个资产负债表日重新计量预期信用损失，由此形成的 损失准备的增加或转回金额，应当作为减值损失或利得计入当期损益。对于以摊余成本计量的金融资产，损失准备 抵减该金融资产在资产负债表中列示的账面价值；对于以公允价值计量且其变动计入其他综合收益的债权投资，本 集团在其他综合收益中确认其损失准备，不抵减该金融资产的账面价值。</w:t>
      </w:r>
    </w:p>
    <w:p>
      <w:pPr>
        <w:pStyle w:val="Style20"/>
        <w:keepNext w:val="0"/>
        <w:keepLines w:val="0"/>
        <w:widowControl w:val="0"/>
        <w:shd w:val="clear" w:color="auto" w:fill="auto"/>
        <w:bidi w:val="0"/>
        <w:spacing w:before="0" w:after="0" w:line="240" w:lineRule="auto"/>
        <w:ind w:left="0" w:right="0" w:firstLine="620"/>
        <w:jc w:val="left"/>
      </w:pPr>
      <w:r>
        <w:rPr>
          <w:i/>
          <w:iCs/>
          <w:color w:val="000000"/>
          <w:spacing w:val="0"/>
          <w:w w:val="100"/>
          <w:position w:val="0"/>
        </w:rPr>
        <w:t>核销</w:t>
      </w:r>
    </w:p>
    <w:p>
      <w:pPr>
        <w:pStyle w:val="Style20"/>
        <w:keepNext w:val="0"/>
        <w:keepLines w:val="0"/>
        <w:widowControl w:val="0"/>
        <w:shd w:val="clear" w:color="auto" w:fill="auto"/>
        <w:bidi w:val="0"/>
        <w:spacing w:before="0" w:after="0" w:line="226" w:lineRule="exact"/>
        <w:ind w:left="620" w:right="0" w:firstLine="20"/>
        <w:jc w:val="both"/>
      </w:pPr>
      <w:r>
        <w:rPr>
          <w:color w:val="000000"/>
          <w:spacing w:val="0"/>
          <w:w w:val="100"/>
          <w:position w:val="0"/>
        </w:rPr>
        <w:t>如果本集团不再合理预期金融资产合同现金流量能够全部或部分收回，则直接减记该金融资产的账面余额。这种减 记构成相关金融资产的终止确认。这种情况通常发生在本集团确定债务人没有资产或收入来源可产生足够的现金流 量以偿还将被减记的金额。但是，被减记的金融资产仍可能受到本集团催收到期款项相关执行活动的影响。</w:t>
      </w:r>
    </w:p>
    <w:p>
      <w:pPr>
        <w:pStyle w:val="Style20"/>
        <w:keepNext w:val="0"/>
        <w:keepLines w:val="0"/>
        <w:widowControl w:val="0"/>
        <w:shd w:val="clear" w:color="auto" w:fill="auto"/>
        <w:bidi w:val="0"/>
        <w:spacing w:before="0" w:after="280" w:line="235" w:lineRule="exact"/>
        <w:ind w:left="0" w:right="0" w:firstLine="620"/>
        <w:jc w:val="both"/>
      </w:pPr>
      <w:r>
        <w:rPr>
          <w:color w:val="000000"/>
          <w:spacing w:val="0"/>
          <w:w w:val="100"/>
          <w:position w:val="0"/>
        </w:rPr>
        <w:t>已减记的金融资产以后又收回的，作为减值损失的转回计入收回当期的损益。</w:t>
      </w:r>
    </w:p>
    <w:p>
      <w:pPr>
        <w:pStyle w:val="Style20"/>
        <w:keepNext w:val="0"/>
        <w:keepLines w:val="0"/>
        <w:widowControl w:val="0"/>
        <w:numPr>
          <w:ilvl w:val="0"/>
          <w:numId w:val="53"/>
        </w:numPr>
        <w:shd w:val="clear" w:color="auto" w:fill="auto"/>
        <w:bidi w:val="0"/>
        <w:spacing w:before="0" w:after="0" w:line="276" w:lineRule="auto"/>
        <w:ind w:left="0" w:right="0" w:firstLine="140"/>
        <w:jc w:val="left"/>
      </w:pPr>
      <w:bookmarkStart w:id="596" w:name="bookmark596"/>
      <w:bookmarkEnd w:id="596"/>
      <w:r>
        <w:rPr>
          <w:color w:val="000000"/>
          <w:spacing w:val="0"/>
          <w:w w:val="100"/>
          <w:position w:val="0"/>
        </w:rPr>
        <w:t>权益工具</w:t>
      </w:r>
    </w:p>
    <w:p>
      <w:pPr>
        <w:pStyle w:val="Style20"/>
        <w:keepNext w:val="0"/>
        <w:keepLines w:val="0"/>
        <w:widowControl w:val="0"/>
        <w:shd w:val="clear" w:color="auto" w:fill="auto"/>
        <w:bidi w:val="0"/>
        <w:spacing w:before="0" w:after="360" w:line="221" w:lineRule="exact"/>
        <w:ind w:left="620" w:right="0" w:firstLine="20"/>
        <w:jc w:val="both"/>
      </w:pPr>
      <w:r>
        <w:rPr>
          <w:color w:val="000000"/>
          <w:spacing w:val="0"/>
          <w:w w:val="100"/>
          <w:position w:val="0"/>
        </w:rPr>
        <w:t>本公司发行权益工具收到的对价扣除交易费用后，计入股东权益。回购本公司权益工具支付的对价和交易费用，减 少股东权益。</w:t>
      </w:r>
    </w:p>
    <w:p>
      <w:pPr>
        <w:pStyle w:val="Style20"/>
        <w:keepNext w:val="0"/>
        <w:keepLines w:val="0"/>
        <w:widowControl w:val="0"/>
        <w:shd w:val="clear" w:color="auto" w:fill="auto"/>
        <w:bidi w:val="0"/>
        <w:spacing w:before="0" w:after="280" w:line="276" w:lineRule="auto"/>
        <w:ind w:left="0" w:right="0" w:firstLine="0"/>
        <w:jc w:val="left"/>
      </w:pPr>
      <w:bookmarkStart w:id="597" w:name="bookmark597"/>
      <w:r>
        <w:rPr>
          <w:rFonts w:ascii="Times New Roman" w:eastAsia="Times New Roman" w:hAnsi="Times New Roman" w:cs="Times New Roman"/>
          <w:color w:val="000000"/>
          <w:spacing w:val="0"/>
          <w:w w:val="100"/>
          <w:position w:val="0"/>
        </w:rPr>
        <w:t>1</w:t>
      </w:r>
      <w:bookmarkEnd w:id="597"/>
      <w:r>
        <w:rPr>
          <w:rFonts w:ascii="Times New Roman" w:eastAsia="Times New Roman" w:hAnsi="Times New Roman" w:cs="Times New Roman"/>
          <w:color w:val="000000"/>
          <w:spacing w:val="0"/>
          <w:w w:val="100"/>
          <w:position w:val="0"/>
        </w:rPr>
        <w:t>0</w:t>
      </w:r>
      <w:r>
        <w:rPr>
          <w:color w:val="000000"/>
          <w:spacing w:val="0"/>
          <w:w w:val="100"/>
          <w:position w:val="0"/>
        </w:rPr>
        <w:t>、存货</w:t>
      </w:r>
    </w:p>
    <w:p>
      <w:pPr>
        <w:pStyle w:val="Style20"/>
        <w:keepNext w:val="0"/>
        <w:keepLines w:val="0"/>
        <w:widowControl w:val="0"/>
        <w:numPr>
          <w:ilvl w:val="0"/>
          <w:numId w:val="55"/>
        </w:numPr>
        <w:shd w:val="clear" w:color="auto" w:fill="auto"/>
        <w:bidi w:val="0"/>
        <w:spacing w:before="0" w:after="280" w:line="235" w:lineRule="exact"/>
        <w:ind w:left="0" w:right="0" w:firstLine="140"/>
        <w:jc w:val="left"/>
      </w:pPr>
      <w:bookmarkStart w:id="598" w:name="bookmark598"/>
      <w:bookmarkEnd w:id="598"/>
      <w:r>
        <w:rPr>
          <w:color w:val="000000"/>
          <w:spacing w:val="0"/>
          <w:w w:val="100"/>
          <w:position w:val="0"/>
        </w:rPr>
        <w:t>存货的分类和成本</w:t>
      </w:r>
    </w:p>
    <w:p>
      <w:pPr>
        <w:pStyle w:val="Style20"/>
        <w:keepNext w:val="0"/>
        <w:keepLines w:val="0"/>
        <w:widowControl w:val="0"/>
        <w:shd w:val="clear" w:color="auto" w:fill="auto"/>
        <w:bidi w:val="0"/>
        <w:spacing w:before="0" w:after="0" w:line="235" w:lineRule="exact"/>
        <w:ind w:left="0" w:right="0" w:firstLine="280"/>
        <w:jc w:val="left"/>
      </w:pPr>
      <w:r>
        <w:rPr>
          <w:color w:val="000000"/>
          <w:spacing w:val="0"/>
          <w:w w:val="100"/>
          <w:position w:val="0"/>
        </w:rPr>
        <w:t>存货包括库存商品等。</w:t>
      </w:r>
    </w:p>
    <w:p>
      <w:pPr>
        <w:pStyle w:val="Style20"/>
        <w:keepNext w:val="0"/>
        <w:keepLines w:val="0"/>
        <w:widowControl w:val="0"/>
        <w:shd w:val="clear" w:color="auto" w:fill="auto"/>
        <w:bidi w:val="0"/>
        <w:spacing w:before="0" w:after="0" w:line="235" w:lineRule="exact"/>
        <w:ind w:left="0" w:right="0" w:firstLine="280"/>
        <w:jc w:val="left"/>
      </w:pPr>
      <w:r>
        <w:rPr>
          <w:color w:val="000000"/>
          <w:spacing w:val="0"/>
          <w:w w:val="100"/>
          <w:position w:val="0"/>
        </w:rPr>
        <w:t>存货按成本进行初始计量。存货成本包括采购成本、加工成本和使存货达到目前场所和状态所发生的其他支出。</w:t>
      </w:r>
    </w:p>
    <w:p>
      <w:pPr>
        <w:pStyle w:val="Style20"/>
        <w:keepNext w:val="0"/>
        <w:keepLines w:val="0"/>
        <w:widowControl w:val="0"/>
        <w:numPr>
          <w:ilvl w:val="0"/>
          <w:numId w:val="55"/>
        </w:numPr>
        <w:pBdr>
          <w:top w:val="single" w:sz="4" w:space="0" w:color="auto"/>
        </w:pBdr>
        <w:shd w:val="clear" w:color="auto" w:fill="auto"/>
        <w:tabs>
          <w:tab w:pos="402" w:val="left"/>
        </w:tabs>
        <w:bidi w:val="0"/>
        <w:spacing w:before="0" w:after="40" w:line="235" w:lineRule="exact"/>
        <w:ind w:left="0" w:right="0" w:firstLine="0"/>
        <w:jc w:val="left"/>
      </w:pPr>
      <w:bookmarkStart w:id="599" w:name="bookmark599"/>
      <w:bookmarkEnd w:id="599"/>
      <w:r>
        <w:rPr>
          <w:color w:val="000000"/>
          <w:spacing w:val="0"/>
          <w:w w:val="100"/>
          <w:position w:val="0"/>
        </w:rPr>
        <w:t>发出存货的计价方法</w:t>
      </w:r>
    </w:p>
    <w:p>
      <w:pPr>
        <w:pStyle w:val="Style20"/>
        <w:keepNext w:val="0"/>
        <w:keepLines w:val="0"/>
        <w:widowControl w:val="0"/>
        <w:shd w:val="clear" w:color="auto" w:fill="auto"/>
        <w:bidi w:val="0"/>
        <w:spacing w:before="0" w:after="40" w:line="235" w:lineRule="exact"/>
        <w:ind w:left="0" w:right="0" w:firstLine="360"/>
        <w:jc w:val="left"/>
      </w:pPr>
      <w:r>
        <w:rPr>
          <w:color w:val="000000"/>
          <w:spacing w:val="0"/>
          <w:w w:val="100"/>
          <w:position w:val="0"/>
        </w:rPr>
        <w:t>发出存货的实际成本采用加权平均法计量。</w:t>
      </w:r>
    </w:p>
    <w:p>
      <w:pPr>
        <w:pStyle w:val="Style20"/>
        <w:keepNext w:val="0"/>
        <w:keepLines w:val="0"/>
        <w:widowControl w:val="0"/>
        <w:numPr>
          <w:ilvl w:val="0"/>
          <w:numId w:val="55"/>
        </w:numPr>
        <w:shd w:val="clear" w:color="auto" w:fill="auto"/>
        <w:tabs>
          <w:tab w:pos="406" w:val="left"/>
        </w:tabs>
        <w:bidi w:val="0"/>
        <w:spacing w:before="0" w:after="40" w:line="235" w:lineRule="exact"/>
        <w:ind w:left="0" w:right="0" w:firstLine="0"/>
        <w:jc w:val="both"/>
      </w:pPr>
      <w:bookmarkStart w:id="600" w:name="bookmark600"/>
      <w:bookmarkEnd w:id="600"/>
      <w:r>
        <w:rPr>
          <w:color w:val="000000"/>
          <w:spacing w:val="0"/>
          <w:w w:val="100"/>
          <w:position w:val="0"/>
        </w:rPr>
        <w:t>存货可变现净值的确定依据及存货跌价准备的计提方法</w:t>
      </w:r>
    </w:p>
    <w:p>
      <w:pPr>
        <w:pStyle w:val="Style20"/>
        <w:keepNext w:val="0"/>
        <w:keepLines w:val="0"/>
        <w:widowControl w:val="0"/>
        <w:shd w:val="clear" w:color="auto" w:fill="auto"/>
        <w:bidi w:val="0"/>
        <w:spacing w:before="0" w:after="40" w:line="235" w:lineRule="exact"/>
        <w:ind w:left="0" w:right="0" w:firstLine="360"/>
        <w:jc w:val="left"/>
      </w:pPr>
      <w:r>
        <w:rPr>
          <w:color w:val="000000"/>
          <w:spacing w:val="0"/>
          <w:w w:val="100"/>
          <w:position w:val="0"/>
        </w:rPr>
        <w:t>资产负债表日，存货按照成本与可变现净值孰低计量。</w:t>
      </w:r>
    </w:p>
    <w:p>
      <w:pPr>
        <w:pStyle w:val="Style20"/>
        <w:keepNext w:val="0"/>
        <w:keepLines w:val="0"/>
        <w:widowControl w:val="0"/>
        <w:shd w:val="clear" w:color="auto" w:fill="auto"/>
        <w:bidi w:val="0"/>
        <w:spacing w:before="0" w:after="40" w:line="230" w:lineRule="exact"/>
        <w:ind w:left="360" w:right="0" w:firstLine="0"/>
        <w:jc w:val="both"/>
      </w:pPr>
      <w:r>
        <w:rPr>
          <w:color w:val="000000"/>
          <w:spacing w:val="0"/>
          <w:w w:val="100"/>
          <w:position w:val="0"/>
        </w:rPr>
        <w:t>可变现净值，是指在日常活动中，存货的估计售价减去至完工时估计将要发生的成本、估计的销售费用以及相关税费后 的金额。为执行销售合同或者劳务合同而持有的存货，其可变现净值以合同价格为基础计算。</w:t>
      </w:r>
    </w:p>
    <w:p>
      <w:pPr>
        <w:pStyle w:val="Style20"/>
        <w:keepNext w:val="0"/>
        <w:keepLines w:val="0"/>
        <w:widowControl w:val="0"/>
        <w:numPr>
          <w:ilvl w:val="0"/>
          <w:numId w:val="55"/>
        </w:numPr>
        <w:shd w:val="clear" w:color="auto" w:fill="auto"/>
        <w:bidi w:val="0"/>
        <w:spacing w:before="0" w:after="40" w:line="235" w:lineRule="exact"/>
        <w:ind w:left="0" w:right="0" w:firstLine="0"/>
        <w:jc w:val="left"/>
      </w:pPr>
      <w:bookmarkStart w:id="601" w:name="bookmark601"/>
      <w:bookmarkEnd w:id="601"/>
      <w:r>
        <w:rPr>
          <w:color w:val="000000"/>
          <w:spacing w:val="0"/>
          <w:w w:val="100"/>
          <w:position w:val="0"/>
        </w:rPr>
        <w:t>存货的盘存制度</w:t>
      </w:r>
    </w:p>
    <w:p>
      <w:pPr>
        <w:pStyle w:val="Style20"/>
        <w:keepNext w:val="0"/>
        <w:keepLines w:val="0"/>
        <w:widowControl w:val="0"/>
        <w:shd w:val="clear" w:color="auto" w:fill="auto"/>
        <w:bidi w:val="0"/>
        <w:spacing w:before="0" w:after="280" w:line="235" w:lineRule="exact"/>
        <w:ind w:left="0" w:right="0" w:firstLine="360"/>
        <w:jc w:val="left"/>
      </w:pPr>
      <w:r>
        <w:rPr>
          <w:color w:val="000000"/>
          <w:spacing w:val="0"/>
          <w:w w:val="100"/>
          <w:position w:val="0"/>
        </w:rPr>
        <w:t>本集团存货盘存制度为永续盘存制。</w:t>
      </w:r>
    </w:p>
    <w:p>
      <w:pPr>
        <w:pStyle w:val="Style20"/>
        <w:keepNext w:val="0"/>
        <w:keepLines w:val="0"/>
        <w:widowControl w:val="0"/>
        <w:shd w:val="clear" w:color="auto" w:fill="auto"/>
        <w:tabs>
          <w:tab w:pos="416" w:val="left"/>
        </w:tabs>
        <w:bidi w:val="0"/>
        <w:spacing w:before="0" w:after="80" w:line="235" w:lineRule="exact"/>
        <w:ind w:left="0" w:right="0" w:firstLine="0"/>
        <w:jc w:val="left"/>
      </w:pPr>
      <w:bookmarkStart w:id="602" w:name="bookmark602"/>
      <w:r>
        <w:rPr>
          <w:rFonts w:ascii="Times New Roman" w:eastAsia="Times New Roman" w:hAnsi="Times New Roman" w:cs="Times New Roman"/>
          <w:color w:val="000000"/>
          <w:spacing w:val="0"/>
          <w:w w:val="100"/>
          <w:position w:val="0"/>
        </w:rPr>
        <w:t>1</w:t>
      </w:r>
      <w:bookmarkEnd w:id="602"/>
      <w:r>
        <w:rPr>
          <w:rFonts w:ascii="Times New Roman" w:eastAsia="Times New Roman" w:hAnsi="Times New Roman" w:cs="Times New Roman"/>
          <w:color w:val="000000"/>
          <w:spacing w:val="0"/>
          <w:w w:val="100"/>
          <w:position w:val="0"/>
        </w:rPr>
        <w:t>1</w:t>
      </w:r>
      <w:r>
        <w:rPr>
          <w:color w:val="000000"/>
          <w:spacing w:val="0"/>
          <w:w w:val="100"/>
          <w:position w:val="0"/>
        </w:rPr>
        <w:t>、</w:t>
        <w:tab/>
        <w:t>合同资产</w:t>
      </w:r>
    </w:p>
    <w:p>
      <w:pPr>
        <w:pStyle w:val="Style20"/>
        <w:keepNext w:val="0"/>
        <w:keepLines w:val="0"/>
        <w:widowControl w:val="0"/>
        <w:shd w:val="clear" w:color="auto" w:fill="auto"/>
        <w:bidi w:val="0"/>
        <w:spacing w:before="0" w:after="80" w:line="235" w:lineRule="exact"/>
        <w:ind w:left="0" w:right="0" w:firstLine="360"/>
        <w:jc w:val="left"/>
      </w:pPr>
      <w:r>
        <w:rPr>
          <w:color w:val="000000"/>
          <w:spacing w:val="0"/>
          <w:w w:val="100"/>
          <w:position w:val="0"/>
        </w:rPr>
        <w:t>合同资产，是指本集团已向客户转让商品或服务而有权收取对价的权利</w:t>
      </w:r>
      <w:r>
        <w:rPr>
          <w:color w:val="000000"/>
          <w:spacing w:val="0"/>
          <w:w w:val="100"/>
          <w:position w:val="0"/>
        </w:rPr>
        <w:t>(</w:t>
      </w:r>
      <w:r>
        <w:rPr>
          <w:color w:val="000000"/>
          <w:spacing w:val="0"/>
          <w:w w:val="100"/>
          <w:position w:val="0"/>
        </w:rPr>
        <w:t>且该权利取决于时间流逝之外的其他因素</w:t>
      </w:r>
      <w:r>
        <w:rPr>
          <w:color w:val="000000"/>
          <w:spacing w:val="0"/>
          <w:w w:val="100"/>
          <w:position w:val="0"/>
        </w:rPr>
        <w:t>)</w:t>
      </w:r>
      <w:r>
        <w:rPr>
          <w:color w:val="000000"/>
          <w:spacing w:val="0"/>
          <w:w w:val="100"/>
          <w:position w:val="0"/>
        </w:rPr>
        <w:t>。</w:t>
      </w:r>
    </w:p>
    <w:p>
      <w:pPr>
        <w:pStyle w:val="Style20"/>
        <w:keepNext w:val="0"/>
        <w:keepLines w:val="0"/>
        <w:widowControl w:val="0"/>
        <w:shd w:val="clear" w:color="auto" w:fill="auto"/>
        <w:bidi w:val="0"/>
        <w:spacing w:before="0" w:after="80" w:line="235" w:lineRule="exact"/>
        <w:ind w:left="0" w:right="0" w:firstLine="360"/>
        <w:jc w:val="left"/>
      </w:pPr>
      <w:r>
        <w:rPr>
          <w:color w:val="000000"/>
          <w:spacing w:val="0"/>
          <w:w w:val="100"/>
          <w:position w:val="0"/>
        </w:rPr>
        <w:t>当本集团取得该无条件收取对价的权利时，合同资产将转为应收账款。</w:t>
      </w:r>
    </w:p>
    <w:p>
      <w:pPr>
        <w:pStyle w:val="Style20"/>
        <w:keepNext w:val="0"/>
        <w:keepLines w:val="0"/>
        <w:widowControl w:val="0"/>
        <w:shd w:val="clear" w:color="auto" w:fill="auto"/>
        <w:bidi w:val="0"/>
        <w:spacing w:before="0" w:after="280" w:line="235" w:lineRule="exact"/>
        <w:ind w:left="0" w:right="0" w:firstLine="360"/>
        <w:jc w:val="left"/>
      </w:pPr>
      <w:r>
        <w:rPr>
          <w:color w:val="000000"/>
          <w:spacing w:val="0"/>
          <w:w w:val="100"/>
          <w:position w:val="0"/>
        </w:rPr>
        <w:t>合同资产以预期信用损失为基础计提减值</w:t>
      </w:r>
      <w:r>
        <w:rPr>
          <w:color w:val="000000"/>
          <w:spacing w:val="0"/>
          <w:w w:val="100"/>
          <w:position w:val="0"/>
        </w:rPr>
        <w:t>(</w:t>
      </w:r>
      <w:r>
        <w:rPr>
          <w:color w:val="000000"/>
          <w:spacing w:val="0"/>
          <w:w w:val="100"/>
          <w:position w:val="0"/>
        </w:rPr>
        <w:t>参见附注五、</w:t>
      </w:r>
      <w:r>
        <w:rPr>
          <w:rFonts w:ascii="Times New Roman" w:eastAsia="Times New Roman" w:hAnsi="Times New Roman" w:cs="Times New Roman"/>
          <w:color w:val="000000"/>
          <w:spacing w:val="0"/>
          <w:w w:val="100"/>
          <w:position w:val="0"/>
        </w:rPr>
        <w:t>9(6))</w:t>
      </w:r>
      <w:r>
        <w:rPr>
          <w:color w:val="000000"/>
          <w:spacing w:val="0"/>
          <w:w w:val="100"/>
          <w:position w:val="0"/>
        </w:rPr>
        <w:t>。</w:t>
      </w:r>
    </w:p>
    <w:p>
      <w:pPr>
        <w:pStyle w:val="Style20"/>
        <w:keepNext w:val="0"/>
        <w:keepLines w:val="0"/>
        <w:widowControl w:val="0"/>
        <w:shd w:val="clear" w:color="auto" w:fill="auto"/>
        <w:tabs>
          <w:tab w:pos="426" w:val="left"/>
        </w:tabs>
        <w:bidi w:val="0"/>
        <w:spacing w:before="0" w:after="40" w:line="235" w:lineRule="exact"/>
        <w:ind w:left="0" w:right="0" w:firstLine="0"/>
        <w:jc w:val="left"/>
      </w:pPr>
      <w:bookmarkStart w:id="603" w:name="bookmark603"/>
      <w:r>
        <w:rPr>
          <w:rFonts w:ascii="Times New Roman" w:eastAsia="Times New Roman" w:hAnsi="Times New Roman" w:cs="Times New Roman"/>
          <w:color w:val="000000"/>
          <w:spacing w:val="0"/>
          <w:w w:val="100"/>
          <w:position w:val="0"/>
        </w:rPr>
        <w:t>1</w:t>
      </w:r>
      <w:bookmarkEnd w:id="603"/>
      <w:r>
        <w:rPr>
          <w:rFonts w:ascii="Times New Roman" w:eastAsia="Times New Roman" w:hAnsi="Times New Roman" w:cs="Times New Roman"/>
          <w:color w:val="000000"/>
          <w:spacing w:val="0"/>
          <w:w w:val="100"/>
          <w:position w:val="0"/>
        </w:rPr>
        <w:t>2</w:t>
      </w:r>
      <w:r>
        <w:rPr>
          <w:color w:val="000000"/>
          <w:spacing w:val="0"/>
          <w:w w:val="100"/>
          <w:position w:val="0"/>
        </w:rPr>
        <w:t>、</w:t>
        <w:tab/>
        <w:t>合同成本</w:t>
      </w:r>
    </w:p>
    <w:p>
      <w:pPr>
        <w:pStyle w:val="Style20"/>
        <w:keepNext w:val="0"/>
        <w:keepLines w:val="0"/>
        <w:widowControl w:val="0"/>
        <w:shd w:val="clear" w:color="auto" w:fill="auto"/>
        <w:bidi w:val="0"/>
        <w:spacing w:before="0" w:after="40" w:line="235" w:lineRule="exact"/>
        <w:ind w:left="0" w:right="0" w:firstLine="360"/>
        <w:jc w:val="left"/>
      </w:pPr>
      <w:r>
        <w:rPr>
          <w:color w:val="000000"/>
          <w:spacing w:val="0"/>
          <w:w w:val="100"/>
          <w:position w:val="0"/>
        </w:rPr>
        <w:t>合同成本包括为取得合同发生的增量成本及合同履约成本。</w:t>
      </w:r>
    </w:p>
    <w:p>
      <w:pPr>
        <w:pStyle w:val="Style20"/>
        <w:keepNext w:val="0"/>
        <w:keepLines w:val="0"/>
        <w:widowControl w:val="0"/>
        <w:shd w:val="clear" w:color="auto" w:fill="auto"/>
        <w:bidi w:val="0"/>
        <w:spacing w:before="0" w:after="40" w:line="246" w:lineRule="exact"/>
        <w:ind w:left="360" w:right="0" w:firstLine="0"/>
        <w:jc w:val="both"/>
      </w:pPr>
      <w:r>
        <w:rPr>
          <w:color w:val="000000"/>
          <w:spacing w:val="0"/>
          <w:w w:val="100"/>
          <w:position w:val="0"/>
        </w:rPr>
        <w:t>为取得合同发生的增量成本是指本集团不取得合同就不会发生的成本。该成本预期能够收回的，本集团将其作为合同取 得成本确认为一项资产。本集团为取得合同发生的、除预期能够收回的增量成本之外的其他支出于发生时计入当期损益。 为履行合同发生的成本，不属于存货等其他企业会计准则规范范围且同时满足下列条件的，本集团将其作为合同履约成 本确认为一项资产：</w:t>
      </w:r>
    </w:p>
    <w:p>
      <w:pPr>
        <w:pStyle w:val="Style20"/>
        <w:keepNext w:val="0"/>
        <w:keepLines w:val="0"/>
        <w:widowControl w:val="0"/>
        <w:shd w:val="clear" w:color="auto" w:fill="auto"/>
        <w:bidi w:val="0"/>
        <w:spacing w:before="0" w:after="40" w:line="246" w:lineRule="exact"/>
        <w:ind w:left="640" w:right="0" w:hanging="280"/>
        <w:jc w:val="left"/>
      </w:pPr>
      <w:r>
        <w:rPr>
          <w:rFonts w:ascii="Times New Roman" w:eastAsia="Times New Roman" w:hAnsi="Times New Roman" w:cs="Times New Roman"/>
          <w:color w:val="000000"/>
          <w:spacing w:val="0"/>
          <w:w w:val="100"/>
          <w:position w:val="0"/>
        </w:rPr>
        <w:t>-</w:t>
      </w:r>
      <w:r>
        <w:rPr>
          <w:color w:val="000000"/>
          <w:spacing w:val="0"/>
          <w:w w:val="100"/>
          <w:position w:val="0"/>
        </w:rPr>
        <w:t>该成本与一份当前或预期取得的合同直接相关，包括直接人工、直接材料、制造费用</w:t>
      </w:r>
      <w:r>
        <w:rPr>
          <w:color w:val="000000"/>
          <w:spacing w:val="0"/>
          <w:w w:val="100"/>
          <w:position w:val="0"/>
        </w:rPr>
        <w:t>(</w:t>
      </w:r>
      <w:r>
        <w:rPr>
          <w:color w:val="000000"/>
          <w:spacing w:val="0"/>
          <w:w w:val="100"/>
          <w:position w:val="0"/>
        </w:rPr>
        <w:t>或类似费用</w:t>
      </w:r>
      <w:r>
        <w:rPr>
          <w:color w:val="000000"/>
          <w:spacing w:val="0"/>
          <w:w w:val="100"/>
          <w:position w:val="0"/>
        </w:rPr>
        <w:t>)</w:t>
      </w:r>
      <w:r>
        <w:rPr>
          <w:color w:val="000000"/>
          <w:spacing w:val="0"/>
          <w:w w:val="100"/>
          <w:position w:val="0"/>
        </w:rPr>
        <w:t>、明确由客户承 担的成本以及仅因该合同而发生的其他成本；</w:t>
      </w:r>
    </w:p>
    <w:p>
      <w:pPr>
        <w:pStyle w:val="Style20"/>
        <w:keepNext w:val="0"/>
        <w:keepLines w:val="0"/>
        <w:widowControl w:val="0"/>
        <w:shd w:val="clear" w:color="auto" w:fill="auto"/>
        <w:bidi w:val="0"/>
        <w:spacing w:before="0" w:after="40" w:line="235" w:lineRule="exact"/>
        <w:ind w:left="0" w:right="0" w:firstLine="360"/>
        <w:jc w:val="left"/>
      </w:pPr>
      <w:r>
        <w:rPr>
          <w:rFonts w:ascii="Times New Roman" w:eastAsia="Times New Roman" w:hAnsi="Times New Roman" w:cs="Times New Roman"/>
          <w:color w:val="000000"/>
          <w:spacing w:val="0"/>
          <w:w w:val="100"/>
          <w:position w:val="0"/>
        </w:rPr>
        <w:t>-</w:t>
      </w:r>
      <w:r>
        <w:rPr>
          <w:color w:val="000000"/>
          <w:spacing w:val="0"/>
          <w:w w:val="100"/>
          <w:position w:val="0"/>
        </w:rPr>
        <w:t>该成本增加了本集团未来用于履行履约义务的资源；</w:t>
      </w:r>
    </w:p>
    <w:p>
      <w:pPr>
        <w:pStyle w:val="Style20"/>
        <w:keepNext w:val="0"/>
        <w:keepLines w:val="0"/>
        <w:widowControl w:val="0"/>
        <w:shd w:val="clear" w:color="auto" w:fill="auto"/>
        <w:bidi w:val="0"/>
        <w:spacing w:before="0" w:after="40" w:line="235" w:lineRule="exact"/>
        <w:ind w:left="0" w:right="0" w:firstLine="360"/>
        <w:jc w:val="left"/>
      </w:pPr>
      <w:r>
        <w:rPr>
          <w:rFonts w:ascii="Times New Roman" w:eastAsia="Times New Roman" w:hAnsi="Times New Roman" w:cs="Times New Roman"/>
          <w:color w:val="000000"/>
          <w:spacing w:val="0"/>
          <w:w w:val="100"/>
          <w:position w:val="0"/>
        </w:rPr>
        <w:t>-</w:t>
      </w:r>
      <w:r>
        <w:rPr>
          <w:color w:val="000000"/>
          <w:spacing w:val="0"/>
          <w:w w:val="100"/>
          <w:position w:val="0"/>
        </w:rPr>
        <w:t>该成本预期能够收回。</w:t>
      </w:r>
    </w:p>
    <w:p>
      <w:pPr>
        <w:pStyle w:val="Style20"/>
        <w:keepNext w:val="0"/>
        <w:keepLines w:val="0"/>
        <w:widowControl w:val="0"/>
        <w:shd w:val="clear" w:color="auto" w:fill="auto"/>
        <w:bidi w:val="0"/>
        <w:spacing w:before="0" w:after="0" w:line="233" w:lineRule="exact"/>
        <w:ind w:left="360" w:right="0" w:firstLine="0"/>
        <w:jc w:val="both"/>
      </w:pPr>
      <w:r>
        <w:rPr>
          <w:color w:val="000000"/>
          <w:spacing w:val="0"/>
          <w:w w:val="100"/>
          <w:position w:val="0"/>
        </w:rPr>
        <w:t>合同取得成本确认的资产和合同履约成本确认的资产</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与合同成本有关的资产</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采用与该资产相关的商品或 服务收入确认相同的基础进行摊销，计入当期损益。合同取得成本确认的资产摊销期限不超过一年的，在发生时计入当 期损益。</w:t>
      </w:r>
    </w:p>
    <w:p>
      <w:pPr>
        <w:pStyle w:val="Style20"/>
        <w:keepNext w:val="0"/>
        <w:keepLines w:val="0"/>
        <w:widowControl w:val="0"/>
        <w:shd w:val="clear" w:color="auto" w:fill="auto"/>
        <w:bidi w:val="0"/>
        <w:spacing w:before="0" w:after="0" w:line="274" w:lineRule="exact"/>
        <w:ind w:left="360" w:right="0" w:firstLine="0"/>
        <w:jc w:val="both"/>
      </w:pPr>
      <w:r>
        <w:rPr>
          <w:color w:val="000000"/>
          <w:spacing w:val="0"/>
          <w:w w:val="100"/>
          <w:position w:val="0"/>
        </w:rPr>
        <w:t xml:space="preserve">当与合同成本有关的资产的账面价值高于下列两项的差额时，本集团对超出部分计提减值准备，并确认为资产减值损失： </w:t>
      </w:r>
      <w:r>
        <w:rPr>
          <w:rFonts w:ascii="Times New Roman" w:eastAsia="Times New Roman" w:hAnsi="Times New Roman" w:cs="Times New Roman"/>
          <w:color w:val="000000"/>
          <w:spacing w:val="0"/>
          <w:w w:val="100"/>
          <w:position w:val="0"/>
        </w:rPr>
        <w:t>-</w:t>
      </w:r>
      <w:r>
        <w:rPr>
          <w:color w:val="000000"/>
          <w:spacing w:val="0"/>
          <w:w w:val="100"/>
          <w:position w:val="0"/>
        </w:rPr>
        <w:t>本集团因转让与该资产相关的商品或服务预期能够取得的剩余对价；</w:t>
      </w:r>
    </w:p>
    <w:p>
      <w:pPr>
        <w:pStyle w:val="Style20"/>
        <w:keepNext w:val="0"/>
        <w:keepLines w:val="0"/>
        <w:widowControl w:val="0"/>
        <w:shd w:val="clear" w:color="auto" w:fill="auto"/>
        <w:bidi w:val="0"/>
        <w:spacing w:before="0" w:after="280" w:line="274" w:lineRule="exact"/>
        <w:ind w:left="36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为转让该相关商品或服务估计将要发生的成本。</w:t>
      </w:r>
    </w:p>
    <w:p>
      <w:pPr>
        <w:pStyle w:val="Style20"/>
        <w:keepNext w:val="0"/>
        <w:keepLines w:val="0"/>
        <w:widowControl w:val="0"/>
        <w:shd w:val="clear" w:color="auto" w:fill="auto"/>
        <w:bidi w:val="0"/>
        <w:spacing w:before="0" w:after="280" w:line="235" w:lineRule="exact"/>
        <w:ind w:left="0" w:right="0" w:firstLine="0"/>
        <w:jc w:val="left"/>
      </w:pPr>
      <w:bookmarkStart w:id="604" w:name="bookmark604"/>
      <w:r>
        <w:rPr>
          <w:rFonts w:ascii="Times New Roman" w:eastAsia="Times New Roman" w:hAnsi="Times New Roman" w:cs="Times New Roman"/>
          <w:color w:val="000000"/>
          <w:spacing w:val="0"/>
          <w:w w:val="100"/>
          <w:position w:val="0"/>
        </w:rPr>
        <w:t>1</w:t>
      </w:r>
      <w:bookmarkEnd w:id="604"/>
      <w:r>
        <w:rPr>
          <w:rFonts w:ascii="Times New Roman" w:eastAsia="Times New Roman" w:hAnsi="Times New Roman" w:cs="Times New Roman"/>
          <w:color w:val="000000"/>
          <w:spacing w:val="0"/>
          <w:w w:val="100"/>
          <w:position w:val="0"/>
        </w:rPr>
        <w:t>3</w:t>
      </w:r>
      <w:r>
        <w:rPr>
          <w:color w:val="000000"/>
          <w:spacing w:val="0"/>
          <w:w w:val="100"/>
          <w:position w:val="0"/>
        </w:rPr>
        <w:t>、长期股权投资</w:t>
      </w:r>
    </w:p>
    <w:p>
      <w:pPr>
        <w:pStyle w:val="Style20"/>
        <w:keepNext w:val="0"/>
        <w:keepLines w:val="0"/>
        <w:widowControl w:val="0"/>
        <w:numPr>
          <w:ilvl w:val="0"/>
          <w:numId w:val="57"/>
        </w:numPr>
        <w:shd w:val="clear" w:color="auto" w:fill="auto"/>
        <w:tabs>
          <w:tab w:pos="642" w:val="left"/>
        </w:tabs>
        <w:bidi w:val="0"/>
        <w:spacing w:before="0" w:after="40" w:line="235" w:lineRule="exact"/>
        <w:ind w:left="0" w:right="0" w:firstLine="240"/>
        <w:jc w:val="left"/>
      </w:pPr>
      <w:bookmarkStart w:id="605" w:name="bookmark605"/>
      <w:bookmarkEnd w:id="605"/>
      <w:r>
        <w:rPr>
          <w:color w:val="000000"/>
          <w:spacing w:val="0"/>
          <w:w w:val="100"/>
          <w:position w:val="0"/>
        </w:rPr>
        <w:t>长期股权投资投资成本确定</w:t>
      </w:r>
    </w:p>
    <w:p>
      <w:pPr>
        <w:pStyle w:val="Style20"/>
        <w:keepNext w:val="0"/>
        <w:keepLines w:val="0"/>
        <w:widowControl w:val="0"/>
        <w:numPr>
          <w:ilvl w:val="0"/>
          <w:numId w:val="59"/>
        </w:numPr>
        <w:shd w:val="clear" w:color="auto" w:fill="auto"/>
        <w:tabs>
          <w:tab w:pos="752" w:val="left"/>
        </w:tabs>
        <w:bidi w:val="0"/>
        <w:spacing w:before="0" w:after="40" w:line="235" w:lineRule="exact"/>
        <w:ind w:left="0" w:right="0" w:firstLine="360"/>
        <w:jc w:val="left"/>
      </w:pPr>
      <w:bookmarkStart w:id="606" w:name="bookmark606"/>
      <w:bookmarkEnd w:id="606"/>
      <w:r>
        <w:rPr>
          <w:color w:val="000000"/>
          <w:spacing w:val="0"/>
          <w:w w:val="100"/>
          <w:position w:val="0"/>
        </w:rPr>
        <w:t>通过企业合并形成的长期股权投资</w:t>
      </w:r>
    </w:p>
    <w:p>
      <w:pPr>
        <w:pStyle w:val="Style20"/>
        <w:keepNext w:val="0"/>
        <w:keepLines w:val="0"/>
        <w:widowControl w:val="0"/>
        <w:shd w:val="clear" w:color="auto" w:fill="auto"/>
        <w:bidi w:val="0"/>
        <w:spacing w:before="0" w:after="40" w:line="235" w:lineRule="exact"/>
        <w:ind w:left="860" w:right="0" w:hanging="280"/>
        <w:jc w:val="both"/>
      </w:pPr>
      <w:r>
        <w:rPr>
          <w:rFonts w:ascii="Times New Roman" w:eastAsia="Times New Roman" w:hAnsi="Times New Roman" w:cs="Times New Roman"/>
          <w:color w:val="000000"/>
          <w:spacing w:val="0"/>
          <w:w w:val="100"/>
          <w:position w:val="0"/>
        </w:rPr>
        <w:t>-</w:t>
      </w:r>
      <w:r>
        <w:rPr>
          <w:color w:val="000000"/>
          <w:spacing w:val="0"/>
          <w:w w:val="100"/>
          <w:position w:val="0"/>
        </w:rPr>
        <w:t>对于同一控制下的企业合并形成的对子公司的长期股权投资，本公司按照合并日取得的被合并方所有者权益在最 终控制方合并财务报表中的账面价值的份额作为长期股权投资的初始投资成本。长期股权投资初始投资成本与支 付对价账面价值之间的差额，调整资本公积中的股本溢价；资本公积中的股本溢价不足冲减时，调整留存收益。</w:t>
      </w:r>
    </w:p>
    <w:p>
      <w:pPr>
        <w:pStyle w:val="Style20"/>
        <w:keepNext w:val="0"/>
        <w:keepLines w:val="0"/>
        <w:widowControl w:val="0"/>
        <w:shd w:val="clear" w:color="auto" w:fill="auto"/>
        <w:bidi w:val="0"/>
        <w:spacing w:before="0" w:after="40" w:line="230" w:lineRule="exact"/>
        <w:ind w:left="860" w:right="0" w:hanging="280"/>
        <w:jc w:val="both"/>
      </w:pPr>
      <w:r>
        <w:rPr>
          <w:rFonts w:ascii="Times New Roman" w:eastAsia="Times New Roman" w:hAnsi="Times New Roman" w:cs="Times New Roman"/>
          <w:color w:val="000000"/>
          <w:spacing w:val="0"/>
          <w:w w:val="100"/>
          <w:position w:val="0"/>
        </w:rPr>
        <w:t>-</w:t>
      </w:r>
      <w:r>
        <w:rPr>
          <w:color w:val="000000"/>
          <w:spacing w:val="0"/>
          <w:w w:val="100"/>
          <w:position w:val="0"/>
        </w:rPr>
        <w:t>对于非同一控制下企业合并形成的对子公司的长期股权投资，本公司按照购买日取得对被购买方的控制权而付出 的资产、发生或承担的负债以及发行的权益性证券的公允价值，作为该投资的初始投资成本。</w:t>
      </w:r>
    </w:p>
    <w:p>
      <w:pPr>
        <w:pStyle w:val="Style20"/>
        <w:keepNext w:val="0"/>
        <w:keepLines w:val="0"/>
        <w:widowControl w:val="0"/>
        <w:numPr>
          <w:ilvl w:val="0"/>
          <w:numId w:val="59"/>
        </w:numPr>
        <w:shd w:val="clear" w:color="auto" w:fill="auto"/>
        <w:tabs>
          <w:tab w:pos="762" w:val="left"/>
        </w:tabs>
        <w:bidi w:val="0"/>
        <w:spacing w:before="0" w:after="40" w:line="235" w:lineRule="exact"/>
        <w:ind w:left="0" w:right="0" w:firstLine="360"/>
        <w:jc w:val="both"/>
      </w:pPr>
      <w:bookmarkStart w:id="607" w:name="bookmark607"/>
      <w:bookmarkEnd w:id="607"/>
      <w:r>
        <w:rPr>
          <w:color w:val="000000"/>
          <w:spacing w:val="0"/>
          <w:w w:val="100"/>
          <w:position w:val="0"/>
        </w:rPr>
        <w:t>其他方式取得的长期股权投资</w:t>
      </w:r>
    </w:p>
    <w:p>
      <w:pPr>
        <w:pStyle w:val="Style20"/>
        <w:keepNext w:val="0"/>
        <w:keepLines w:val="0"/>
        <w:widowControl w:val="0"/>
        <w:shd w:val="clear" w:color="auto" w:fill="auto"/>
        <w:bidi w:val="0"/>
        <w:spacing w:before="0" w:after="40" w:line="230" w:lineRule="exact"/>
        <w:ind w:left="860" w:right="0" w:hanging="280"/>
        <w:jc w:val="both"/>
      </w:pPr>
      <w:r>
        <w:rPr>
          <w:rFonts w:ascii="Times New Roman" w:eastAsia="Times New Roman" w:hAnsi="Times New Roman" w:cs="Times New Roman"/>
          <w:color w:val="000000"/>
          <w:spacing w:val="0"/>
          <w:w w:val="100"/>
          <w:position w:val="0"/>
        </w:rPr>
        <w:t>-</w:t>
      </w:r>
      <w:r>
        <w:rPr>
          <w:color w:val="000000"/>
          <w:spacing w:val="0"/>
          <w:w w:val="100"/>
          <w:position w:val="0"/>
        </w:rPr>
        <w:t>对于通过企业合并以外的其他方式取得的长期股权投资，在初始确认时，对于以支付现金取得的长期股权投资， 本集团按照实际支付的购买价款作为初始投资成本；对于发行权益性证券取得的长期股权投资，本集团按照发行 权益性证券的公允价值作为初始投资成本。</w:t>
      </w:r>
    </w:p>
    <w:p>
      <w:pPr>
        <w:pStyle w:val="Style20"/>
        <w:keepNext w:val="0"/>
        <w:keepLines w:val="0"/>
        <w:widowControl w:val="0"/>
        <w:numPr>
          <w:ilvl w:val="0"/>
          <w:numId w:val="57"/>
        </w:numPr>
        <w:shd w:val="clear" w:color="auto" w:fill="auto"/>
        <w:tabs>
          <w:tab w:pos="642" w:val="left"/>
        </w:tabs>
        <w:bidi w:val="0"/>
        <w:spacing w:before="0" w:after="40" w:line="235" w:lineRule="exact"/>
        <w:ind w:left="0" w:right="0" w:firstLine="240"/>
        <w:jc w:val="both"/>
      </w:pPr>
      <w:bookmarkStart w:id="608" w:name="bookmark608"/>
      <w:bookmarkEnd w:id="608"/>
      <w:r>
        <w:rPr>
          <w:color w:val="000000"/>
          <w:spacing w:val="0"/>
          <w:w w:val="100"/>
          <w:position w:val="0"/>
        </w:rPr>
        <w:t>长期股权投资后续计量及损益确认方法</w:t>
      </w:r>
    </w:p>
    <w:p>
      <w:pPr>
        <w:pStyle w:val="Style20"/>
        <w:keepNext w:val="0"/>
        <w:keepLines w:val="0"/>
        <w:widowControl w:val="0"/>
        <w:shd w:val="clear" w:color="auto" w:fill="auto"/>
        <w:bidi w:val="0"/>
        <w:spacing w:before="0" w:after="40" w:line="235" w:lineRule="exact"/>
        <w:ind w:left="0" w:right="0" w:firstLine="360"/>
        <w:jc w:val="both"/>
      </w:pPr>
      <w:r>
        <w:rPr>
          <w:rFonts w:ascii="Times New Roman" w:eastAsia="Times New Roman" w:hAnsi="Times New Roman" w:cs="Times New Roman"/>
          <w:color w:val="000000"/>
          <w:spacing w:val="0"/>
          <w:w w:val="100"/>
          <w:position w:val="0"/>
        </w:rPr>
        <w:t>(a)</w:t>
      </w:r>
      <w:r>
        <w:rPr>
          <w:color w:val="000000"/>
          <w:spacing w:val="0"/>
          <w:w w:val="100"/>
          <w:position w:val="0"/>
        </w:rPr>
        <w:t>对子公司的投资</w:t>
      </w:r>
    </w:p>
    <w:p>
      <w:pPr>
        <w:pStyle w:val="Style20"/>
        <w:keepNext w:val="0"/>
        <w:keepLines w:val="0"/>
        <w:widowControl w:val="0"/>
        <w:shd w:val="clear" w:color="auto" w:fill="auto"/>
        <w:bidi w:val="0"/>
        <w:spacing w:before="0" w:after="280" w:line="235" w:lineRule="exact"/>
        <w:ind w:left="580" w:right="0" w:firstLine="0"/>
        <w:jc w:val="both"/>
      </w:pPr>
      <w:r>
        <w:rPr>
          <w:color w:val="000000"/>
          <w:spacing w:val="0"/>
          <w:w w:val="100"/>
          <w:position w:val="0"/>
        </w:rPr>
        <w:t>在本公司个别财务报表中，本公司采用成本法对子公司的长期股权投资进行后续计量。对被投资单位宣告分派的现金 股利或利润由本公司享有的部分确认为当期投资收益，但取得投资时实际支付的价款或对价中包含的已宣告但尚未发 放的现金股利或利润除外。</w:t>
      </w:r>
    </w:p>
    <w:p>
      <w:pPr>
        <w:pStyle w:val="Style20"/>
        <w:keepNext w:val="0"/>
        <w:keepLines w:val="0"/>
        <w:widowControl w:val="0"/>
        <w:shd w:val="clear" w:color="auto" w:fill="auto"/>
        <w:bidi w:val="0"/>
        <w:spacing w:before="0" w:after="40" w:line="235" w:lineRule="exact"/>
        <w:ind w:left="0" w:right="0" w:firstLine="580"/>
        <w:jc w:val="both"/>
      </w:pPr>
      <w:r>
        <w:rPr>
          <w:color w:val="000000"/>
          <w:spacing w:val="0"/>
          <w:w w:val="100"/>
          <w:position w:val="0"/>
        </w:rPr>
        <w:t>对子公司的投资按照成本减去减值准备后在资产负债表内列示。</w:t>
      </w:r>
    </w:p>
    <w:p>
      <w:pPr>
        <w:pStyle w:val="Style20"/>
        <w:keepNext w:val="0"/>
        <w:keepLines w:val="0"/>
        <w:widowControl w:val="0"/>
        <w:shd w:val="clear" w:color="auto" w:fill="auto"/>
        <w:bidi w:val="0"/>
        <w:spacing w:before="0" w:after="40" w:line="235" w:lineRule="exact"/>
        <w:ind w:left="0" w:right="0" w:firstLine="580"/>
        <w:jc w:val="both"/>
      </w:pPr>
      <w:r>
        <w:rPr>
          <w:color w:val="000000"/>
          <w:spacing w:val="0"/>
          <w:w w:val="100"/>
          <w:position w:val="0"/>
        </w:rPr>
        <w:t>对子公司投资的减值测试方法及减值准备计提方法参见附注五、</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20"/>
        <w:keepNext w:val="0"/>
        <w:keepLines w:val="0"/>
        <w:widowControl w:val="0"/>
        <w:shd w:val="clear" w:color="auto" w:fill="auto"/>
        <w:bidi w:val="0"/>
        <w:spacing w:before="0" w:after="40" w:line="235" w:lineRule="exact"/>
        <w:ind w:left="0" w:right="0" w:firstLine="580"/>
        <w:jc w:val="both"/>
      </w:pPr>
      <w:r>
        <w:rPr>
          <w:color w:val="000000"/>
          <w:spacing w:val="0"/>
          <w:w w:val="100"/>
          <w:position w:val="0"/>
        </w:rPr>
        <w:t>在本集团合并财务报表中，对子公司按附注五、</w:t>
      </w:r>
      <w:r>
        <w:rPr>
          <w:rFonts w:ascii="Times New Roman" w:eastAsia="Times New Roman" w:hAnsi="Times New Roman" w:cs="Times New Roman"/>
          <w:color w:val="000000"/>
          <w:spacing w:val="0"/>
          <w:w w:val="100"/>
          <w:position w:val="0"/>
        </w:rPr>
        <w:t>6</w:t>
      </w:r>
      <w:r>
        <w:rPr>
          <w:color w:val="000000"/>
          <w:spacing w:val="0"/>
          <w:w w:val="100"/>
          <w:position w:val="0"/>
        </w:rPr>
        <w:t>进行处理。</w:t>
      </w:r>
    </w:p>
    <w:p>
      <w:pPr>
        <w:pStyle w:val="Style20"/>
        <w:keepNext w:val="0"/>
        <w:keepLines w:val="0"/>
        <w:widowControl w:val="0"/>
        <w:pBdr>
          <w:top w:val="single" w:sz="4" w:space="0" w:color="auto"/>
        </w:pBdr>
        <w:shd w:val="clear" w:color="auto" w:fill="auto"/>
        <w:bidi w:val="0"/>
        <w:spacing w:before="0" w:after="0" w:line="234" w:lineRule="exact"/>
        <w:ind w:left="0" w:right="0" w:firstLine="320"/>
        <w:jc w:val="both"/>
      </w:pPr>
      <w:r>
        <w:rPr>
          <w:rFonts w:ascii="Times New Roman" w:eastAsia="Times New Roman" w:hAnsi="Times New Roman" w:cs="Times New Roman"/>
          <w:color w:val="000000"/>
          <w:spacing w:val="0"/>
          <w:w w:val="100"/>
          <w:position w:val="0"/>
        </w:rPr>
        <w:t>(b)</w:t>
      </w:r>
      <w:r>
        <w:rPr>
          <w:color w:val="000000"/>
          <w:spacing w:val="0"/>
          <w:w w:val="100"/>
          <w:position w:val="0"/>
        </w:rPr>
        <w:t>对合营企业和联营企业的投资</w:t>
      </w:r>
    </w:p>
    <w:p>
      <w:pPr>
        <w:pStyle w:val="Style20"/>
        <w:keepNext w:val="0"/>
        <w:keepLines w:val="0"/>
        <w:widowControl w:val="0"/>
        <w:shd w:val="clear" w:color="auto" w:fill="auto"/>
        <w:bidi w:val="0"/>
        <w:spacing w:before="0" w:after="0" w:line="245" w:lineRule="exact"/>
        <w:ind w:left="500" w:right="0" w:firstLine="20"/>
        <w:jc w:val="both"/>
      </w:pPr>
      <w:r>
        <w:rPr>
          <w:color w:val="000000"/>
          <w:spacing w:val="0"/>
          <w:w w:val="100"/>
          <w:position w:val="0"/>
        </w:rPr>
        <w:t>合营企业指本集团与其他合营方共同控制</w:t>
      </w:r>
      <w:r>
        <w:rPr>
          <w:color w:val="000000"/>
          <w:spacing w:val="0"/>
          <w:w w:val="100"/>
          <w:position w:val="0"/>
        </w:rPr>
        <w:t>(</w:t>
      </w:r>
      <w:r>
        <w:rPr>
          <w:color w:val="000000"/>
          <w:spacing w:val="0"/>
          <w:w w:val="100"/>
          <w:position w:val="0"/>
        </w:rPr>
        <w:t>参见附注五、</w:t>
      </w:r>
      <w:r>
        <w:rPr>
          <w:rFonts w:ascii="Times New Roman" w:eastAsia="Times New Roman" w:hAnsi="Times New Roman" w:cs="Times New Roman"/>
          <w:color w:val="000000"/>
          <w:spacing w:val="0"/>
          <w:w w:val="100"/>
          <w:position w:val="0"/>
        </w:rPr>
        <w:t>13(3))</w:t>
      </w:r>
      <w:r>
        <w:rPr>
          <w:color w:val="000000"/>
          <w:spacing w:val="0"/>
          <w:w w:val="100"/>
          <w:position w:val="0"/>
        </w:rPr>
        <w:t>且仅对其净资产享有权利的一项安排。本年报告期内， 本集团没有合营企业。</w:t>
      </w:r>
    </w:p>
    <w:p>
      <w:pPr>
        <w:pStyle w:val="Style20"/>
        <w:keepNext w:val="0"/>
        <w:keepLines w:val="0"/>
        <w:widowControl w:val="0"/>
        <w:shd w:val="clear" w:color="auto" w:fill="auto"/>
        <w:bidi w:val="0"/>
        <w:spacing w:before="0" w:after="0" w:line="245" w:lineRule="exact"/>
        <w:ind w:left="0" w:right="0" w:firstLine="500"/>
        <w:jc w:val="both"/>
      </w:pPr>
      <w:r>
        <w:rPr>
          <w:color w:val="000000"/>
          <w:spacing w:val="0"/>
          <w:w w:val="100"/>
          <w:position w:val="0"/>
        </w:rPr>
        <w:t>联营企业指本集团能够对其施加重大影响</w:t>
      </w:r>
      <w:r>
        <w:rPr>
          <w:color w:val="000000"/>
          <w:spacing w:val="0"/>
          <w:w w:val="100"/>
          <w:position w:val="0"/>
        </w:rPr>
        <w:t>(</w:t>
      </w:r>
      <w:r>
        <w:rPr>
          <w:color w:val="000000"/>
          <w:spacing w:val="0"/>
          <w:w w:val="100"/>
          <w:position w:val="0"/>
        </w:rPr>
        <w:t>参见附注五、</w:t>
      </w:r>
      <w:r>
        <w:rPr>
          <w:rFonts w:ascii="Times New Roman" w:eastAsia="Times New Roman" w:hAnsi="Times New Roman" w:cs="Times New Roman"/>
          <w:color w:val="000000"/>
          <w:spacing w:val="0"/>
          <w:w w:val="100"/>
          <w:position w:val="0"/>
        </w:rPr>
        <w:t>13(3))</w:t>
      </w:r>
      <w:r>
        <w:rPr>
          <w:color w:val="000000"/>
          <w:spacing w:val="0"/>
          <w:w w:val="100"/>
          <w:position w:val="0"/>
        </w:rPr>
        <w:t>的企业。</w:t>
      </w:r>
    </w:p>
    <w:p>
      <w:pPr>
        <w:pStyle w:val="Style20"/>
        <w:keepNext w:val="0"/>
        <w:keepLines w:val="0"/>
        <w:widowControl w:val="0"/>
        <w:shd w:val="clear" w:color="auto" w:fill="auto"/>
        <w:bidi w:val="0"/>
        <w:spacing w:before="0" w:after="0" w:line="234" w:lineRule="exact"/>
        <w:ind w:left="0" w:right="0" w:firstLine="500"/>
        <w:jc w:val="both"/>
      </w:pPr>
      <w:r>
        <w:rPr>
          <w:color w:val="000000"/>
          <w:spacing w:val="0"/>
          <w:w w:val="100"/>
          <w:position w:val="0"/>
        </w:rPr>
        <w:t>后续计量时，对合营企业和联营企业的长期股权投资采用权益法核算。</w:t>
      </w:r>
    </w:p>
    <w:p>
      <w:pPr>
        <w:pStyle w:val="Style20"/>
        <w:keepNext w:val="0"/>
        <w:keepLines w:val="0"/>
        <w:widowControl w:val="0"/>
        <w:shd w:val="clear" w:color="auto" w:fill="auto"/>
        <w:bidi w:val="0"/>
        <w:spacing w:before="0" w:after="0" w:line="234" w:lineRule="exact"/>
        <w:ind w:left="0" w:right="0" w:firstLine="500"/>
        <w:jc w:val="both"/>
      </w:pPr>
      <w:r>
        <w:rPr>
          <w:color w:val="000000"/>
          <w:spacing w:val="0"/>
          <w:w w:val="100"/>
          <w:position w:val="0"/>
        </w:rPr>
        <w:t>本集团在采用权益法核算时的具体会计处理包括：</w:t>
      </w:r>
    </w:p>
    <w:p>
      <w:pPr>
        <w:pStyle w:val="Style20"/>
        <w:keepNext w:val="0"/>
        <w:keepLines w:val="0"/>
        <w:widowControl w:val="0"/>
        <w:shd w:val="clear" w:color="auto" w:fill="auto"/>
        <w:bidi w:val="0"/>
        <w:spacing w:before="0" w:after="0" w:line="230" w:lineRule="exact"/>
        <w:ind w:left="820" w:right="0" w:hanging="300"/>
        <w:jc w:val="both"/>
      </w:pPr>
      <w:r>
        <w:rPr>
          <w:rFonts w:ascii="Times New Roman" w:eastAsia="Times New Roman" w:hAnsi="Times New Roman" w:cs="Times New Roman"/>
          <w:color w:val="000000"/>
          <w:spacing w:val="0"/>
          <w:w w:val="100"/>
          <w:position w:val="0"/>
        </w:rPr>
        <w:t>-</w:t>
      </w:r>
      <w:r>
        <w:rPr>
          <w:color w:val="000000"/>
          <w:spacing w:val="0"/>
          <w:w w:val="100"/>
          <w:position w:val="0"/>
        </w:rPr>
        <w:t>对于长期股权投资的初始投资成本大于投资时应享有被投资单位可辨认净资产公允价值份额的，以前者作为长期 股权投资的成本；对于长期股权投资的初始投资成本小于投资时应享有被投资单位可辨认净资产公允价值份额的， 以后者作为长期股权投资的成本，长期股权投资的成本与初始投资成本的差额计入当期损益。</w:t>
      </w:r>
    </w:p>
    <w:p>
      <w:pPr>
        <w:pStyle w:val="Style20"/>
        <w:keepNext w:val="0"/>
        <w:keepLines w:val="0"/>
        <w:widowControl w:val="0"/>
        <w:shd w:val="clear" w:color="auto" w:fill="auto"/>
        <w:bidi w:val="0"/>
        <w:spacing w:before="0" w:after="0" w:line="235" w:lineRule="exact"/>
        <w:ind w:left="820" w:right="0" w:hanging="300"/>
        <w:jc w:val="both"/>
      </w:pPr>
      <w:r>
        <w:rPr>
          <w:rFonts w:ascii="Times New Roman" w:eastAsia="Times New Roman" w:hAnsi="Times New Roman" w:cs="Times New Roman"/>
          <w:color w:val="000000"/>
          <w:spacing w:val="0"/>
          <w:w w:val="100"/>
          <w:position w:val="0"/>
        </w:rPr>
        <w:t>-</w:t>
      </w:r>
      <w:r>
        <w:rPr>
          <w:color w:val="000000"/>
          <w:spacing w:val="0"/>
          <w:w w:val="100"/>
          <w:position w:val="0"/>
        </w:rPr>
        <w:t>取得对合营企业和联营企业投资后，本集团按照应享有或应分担的被投资单位实现的净损益和其他综合收益的份 额，分别确认投资损益和其他综合收益并调整长期股权投资的账面价值；按照被投资单位宣告分派的利润或现金 股利计算应分得的部分，相应减少长期股权投资的账面价值。对合营企业或联营企业除净损益、其他综合收益和 利润分配以外所有者权益的其他变动</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其他所有者权益变动</w:t>
      </w:r>
      <w:r>
        <w:rPr>
          <w:rFonts w:ascii="Times New Roman" w:eastAsia="Times New Roman" w:hAnsi="Times New Roman" w:cs="Times New Roman"/>
          <w:color w:val="000000"/>
          <w:spacing w:val="0"/>
          <w:w w:val="100"/>
          <w:position w:val="0"/>
        </w:rPr>
        <w:t>”)</w:t>
      </w:r>
      <w:r>
        <w:rPr>
          <w:color w:val="000000"/>
          <w:spacing w:val="0"/>
          <w:w w:val="100"/>
          <w:position w:val="0"/>
        </w:rPr>
        <w:t>，本集团按照应享有或应分担的份额计入 股东权益，并同时调整长期股权投资的账面价值。</w:t>
      </w:r>
    </w:p>
    <w:p>
      <w:pPr>
        <w:pStyle w:val="Style20"/>
        <w:keepNext w:val="0"/>
        <w:keepLines w:val="0"/>
        <w:widowControl w:val="0"/>
        <w:shd w:val="clear" w:color="auto" w:fill="auto"/>
        <w:bidi w:val="0"/>
        <w:spacing w:before="0" w:after="0" w:line="234" w:lineRule="exact"/>
        <w:ind w:left="820" w:right="0" w:hanging="300"/>
        <w:jc w:val="both"/>
      </w:pPr>
      <w:r>
        <w:rPr>
          <w:rFonts w:ascii="Times New Roman" w:eastAsia="Times New Roman" w:hAnsi="Times New Roman" w:cs="Times New Roman"/>
          <w:color w:val="000000"/>
          <w:spacing w:val="0"/>
          <w:w w:val="100"/>
          <w:position w:val="0"/>
        </w:rPr>
        <w:t>-</w:t>
      </w:r>
      <w:r>
        <w:rPr>
          <w:color w:val="000000"/>
          <w:spacing w:val="0"/>
          <w:w w:val="100"/>
          <w:position w:val="0"/>
        </w:rPr>
        <w:t>在计算应享有或应分担的被投资单位实现的净损益、其他综合收益及其他所有者权益变动的份额时，本集团以取 得投资时被投资单位可辨认净资产公允价值为基础，按照本集团的会计政策或会计期间进行必要调整后确认投资 收益和其他综合收益等。本集团与联营企业及合营企业之间内部交易产生的未实现损益按照应享有的比例计算归 属于本集团的部分，在权益法核算时予以抵销。内部交易产生的未实现损失，有证据表明该损失是相关资产减值 损失的，则全额确认该损失。</w:t>
      </w:r>
    </w:p>
    <w:p>
      <w:pPr>
        <w:pStyle w:val="Style20"/>
        <w:keepNext w:val="0"/>
        <w:keepLines w:val="0"/>
        <w:widowControl w:val="0"/>
        <w:shd w:val="clear" w:color="auto" w:fill="auto"/>
        <w:bidi w:val="0"/>
        <w:spacing w:before="0" w:after="0" w:line="235" w:lineRule="exact"/>
        <w:ind w:left="820" w:right="0" w:hanging="300"/>
        <w:jc w:val="both"/>
      </w:pPr>
      <w:r>
        <w:rPr>
          <w:rFonts w:ascii="Times New Roman" w:eastAsia="Times New Roman" w:hAnsi="Times New Roman" w:cs="Times New Roman"/>
          <w:color w:val="000000"/>
          <w:spacing w:val="0"/>
          <w:w w:val="100"/>
          <w:position w:val="0"/>
        </w:rPr>
        <w:t>-</w:t>
      </w:r>
      <w:r>
        <w:rPr>
          <w:color w:val="000000"/>
          <w:spacing w:val="0"/>
          <w:w w:val="100"/>
          <w:position w:val="0"/>
        </w:rPr>
        <w:t>本集团对合营企业或联营企业发生的净亏损，除本集团负有承担额外损失义务外，以长期股权投资的账面价值以 及其他实质上构成对合营企业或联营企业净投资的长期权益减记至零为限。合营企业或联营企业以后实现净利润 的，本集团在收益分享额弥补未确认的亏损分担额后，恢复确认收益分享额。</w:t>
      </w:r>
    </w:p>
    <w:p>
      <w:pPr>
        <w:pStyle w:val="Style20"/>
        <w:keepNext w:val="0"/>
        <w:keepLines w:val="0"/>
        <w:widowControl w:val="0"/>
        <w:shd w:val="clear" w:color="auto" w:fill="auto"/>
        <w:bidi w:val="0"/>
        <w:spacing w:before="0" w:after="0" w:line="234" w:lineRule="exact"/>
        <w:ind w:left="0" w:right="0" w:firstLine="500"/>
        <w:jc w:val="both"/>
      </w:pPr>
      <w:r>
        <w:rPr>
          <w:color w:val="000000"/>
          <w:spacing w:val="0"/>
          <w:w w:val="100"/>
          <w:position w:val="0"/>
        </w:rPr>
        <w:t>本集团对合营企业和联营企业投资的减值测试方法及减值准备计提方法参见附注五、</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20"/>
        <w:keepNext w:val="0"/>
        <w:keepLines w:val="0"/>
        <w:widowControl w:val="0"/>
        <w:numPr>
          <w:ilvl w:val="0"/>
          <w:numId w:val="57"/>
        </w:numPr>
        <w:shd w:val="clear" w:color="auto" w:fill="auto"/>
        <w:bidi w:val="0"/>
        <w:spacing w:before="0" w:after="0" w:line="234" w:lineRule="exact"/>
        <w:ind w:left="0" w:right="0" w:firstLine="200"/>
        <w:jc w:val="both"/>
      </w:pPr>
      <w:bookmarkStart w:id="609" w:name="bookmark609"/>
      <w:bookmarkEnd w:id="609"/>
      <w:r>
        <w:rPr>
          <w:color w:val="000000"/>
          <w:spacing w:val="0"/>
          <w:w w:val="100"/>
          <w:position w:val="0"/>
        </w:rPr>
        <w:t>确定对被投资单位具有共同控制、重大影响的判断标准</w:t>
      </w:r>
    </w:p>
    <w:p>
      <w:pPr>
        <w:pStyle w:val="Style20"/>
        <w:keepNext w:val="0"/>
        <w:keepLines w:val="0"/>
        <w:widowControl w:val="0"/>
        <w:shd w:val="clear" w:color="auto" w:fill="auto"/>
        <w:bidi w:val="0"/>
        <w:spacing w:before="0" w:after="0" w:line="230" w:lineRule="exact"/>
        <w:ind w:left="500" w:right="0" w:firstLine="20"/>
        <w:jc w:val="both"/>
      </w:pPr>
      <w:r>
        <w:rPr>
          <w:color w:val="000000"/>
          <w:spacing w:val="0"/>
          <w:w w:val="100"/>
          <w:position w:val="0"/>
        </w:rPr>
        <w:t>共同控制指按照相关约定对某项安排所共有的控制，并且该安排的相关活动</w:t>
      </w:r>
      <w:r>
        <w:rPr>
          <w:color w:val="000000"/>
          <w:spacing w:val="0"/>
          <w:w w:val="100"/>
          <w:position w:val="0"/>
        </w:rPr>
        <w:t>(</w:t>
      </w:r>
      <w:r>
        <w:rPr>
          <w:color w:val="000000"/>
          <w:spacing w:val="0"/>
          <w:w w:val="100"/>
          <w:position w:val="0"/>
        </w:rPr>
        <w:t>即对安排的回报产生重大影响的活动</w:t>
      </w:r>
      <w:r>
        <w:rPr>
          <w:rFonts w:ascii="Times New Roman" w:eastAsia="Times New Roman" w:hAnsi="Times New Roman" w:cs="Times New Roman"/>
          <w:color w:val="000000"/>
          <w:spacing w:val="0"/>
          <w:w w:val="100"/>
          <w:position w:val="0"/>
        </w:rPr>
        <w:t xml:space="preserve">) </w:t>
      </w:r>
      <w:r>
        <w:rPr>
          <w:color w:val="000000"/>
          <w:spacing w:val="0"/>
          <w:w w:val="100"/>
          <w:position w:val="0"/>
        </w:rPr>
        <w:t>必须经过分享控制权的参与方一致同意后才能决策。</w:t>
      </w:r>
    </w:p>
    <w:p>
      <w:pPr>
        <w:pStyle w:val="Style20"/>
        <w:keepNext w:val="0"/>
        <w:keepLines w:val="0"/>
        <w:widowControl w:val="0"/>
        <w:shd w:val="clear" w:color="auto" w:fill="auto"/>
        <w:bidi w:val="0"/>
        <w:spacing w:before="0" w:after="0" w:line="234" w:lineRule="exact"/>
        <w:ind w:left="500" w:right="0" w:firstLine="20"/>
        <w:jc w:val="both"/>
      </w:pPr>
      <w:r>
        <w:rPr>
          <w:color w:val="000000"/>
          <w:spacing w:val="0"/>
          <w:w w:val="100"/>
          <w:position w:val="0"/>
        </w:rPr>
        <w:t>本集团在判断对被投资单位是否存在共同控制时，通常考虑下述事项：</w:t>
      </w:r>
    </w:p>
    <w:p>
      <w:pPr>
        <w:pStyle w:val="Style20"/>
        <w:keepNext w:val="0"/>
        <w:keepLines w:val="0"/>
        <w:widowControl w:val="0"/>
        <w:shd w:val="clear" w:color="auto" w:fill="auto"/>
        <w:bidi w:val="0"/>
        <w:spacing w:before="0" w:after="0" w:line="234" w:lineRule="exact"/>
        <w:ind w:left="0" w:right="0" w:firstLine="500"/>
        <w:jc w:val="both"/>
      </w:pPr>
      <w:r>
        <w:rPr>
          <w:rFonts w:ascii="Times New Roman" w:eastAsia="Times New Roman" w:hAnsi="Times New Roman" w:cs="Times New Roman"/>
          <w:color w:val="000000"/>
          <w:spacing w:val="0"/>
          <w:w w:val="100"/>
          <w:position w:val="0"/>
        </w:rPr>
        <w:t>-</w:t>
      </w:r>
      <w:r>
        <w:rPr>
          <w:color w:val="000000"/>
          <w:spacing w:val="0"/>
          <w:w w:val="100"/>
          <w:position w:val="0"/>
        </w:rPr>
        <w:t>是否任何一个参与方均不能单独控制被投资单位的相关活动；</w:t>
      </w:r>
    </w:p>
    <w:p>
      <w:pPr>
        <w:pStyle w:val="Style20"/>
        <w:keepNext w:val="0"/>
        <w:keepLines w:val="0"/>
        <w:widowControl w:val="0"/>
        <w:shd w:val="clear" w:color="auto" w:fill="auto"/>
        <w:bidi w:val="0"/>
        <w:spacing w:before="0" w:after="0" w:line="234" w:lineRule="exact"/>
        <w:ind w:left="0" w:right="0" w:firstLine="500"/>
        <w:jc w:val="both"/>
      </w:pPr>
      <w:r>
        <w:rPr>
          <w:rFonts w:ascii="Times New Roman" w:eastAsia="Times New Roman" w:hAnsi="Times New Roman" w:cs="Times New Roman"/>
          <w:color w:val="000000"/>
          <w:spacing w:val="0"/>
          <w:w w:val="100"/>
          <w:position w:val="0"/>
        </w:rPr>
        <w:t>-</w:t>
      </w:r>
      <w:r>
        <w:rPr>
          <w:color w:val="000000"/>
          <w:spacing w:val="0"/>
          <w:w w:val="100"/>
          <w:position w:val="0"/>
        </w:rPr>
        <w:t>涉及被投资单位相关活动的决策是否需要分享控制权参与方一致同意。</w:t>
      </w:r>
    </w:p>
    <w:p>
      <w:pPr>
        <w:pStyle w:val="Style20"/>
        <w:keepNext w:val="0"/>
        <w:keepLines w:val="0"/>
        <w:widowControl w:val="0"/>
        <w:shd w:val="clear" w:color="auto" w:fill="auto"/>
        <w:bidi w:val="0"/>
        <w:spacing w:before="0" w:after="320" w:line="240" w:lineRule="exact"/>
        <w:ind w:left="500" w:right="0" w:firstLine="20"/>
        <w:jc w:val="both"/>
      </w:pPr>
      <w:r>
        <w:rPr>
          <w:color w:val="000000"/>
          <w:spacing w:val="0"/>
          <w:w w:val="100"/>
          <w:position w:val="0"/>
        </w:rPr>
        <w:t>重大影响指本集团对被投资单位的财务和经营政策有参与决策的权力，但并不能够控制或者与其他方一起共同控制这 些政策的制定。</w:t>
      </w:r>
    </w:p>
    <w:p>
      <w:pPr>
        <w:pStyle w:val="Style20"/>
        <w:keepNext w:val="0"/>
        <w:keepLines w:val="0"/>
        <w:widowControl w:val="0"/>
        <w:shd w:val="clear" w:color="auto" w:fill="auto"/>
        <w:bidi w:val="0"/>
        <w:spacing w:before="0" w:after="80" w:line="234" w:lineRule="exact"/>
        <w:ind w:left="0" w:right="0" w:firstLine="0"/>
        <w:jc w:val="left"/>
      </w:pPr>
      <w:bookmarkStart w:id="610" w:name="bookmark610"/>
      <w:r>
        <w:rPr>
          <w:rFonts w:ascii="Times New Roman" w:eastAsia="Times New Roman" w:hAnsi="Times New Roman" w:cs="Times New Roman"/>
          <w:color w:val="000000"/>
          <w:spacing w:val="0"/>
          <w:w w:val="100"/>
          <w:position w:val="0"/>
        </w:rPr>
        <w:t>1</w:t>
      </w:r>
      <w:bookmarkEnd w:id="610"/>
      <w:r>
        <w:rPr>
          <w:rFonts w:ascii="Times New Roman" w:eastAsia="Times New Roman" w:hAnsi="Times New Roman" w:cs="Times New Roman"/>
          <w:color w:val="000000"/>
          <w:spacing w:val="0"/>
          <w:w w:val="100"/>
          <w:position w:val="0"/>
        </w:rPr>
        <w:t>4</w:t>
      </w:r>
      <w:r>
        <w:rPr>
          <w:color w:val="000000"/>
          <w:spacing w:val="0"/>
          <w:w w:val="100"/>
          <w:position w:val="0"/>
        </w:rPr>
        <w:t>、固定资产</w:t>
      </w:r>
    </w:p>
    <w:p>
      <w:pPr>
        <w:pStyle w:val="Style20"/>
        <w:keepNext w:val="0"/>
        <w:keepLines w:val="0"/>
        <w:widowControl w:val="0"/>
        <w:numPr>
          <w:ilvl w:val="0"/>
          <w:numId w:val="61"/>
        </w:numPr>
        <w:shd w:val="clear" w:color="auto" w:fill="auto"/>
        <w:bidi w:val="0"/>
        <w:spacing w:before="0" w:after="0" w:line="234" w:lineRule="exact"/>
        <w:ind w:left="0" w:right="0" w:firstLine="200"/>
        <w:jc w:val="left"/>
      </w:pPr>
      <w:bookmarkStart w:id="611" w:name="bookmark611"/>
      <w:bookmarkEnd w:id="611"/>
      <w:r>
        <w:rPr>
          <w:color w:val="000000"/>
          <w:spacing w:val="0"/>
          <w:w w:val="100"/>
          <w:position w:val="0"/>
        </w:rPr>
        <w:t>固定资产确认条件</w:t>
      </w:r>
    </w:p>
    <w:p>
      <w:pPr>
        <w:pStyle w:val="Style20"/>
        <w:keepNext w:val="0"/>
        <w:keepLines w:val="0"/>
        <w:widowControl w:val="0"/>
        <w:shd w:val="clear" w:color="auto" w:fill="auto"/>
        <w:bidi w:val="0"/>
        <w:spacing w:before="0" w:after="0" w:line="234" w:lineRule="exact"/>
        <w:ind w:left="0" w:right="0" w:firstLine="500"/>
        <w:jc w:val="left"/>
      </w:pPr>
      <w:r>
        <w:rPr>
          <w:color w:val="000000"/>
          <w:spacing w:val="0"/>
          <w:w w:val="100"/>
          <w:position w:val="0"/>
        </w:rPr>
        <w:t>固定资产指本集团为提供劳务、出租或经营管理而持有的，使用寿命超过一个会计年度的有形资产。</w:t>
      </w:r>
    </w:p>
    <w:p>
      <w:pPr>
        <w:pStyle w:val="Style20"/>
        <w:keepNext w:val="0"/>
        <w:keepLines w:val="0"/>
        <w:widowControl w:val="0"/>
        <w:shd w:val="clear" w:color="auto" w:fill="auto"/>
        <w:bidi w:val="0"/>
        <w:spacing w:before="0" w:after="0" w:line="230" w:lineRule="exact"/>
        <w:ind w:left="500" w:right="0" w:firstLine="20"/>
        <w:jc w:val="both"/>
      </w:pPr>
      <w:r>
        <w:rPr>
          <w:color w:val="000000"/>
          <w:spacing w:val="0"/>
          <w:w w:val="100"/>
          <w:position w:val="0"/>
        </w:rPr>
        <w:t>外购固定资产的初始成本包括购买价款、相关税费以及使该资产达到预定可使用状态前所发生的可归属于该项资产的 支出。自行建造固定资产按附注五、</w:t>
      </w:r>
      <w:r>
        <w:rPr>
          <w:rFonts w:ascii="Times New Roman" w:eastAsia="Times New Roman" w:hAnsi="Times New Roman" w:cs="Times New Roman"/>
          <w:color w:val="000000"/>
          <w:spacing w:val="0"/>
          <w:w w:val="100"/>
          <w:position w:val="0"/>
        </w:rPr>
        <w:t>15</w:t>
      </w:r>
      <w:r>
        <w:rPr>
          <w:color w:val="000000"/>
          <w:spacing w:val="0"/>
          <w:w w:val="100"/>
          <w:position w:val="0"/>
        </w:rPr>
        <w:t>确定初始成本。</w:t>
      </w:r>
    </w:p>
    <w:p>
      <w:pPr>
        <w:pStyle w:val="Style20"/>
        <w:keepNext w:val="0"/>
        <w:keepLines w:val="0"/>
        <w:widowControl w:val="0"/>
        <w:shd w:val="clear" w:color="auto" w:fill="auto"/>
        <w:bidi w:val="0"/>
        <w:spacing w:before="0" w:after="0" w:line="230" w:lineRule="exact"/>
        <w:ind w:left="500" w:right="0" w:firstLine="20"/>
        <w:jc w:val="both"/>
      </w:pPr>
      <w:r>
        <w:rPr>
          <w:color w:val="000000"/>
          <w:spacing w:val="0"/>
          <w:w w:val="100"/>
          <w:position w:val="0"/>
        </w:rPr>
        <w:t>对于构成固定资产的各组成部分，如果各自具有不同使用寿命或者以不同方式为本集团提供经济利益，适用不同折旧 率或折旧方法的，本集团分别将各组成部分确认为单项固定资产。</w:t>
      </w:r>
    </w:p>
    <w:p>
      <w:pPr>
        <w:pStyle w:val="Style20"/>
        <w:keepNext w:val="0"/>
        <w:keepLines w:val="0"/>
        <w:widowControl w:val="0"/>
        <w:shd w:val="clear" w:color="auto" w:fill="auto"/>
        <w:bidi w:val="0"/>
        <w:spacing w:before="0" w:after="0" w:line="230" w:lineRule="exact"/>
        <w:ind w:left="500" w:right="0" w:firstLine="20"/>
        <w:jc w:val="both"/>
      </w:pPr>
      <w:r>
        <w:rPr>
          <w:color w:val="000000"/>
          <w:spacing w:val="0"/>
          <w:w w:val="100"/>
          <w:position w:val="0"/>
        </w:rPr>
        <w:t>对于固定资产的后续支出，包括与更换固定资产某组成部分相关的支出，在与支出相关的经济利益很可能流入本集团 时资本化计入固定资产成本，同时将被替换部分的账面价值扣除；与固定资产日常维护相关的支出在发生时计入当期 损益。</w:t>
      </w:r>
    </w:p>
    <w:p>
      <w:pPr>
        <w:pStyle w:val="Style20"/>
        <w:keepNext w:val="0"/>
        <w:keepLines w:val="0"/>
        <w:widowControl w:val="0"/>
        <w:shd w:val="clear" w:color="auto" w:fill="auto"/>
        <w:bidi w:val="0"/>
        <w:spacing w:before="0" w:after="0" w:line="234" w:lineRule="exact"/>
        <w:ind w:left="0" w:right="0" w:firstLine="500"/>
        <w:jc w:val="both"/>
      </w:pPr>
      <w:r>
        <w:rPr>
          <w:color w:val="000000"/>
          <w:spacing w:val="0"/>
          <w:w w:val="100"/>
          <w:position w:val="0"/>
        </w:rPr>
        <w:t>固定资产以成本减累计折旧及减值准备后在资产负债表内列示。</w:t>
      </w:r>
    </w:p>
    <w:p>
      <w:pPr>
        <w:pStyle w:val="Style20"/>
        <w:keepNext w:val="0"/>
        <w:keepLines w:val="0"/>
        <w:widowControl w:val="0"/>
        <w:numPr>
          <w:ilvl w:val="0"/>
          <w:numId w:val="61"/>
        </w:numPr>
        <w:shd w:val="clear" w:color="auto" w:fill="auto"/>
        <w:bidi w:val="0"/>
        <w:spacing w:before="0" w:after="0" w:line="234" w:lineRule="exact"/>
        <w:ind w:left="0" w:right="0" w:firstLine="0"/>
        <w:jc w:val="both"/>
      </w:pPr>
      <w:bookmarkStart w:id="612" w:name="bookmark612"/>
      <w:bookmarkEnd w:id="612"/>
      <w:r>
        <w:rPr>
          <w:color w:val="000000"/>
          <w:spacing w:val="0"/>
          <w:w w:val="100"/>
          <w:position w:val="0"/>
        </w:rPr>
        <w:t>固定资产的折旧方法</w:t>
      </w:r>
    </w:p>
    <w:p>
      <w:pPr>
        <w:pStyle w:val="Style20"/>
        <w:keepNext w:val="0"/>
        <w:keepLines w:val="0"/>
        <w:widowControl w:val="0"/>
        <w:shd w:val="clear" w:color="auto" w:fill="auto"/>
        <w:bidi w:val="0"/>
        <w:spacing w:before="0" w:after="0" w:line="230" w:lineRule="exact"/>
        <w:ind w:left="0" w:right="0" w:firstLine="0"/>
        <w:jc w:val="both"/>
      </w:pPr>
      <w:r>
        <w:rPr>
          <w:color w:val="000000"/>
          <w:spacing w:val="0"/>
          <w:w w:val="100"/>
          <w:position w:val="0"/>
        </w:rPr>
        <w:t>本集团将固定资产的成本扣除预计净残值和累计减值准备后在其使用寿命内按年限平均法计提折旧。各类固定资产的使用 寿命、残值率和年折旧率分别为：</w:t>
      </w:r>
    </w:p>
    <w:tbl>
      <w:tblPr>
        <w:tblOverlap w:val="never"/>
        <w:jc w:val="center"/>
        <w:tblLayout w:type="fixed"/>
      </w:tblPr>
      <w:tblGrid>
        <w:gridCol w:w="3235"/>
        <w:gridCol w:w="1987"/>
        <w:gridCol w:w="1982"/>
        <w:gridCol w:w="1992"/>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类别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使用寿命</w:t>
            </w:r>
            <w:r>
              <w:rPr>
                <w:color w:val="000000"/>
                <w:spacing w:val="0"/>
                <w:w w:val="100"/>
                <w:position w:val="0"/>
              </w:rPr>
              <w:t>(</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残值率</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年折旧率</w:t>
            </w:r>
            <w:r>
              <w:rPr>
                <w:rFonts w:ascii="Times New Roman" w:eastAsia="Times New Roman" w:hAnsi="Times New Roman" w:cs="Times New Roman"/>
                <w:color w:val="000000"/>
                <w:spacing w:val="0"/>
                <w:w w:val="100"/>
                <w:position w:val="0"/>
              </w:rPr>
              <w:t>(%)</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10 - 30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0.00% - 5.00%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3.17% - 10.00%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5 - 10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0.00% - 5.00%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9.50% - 20.00%</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0.00% - 5.00%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 - 20.00%</w:t>
            </w:r>
          </w:p>
        </w:tc>
      </w:tr>
    </w:tbl>
    <w:p>
      <w:pPr>
        <w:pStyle w:val="Style20"/>
        <w:keepNext w:val="0"/>
        <w:keepLines w:val="0"/>
        <w:widowControl w:val="0"/>
        <w:pBdr>
          <w:top w:val="single" w:sz="4" w:space="0" w:color="auto"/>
        </w:pBdr>
        <w:shd w:val="clear" w:color="auto" w:fill="auto"/>
        <w:bidi w:val="0"/>
        <w:spacing w:before="0" w:after="40" w:line="240" w:lineRule="auto"/>
        <w:ind w:left="0" w:right="0" w:firstLine="0"/>
        <w:jc w:val="both"/>
      </w:pPr>
      <w:r>
        <w:rPr>
          <w:color w:val="000000"/>
          <w:spacing w:val="0"/>
          <w:w w:val="100"/>
          <w:position w:val="0"/>
        </w:rPr>
        <w:t>本集团至少在每年年度终了对固定资产的使用寿命、预计净残彳</w:t>
      </w:r>
    </w:p>
    <w:p>
      <w:pPr>
        <w:pStyle w:val="Style20"/>
        <w:keepNext w:val="0"/>
        <w:keepLines w:val="0"/>
        <w:widowControl w:val="0"/>
        <w:shd w:val="clear" w:color="auto" w:fill="auto"/>
        <w:bidi w:val="0"/>
        <w:spacing w:before="0" w:after="40" w:line="240" w:lineRule="auto"/>
        <w:ind w:left="0" w:right="0" w:firstLine="0"/>
        <w:jc w:val="both"/>
      </w:pPr>
      <w:bookmarkStart w:id="613" w:name="bookmark613"/>
      <w:r>
        <w:rPr>
          <w:rFonts w:ascii="Times New Roman" w:eastAsia="Times New Roman" w:hAnsi="Times New Roman" w:cs="Times New Roman"/>
          <w:color w:val="000000"/>
          <w:spacing w:val="0"/>
          <w:w w:val="100"/>
          <w:position w:val="0"/>
        </w:rPr>
        <w:t>（</w:t>
      </w:r>
      <w:bookmarkEnd w:id="613"/>
      <w:r>
        <w:rPr>
          <w:rFonts w:ascii="Times New Roman" w:eastAsia="Times New Roman" w:hAnsi="Times New Roman" w:cs="Times New Roman"/>
          <w:color w:val="000000"/>
          <w:spacing w:val="0"/>
          <w:w w:val="100"/>
          <w:position w:val="0"/>
        </w:rPr>
        <w:t>3）</w:t>
      </w:r>
      <w:r>
        <w:rPr>
          <w:color w:val="000000"/>
          <w:spacing w:val="0"/>
          <w:w w:val="100"/>
          <w:position w:val="0"/>
        </w:rPr>
        <w:t>减值测试方法及减值准备计提方法参见附注五、</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20"/>
        <w:keepNext w:val="0"/>
        <w:keepLines w:val="0"/>
        <w:widowControl w:val="0"/>
        <w:shd w:val="clear" w:color="auto" w:fill="auto"/>
        <w:bidi w:val="0"/>
        <w:spacing w:before="0" w:after="40" w:line="240" w:lineRule="auto"/>
        <w:ind w:left="0" w:right="0" w:firstLine="0"/>
        <w:jc w:val="both"/>
      </w:pPr>
      <w:bookmarkStart w:id="614" w:name="bookmark614"/>
      <w:r>
        <w:rPr>
          <w:rFonts w:ascii="Times New Roman" w:eastAsia="Times New Roman" w:hAnsi="Times New Roman" w:cs="Times New Roman"/>
          <w:color w:val="000000"/>
          <w:spacing w:val="0"/>
          <w:w w:val="100"/>
          <w:position w:val="0"/>
        </w:rPr>
        <w:t>（</w:t>
      </w:r>
      <w:bookmarkEnd w:id="614"/>
      <w:r>
        <w:rPr>
          <w:rFonts w:ascii="Times New Roman" w:eastAsia="Times New Roman" w:hAnsi="Times New Roman" w:cs="Times New Roman"/>
          <w:color w:val="000000"/>
          <w:spacing w:val="0"/>
          <w:w w:val="100"/>
          <w:position w:val="0"/>
        </w:rPr>
        <w:t>4）</w:t>
      </w:r>
      <w:r>
        <w:rPr>
          <w:color w:val="000000"/>
          <w:spacing w:val="0"/>
          <w:w w:val="100"/>
          <w:position w:val="0"/>
        </w:rPr>
        <w:t>固定资产处置</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固定资产满足下述条件之一时，本集团会予以终止确认。</w:t>
      </w:r>
    </w:p>
    <w:p>
      <w:pPr>
        <w:pStyle w:val="Style20"/>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固定资产处于处置状态；</w:t>
      </w:r>
    </w:p>
    <w:p>
      <w:pPr>
        <w:pStyle w:val="Style20"/>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该固定资产预期通过使用或处置不能产生经济利益。</w:t>
      </w:r>
    </w:p>
    <w:p>
      <w:pPr>
        <w:pStyle w:val="Style20"/>
        <w:keepNext w:val="0"/>
        <w:keepLines w:val="0"/>
        <w:widowControl w:val="0"/>
        <w:shd w:val="clear" w:color="auto" w:fill="auto"/>
        <w:bidi w:val="0"/>
        <w:spacing w:before="0" w:after="320" w:line="240" w:lineRule="auto"/>
        <w:ind w:left="0" w:right="0" w:firstLine="0"/>
        <w:jc w:val="both"/>
      </w:pPr>
      <w:r>
        <w:rPr>
          <w:color w:val="000000"/>
          <w:spacing w:val="0"/>
          <w:w w:val="100"/>
          <w:position w:val="0"/>
        </w:rPr>
        <w:t>报废或处置固定资产项目所产生的损益为处置所得款项净额与项目账面金额之间的差额，并于报废或处置日在损益中确认。</w:t>
      </w:r>
    </w:p>
    <w:p>
      <w:pPr>
        <w:pStyle w:val="Style20"/>
        <w:keepNext w:val="0"/>
        <w:keepLines w:val="0"/>
        <w:widowControl w:val="0"/>
        <w:shd w:val="clear" w:color="auto" w:fill="auto"/>
        <w:tabs>
          <w:tab w:pos="426" w:val="left"/>
        </w:tabs>
        <w:bidi w:val="0"/>
        <w:spacing w:before="0" w:after="80" w:line="230" w:lineRule="exact"/>
        <w:ind w:left="0" w:right="0" w:firstLine="0"/>
        <w:jc w:val="both"/>
      </w:pPr>
      <w:bookmarkStart w:id="615" w:name="bookmark615"/>
      <w:r>
        <w:rPr>
          <w:rFonts w:ascii="Times New Roman" w:eastAsia="Times New Roman" w:hAnsi="Times New Roman" w:cs="Times New Roman"/>
          <w:color w:val="000000"/>
          <w:spacing w:val="0"/>
          <w:w w:val="100"/>
          <w:position w:val="0"/>
        </w:rPr>
        <w:t>1</w:t>
      </w:r>
      <w:bookmarkEnd w:id="615"/>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p>
    <w:p>
      <w:pPr>
        <w:pStyle w:val="Style20"/>
        <w:keepNext w:val="0"/>
        <w:keepLines w:val="0"/>
        <w:widowControl w:val="0"/>
        <w:shd w:val="clear" w:color="auto" w:fill="auto"/>
        <w:bidi w:val="0"/>
        <w:spacing w:before="0" w:after="40" w:line="240" w:lineRule="exact"/>
        <w:ind w:left="0" w:right="0" w:firstLine="0"/>
        <w:jc w:val="both"/>
      </w:pPr>
      <w:r>
        <w:rPr>
          <w:color w:val="000000"/>
          <w:spacing w:val="0"/>
          <w:w w:val="100"/>
          <w:position w:val="0"/>
        </w:rPr>
        <w:t>自行建造的固定资产的成本包括工程用物资、直接人工、符合资本化条件的借款费用</w:t>
      </w:r>
      <w:r>
        <w:rPr>
          <w:color w:val="000000"/>
          <w:spacing w:val="0"/>
          <w:w w:val="100"/>
          <w:position w:val="0"/>
        </w:rPr>
        <w:t>（</w:t>
      </w:r>
      <w:r>
        <w:rPr>
          <w:color w:val="000000"/>
          <w:spacing w:val="0"/>
          <w:w w:val="100"/>
          <w:position w:val="0"/>
        </w:rPr>
        <w:t>参见附注五、</w:t>
      </w:r>
      <w:r>
        <w:rPr>
          <w:rFonts w:ascii="Times New Roman" w:eastAsia="Times New Roman" w:hAnsi="Times New Roman" w:cs="Times New Roman"/>
          <w:color w:val="000000"/>
          <w:spacing w:val="0"/>
          <w:w w:val="100"/>
          <w:position w:val="0"/>
        </w:rPr>
        <w:t>16）</w:t>
      </w:r>
      <w:r>
        <w:rPr>
          <w:color w:val="000000"/>
          <w:spacing w:val="0"/>
          <w:w w:val="100"/>
          <w:position w:val="0"/>
        </w:rPr>
        <w:t>和使该项资产达到 预定可使用状态前所发生的必要支出。</w:t>
      </w:r>
    </w:p>
    <w:p>
      <w:pPr>
        <w:pStyle w:val="Style20"/>
        <w:keepNext w:val="0"/>
        <w:keepLines w:val="0"/>
        <w:widowControl w:val="0"/>
        <w:shd w:val="clear" w:color="auto" w:fill="auto"/>
        <w:bidi w:val="0"/>
        <w:spacing w:before="0" w:after="40" w:line="230" w:lineRule="exact"/>
        <w:ind w:left="0" w:right="0" w:firstLine="0"/>
        <w:jc w:val="both"/>
      </w:pPr>
      <w:r>
        <w:rPr>
          <w:color w:val="000000"/>
          <w:spacing w:val="0"/>
          <w:w w:val="100"/>
          <w:position w:val="0"/>
        </w:rPr>
        <w:t>自行建造的固定资产于达到预定可使用状态时转入固定资产，此前列于在建工程，且不计提折旧。</w:t>
      </w:r>
    </w:p>
    <w:p>
      <w:pPr>
        <w:pStyle w:val="Style20"/>
        <w:keepNext w:val="0"/>
        <w:keepLines w:val="0"/>
        <w:widowControl w:val="0"/>
        <w:shd w:val="clear" w:color="auto" w:fill="auto"/>
        <w:bidi w:val="0"/>
        <w:spacing w:before="0" w:after="320" w:line="230" w:lineRule="exact"/>
        <w:ind w:left="0" w:right="0" w:firstLine="0"/>
        <w:jc w:val="both"/>
      </w:pPr>
      <w:r>
        <w:rPr>
          <w:color w:val="000000"/>
          <w:spacing w:val="0"/>
          <w:w w:val="100"/>
          <w:position w:val="0"/>
        </w:rPr>
        <w:t>在建工程以成本减减值准备</w:t>
      </w:r>
      <w:r>
        <w:rPr>
          <w:color w:val="000000"/>
          <w:spacing w:val="0"/>
          <w:w w:val="100"/>
          <w:position w:val="0"/>
        </w:rPr>
        <w:t>（</w:t>
      </w:r>
      <w:r>
        <w:rPr>
          <w:color w:val="000000"/>
          <w:spacing w:val="0"/>
          <w:w w:val="100"/>
          <w:position w:val="0"/>
        </w:rPr>
        <w:t>参见附注五、</w:t>
      </w:r>
      <w:r>
        <w:rPr>
          <w:rFonts w:ascii="Times New Roman" w:eastAsia="Times New Roman" w:hAnsi="Times New Roman" w:cs="Times New Roman"/>
          <w:color w:val="000000"/>
          <w:spacing w:val="0"/>
          <w:w w:val="100"/>
          <w:position w:val="0"/>
        </w:rPr>
        <w:t>20）</w:t>
      </w:r>
      <w:r>
        <w:rPr>
          <w:color w:val="000000"/>
          <w:spacing w:val="0"/>
          <w:w w:val="100"/>
          <w:position w:val="0"/>
        </w:rPr>
        <w:t>在资产负债表内列示。</w:t>
      </w:r>
    </w:p>
    <w:p>
      <w:pPr>
        <w:pStyle w:val="Style20"/>
        <w:keepNext w:val="0"/>
        <w:keepLines w:val="0"/>
        <w:widowControl w:val="0"/>
        <w:shd w:val="clear" w:color="auto" w:fill="auto"/>
        <w:tabs>
          <w:tab w:pos="426" w:val="left"/>
        </w:tabs>
        <w:bidi w:val="0"/>
        <w:spacing w:before="0" w:after="80" w:line="230" w:lineRule="exact"/>
        <w:ind w:left="0" w:right="0" w:firstLine="0"/>
        <w:jc w:val="both"/>
      </w:pPr>
      <w:bookmarkStart w:id="616" w:name="bookmark616"/>
      <w:r>
        <w:rPr>
          <w:rFonts w:ascii="Times New Roman" w:eastAsia="Times New Roman" w:hAnsi="Times New Roman" w:cs="Times New Roman"/>
          <w:color w:val="000000"/>
          <w:spacing w:val="0"/>
          <w:w w:val="100"/>
          <w:position w:val="0"/>
        </w:rPr>
        <w:t>1</w:t>
      </w:r>
      <w:bookmarkEnd w:id="616"/>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p>
    <w:p>
      <w:pPr>
        <w:pStyle w:val="Style20"/>
        <w:keepNext w:val="0"/>
        <w:keepLines w:val="0"/>
        <w:widowControl w:val="0"/>
        <w:shd w:val="clear" w:color="auto" w:fill="auto"/>
        <w:bidi w:val="0"/>
        <w:spacing w:before="0" w:after="40" w:line="230" w:lineRule="exact"/>
        <w:ind w:left="0" w:right="0" w:firstLine="0"/>
        <w:jc w:val="both"/>
      </w:pPr>
      <w:r>
        <w:rPr>
          <w:color w:val="000000"/>
          <w:spacing w:val="0"/>
          <w:w w:val="100"/>
          <w:position w:val="0"/>
        </w:rPr>
        <w:t>本集团发生的可直接归属于符合资本化条件的资产的购建的借款费用，予以资本化并计入相关资产的成本，其他借款费用均 于发生当期确认为财务费用。</w:t>
      </w:r>
    </w:p>
    <w:p>
      <w:pPr>
        <w:pStyle w:val="Style20"/>
        <w:keepNext w:val="0"/>
        <w:keepLines w:val="0"/>
        <w:widowControl w:val="0"/>
        <w:shd w:val="clear" w:color="auto" w:fill="auto"/>
        <w:bidi w:val="0"/>
        <w:spacing w:before="0" w:after="40" w:line="230" w:lineRule="exact"/>
        <w:ind w:left="0" w:right="0" w:firstLine="0"/>
        <w:jc w:val="both"/>
      </w:pPr>
      <w:r>
        <w:rPr>
          <w:color w:val="000000"/>
          <w:spacing w:val="0"/>
          <w:w w:val="100"/>
          <w:position w:val="0"/>
        </w:rPr>
        <w:t>在资本化期间内，本集团按照下列方法确定每一会计期间的利息资本化金额</w:t>
      </w:r>
      <w:r>
        <w:rPr>
          <w:color w:val="000000"/>
          <w:spacing w:val="0"/>
          <w:w w:val="100"/>
          <w:position w:val="0"/>
        </w:rPr>
        <w:t>（</w:t>
      </w:r>
      <w:r>
        <w:rPr>
          <w:color w:val="000000"/>
          <w:spacing w:val="0"/>
          <w:w w:val="100"/>
          <w:position w:val="0"/>
        </w:rPr>
        <w:t>包括折价或溢价的摊销</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0"/>
        <w:keepNext w:val="0"/>
        <w:keepLines w:val="0"/>
        <w:widowControl w:val="0"/>
        <w:shd w:val="clear" w:color="auto" w:fill="auto"/>
        <w:bidi w:val="0"/>
        <w:spacing w:before="0" w:after="40" w:line="230" w:lineRule="exact"/>
        <w:ind w:left="300" w:right="0" w:hanging="300"/>
        <w:jc w:val="both"/>
      </w:pPr>
      <w:r>
        <w:rPr>
          <w:rFonts w:ascii="Times New Roman" w:eastAsia="Times New Roman" w:hAnsi="Times New Roman" w:cs="Times New Roman"/>
          <w:color w:val="000000"/>
          <w:spacing w:val="0"/>
          <w:w w:val="100"/>
          <w:position w:val="0"/>
        </w:rPr>
        <w:t>-</w:t>
      </w:r>
      <w:r>
        <w:rPr>
          <w:color w:val="000000"/>
          <w:spacing w:val="0"/>
          <w:w w:val="100"/>
          <w:position w:val="0"/>
        </w:rPr>
        <w:t>对于为购建符合资本化条件的资产而借入的专门借款，本集团以专门借款按实际利率计算的当期利息费用，减去将尚未 动用的借款资金存入银行取得的利息收入或进行暂时性投资取得的投资收益后的金额确定专门借款应予资本化的利息 金额。</w:t>
      </w:r>
    </w:p>
    <w:p>
      <w:pPr>
        <w:pStyle w:val="Style20"/>
        <w:keepNext w:val="0"/>
        <w:keepLines w:val="0"/>
        <w:widowControl w:val="0"/>
        <w:shd w:val="clear" w:color="auto" w:fill="auto"/>
        <w:bidi w:val="0"/>
        <w:spacing w:before="0" w:after="40" w:line="221" w:lineRule="exact"/>
        <w:ind w:left="300" w:right="0" w:hanging="300"/>
        <w:jc w:val="both"/>
      </w:pPr>
      <w:r>
        <w:rPr>
          <w:rFonts w:ascii="Times New Roman" w:eastAsia="Times New Roman" w:hAnsi="Times New Roman" w:cs="Times New Roman"/>
          <w:color w:val="000000"/>
          <w:spacing w:val="0"/>
          <w:w w:val="100"/>
          <w:position w:val="0"/>
        </w:rPr>
        <w:t>-</w:t>
      </w:r>
      <w:r>
        <w:rPr>
          <w:color w:val="000000"/>
          <w:spacing w:val="0"/>
          <w:w w:val="100"/>
          <w:position w:val="0"/>
        </w:rPr>
        <w:t>对于为购建符合资本化条件的资产而占用的一般借款，本集团根据累计资产支出超过专门借款部分的资产支出的加权平 均数乘以所占用一般借款的资本化率，计算确定一般借款应予资本化的利息金额。资本化率是根据一般借款加权平均的 实际利率计算确定。</w:t>
      </w:r>
    </w:p>
    <w:p>
      <w:pPr>
        <w:pStyle w:val="Style20"/>
        <w:keepNext w:val="0"/>
        <w:keepLines w:val="0"/>
        <w:widowControl w:val="0"/>
        <w:shd w:val="clear" w:color="auto" w:fill="auto"/>
        <w:bidi w:val="0"/>
        <w:spacing w:before="0" w:after="40" w:line="235" w:lineRule="exact"/>
        <w:ind w:left="0" w:right="0" w:firstLine="0"/>
        <w:jc w:val="both"/>
      </w:pPr>
      <w:r>
        <w:rPr>
          <w:color w:val="000000"/>
          <w:spacing w:val="0"/>
          <w:w w:val="100"/>
          <w:position w:val="0"/>
        </w:rPr>
        <w:t>本集团确定借款的实际利率时，是将借款在预期存续期间或适用的更短期间内的未来现金流量，折现为该借款初始确认时确 定的金额所使用的利率。</w:t>
      </w:r>
    </w:p>
    <w:p>
      <w:pPr>
        <w:pStyle w:val="Style20"/>
        <w:keepNext w:val="0"/>
        <w:keepLines w:val="0"/>
        <w:widowControl w:val="0"/>
        <w:shd w:val="clear" w:color="auto" w:fill="auto"/>
        <w:bidi w:val="0"/>
        <w:spacing w:before="0" w:after="320" w:line="230" w:lineRule="exact"/>
        <w:ind w:left="0" w:right="0" w:firstLine="0"/>
        <w:jc w:val="both"/>
      </w:pPr>
      <w:r>
        <w:rPr>
          <w:color w:val="000000"/>
          <w:spacing w:val="0"/>
          <w:w w:val="100"/>
          <w:position w:val="0"/>
        </w:rPr>
        <w:t>资本化期间是指本集团从借款费用开始资本化时点到停止资本化时点的期间，借款费用暂停资本化的期间不包括在内。当资 本支出和借款费用已经发生及为使资产达到预定可使用状态所必要的购建已经开始时，借款费用开始资本化。当购建符合资 本化条件的资产达到预定可使用时，借款费用停止资本化。对于符合资本化条件的资产在购建中发生非正常中断、且中断时 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个月的，本集团暂停借款费用的资本化。</w:t>
      </w:r>
    </w:p>
    <w:p>
      <w:pPr>
        <w:pStyle w:val="Style20"/>
        <w:keepNext w:val="0"/>
        <w:keepLines w:val="0"/>
        <w:widowControl w:val="0"/>
        <w:shd w:val="clear" w:color="auto" w:fill="auto"/>
        <w:bidi w:val="0"/>
        <w:spacing w:before="0" w:after="140" w:line="240" w:lineRule="auto"/>
        <w:ind w:left="0" w:right="0" w:firstLine="0"/>
        <w:jc w:val="both"/>
      </w:pPr>
      <w:bookmarkStart w:id="617" w:name="bookmark617"/>
      <w:r>
        <w:rPr>
          <w:rFonts w:ascii="Times New Roman" w:eastAsia="Times New Roman" w:hAnsi="Times New Roman" w:cs="Times New Roman"/>
          <w:color w:val="000000"/>
          <w:spacing w:val="0"/>
          <w:w w:val="100"/>
          <w:position w:val="0"/>
        </w:rPr>
        <w:t>1</w:t>
      </w:r>
      <w:bookmarkEnd w:id="617"/>
      <w:r>
        <w:rPr>
          <w:rFonts w:ascii="Times New Roman" w:eastAsia="Times New Roman" w:hAnsi="Times New Roman" w:cs="Times New Roman"/>
          <w:color w:val="000000"/>
          <w:spacing w:val="0"/>
          <w:w w:val="100"/>
          <w:position w:val="0"/>
        </w:rPr>
        <w:t>7</w:t>
      </w:r>
      <w:r>
        <w:rPr>
          <w:color w:val="000000"/>
          <w:spacing w:val="0"/>
          <w:w w:val="100"/>
          <w:position w:val="0"/>
        </w:rPr>
        <w:t>、使用权资产</w:t>
      </w:r>
    </w:p>
    <w:p>
      <w:pPr>
        <w:pStyle w:val="Style20"/>
        <w:keepNext w:val="0"/>
        <w:keepLines w:val="0"/>
        <w:widowControl w:val="0"/>
        <w:shd w:val="clear" w:color="auto" w:fill="auto"/>
        <w:bidi w:val="0"/>
        <w:spacing w:before="0" w:after="480" w:line="240" w:lineRule="auto"/>
        <w:ind w:left="0" w:right="0" w:firstLine="0"/>
        <w:jc w:val="both"/>
      </w:pPr>
      <w:r>
        <w:rPr>
          <w:color w:val="000000"/>
          <w:spacing w:val="0"/>
          <w:w w:val="100"/>
          <w:position w:val="0"/>
        </w:rPr>
        <w:t>使用权资产，是指承租人可在租赁期内使用租赁资产的权利，详见附注五、</w:t>
      </w:r>
      <w:r>
        <w:rPr>
          <w:rFonts w:ascii="Times New Roman" w:eastAsia="Times New Roman" w:hAnsi="Times New Roman" w:cs="Times New Roman"/>
          <w:color w:val="000000"/>
          <w:spacing w:val="0"/>
          <w:w w:val="100"/>
          <w:position w:val="0"/>
        </w:rPr>
        <w:t>28</w:t>
      </w:r>
      <w:r>
        <w:rPr>
          <w:color w:val="000000"/>
          <w:spacing w:val="0"/>
          <w:w w:val="100"/>
          <w:position w:val="0"/>
        </w:rPr>
        <w:t>。</w:t>
      </w:r>
    </w:p>
    <w:p>
      <w:pPr>
        <w:pStyle w:val="Style20"/>
        <w:keepNext w:val="0"/>
        <w:keepLines w:val="0"/>
        <w:widowControl w:val="0"/>
        <w:shd w:val="clear" w:color="auto" w:fill="auto"/>
        <w:bidi w:val="0"/>
        <w:spacing w:before="0" w:after="80" w:line="211" w:lineRule="exact"/>
        <w:ind w:left="0" w:right="0" w:firstLine="0"/>
        <w:jc w:val="both"/>
      </w:pPr>
      <w:bookmarkStart w:id="618" w:name="bookmark618"/>
      <w:r>
        <w:rPr>
          <w:rFonts w:ascii="Times New Roman" w:eastAsia="Times New Roman" w:hAnsi="Times New Roman" w:cs="Times New Roman"/>
          <w:color w:val="000000"/>
          <w:spacing w:val="0"/>
          <w:w w:val="100"/>
          <w:position w:val="0"/>
        </w:rPr>
        <w:t>1</w:t>
      </w:r>
      <w:bookmarkEnd w:id="618"/>
      <w:r>
        <w:rPr>
          <w:rFonts w:ascii="Times New Roman" w:eastAsia="Times New Roman" w:hAnsi="Times New Roman" w:cs="Times New Roman"/>
          <w:color w:val="000000"/>
          <w:spacing w:val="0"/>
          <w:w w:val="100"/>
          <w:position w:val="0"/>
        </w:rPr>
        <w:t>8</w:t>
      </w:r>
      <w:r>
        <w:rPr>
          <w:color w:val="000000"/>
          <w:spacing w:val="0"/>
          <w:w w:val="100"/>
          <w:position w:val="0"/>
        </w:rPr>
        <w:t>、无形资产</w:t>
      </w:r>
    </w:p>
    <w:p>
      <w:pPr>
        <w:pStyle w:val="Style20"/>
        <w:keepNext w:val="0"/>
        <w:keepLines w:val="0"/>
        <w:widowControl w:val="0"/>
        <w:shd w:val="clear" w:color="auto" w:fill="auto"/>
        <w:bidi w:val="0"/>
        <w:spacing w:before="0" w:after="80" w:line="211" w:lineRule="exact"/>
        <w:ind w:left="0" w:right="0" w:firstLine="0"/>
        <w:jc w:val="both"/>
      </w:pPr>
      <w:r>
        <w:rPr>
          <w:color w:val="000000"/>
          <w:spacing w:val="0"/>
          <w:w w:val="100"/>
          <w:position w:val="0"/>
        </w:rPr>
        <w:t>无形资产以成本减累计摊销</w:t>
      </w:r>
      <w:r>
        <w:rPr>
          <w:color w:val="000000"/>
          <w:spacing w:val="0"/>
          <w:w w:val="100"/>
          <w:position w:val="0"/>
        </w:rPr>
        <w:t>（</w:t>
      </w:r>
      <w:r>
        <w:rPr>
          <w:color w:val="000000"/>
          <w:spacing w:val="0"/>
          <w:w w:val="100"/>
          <w:position w:val="0"/>
        </w:rPr>
        <w:t>仅限于使用寿命有限的无形资产</w:t>
      </w:r>
      <w:r>
        <w:rPr>
          <w:color w:val="000000"/>
          <w:spacing w:val="0"/>
          <w:w w:val="100"/>
          <w:position w:val="0"/>
        </w:rPr>
        <w:t>）</w:t>
      </w:r>
      <w:r>
        <w:rPr>
          <w:color w:val="000000"/>
          <w:spacing w:val="0"/>
          <w:w w:val="100"/>
          <w:position w:val="0"/>
        </w:rPr>
        <w:t>及减值准备</w:t>
      </w:r>
      <w:r>
        <w:rPr>
          <w:color w:val="000000"/>
          <w:spacing w:val="0"/>
          <w:w w:val="100"/>
          <w:position w:val="0"/>
        </w:rPr>
        <w:t>（</w:t>
      </w:r>
      <w:r>
        <w:rPr>
          <w:color w:val="000000"/>
          <w:spacing w:val="0"/>
          <w:w w:val="100"/>
          <w:position w:val="0"/>
        </w:rPr>
        <w:t>参见附注五、</w:t>
      </w:r>
      <w:r>
        <w:rPr>
          <w:rFonts w:ascii="Times New Roman" w:eastAsia="Times New Roman" w:hAnsi="Times New Roman" w:cs="Times New Roman"/>
          <w:color w:val="000000"/>
          <w:spacing w:val="0"/>
          <w:w w:val="100"/>
          <w:position w:val="0"/>
        </w:rPr>
        <w:t>20）</w:t>
      </w:r>
      <w:r>
        <w:rPr>
          <w:color w:val="000000"/>
          <w:spacing w:val="0"/>
          <w:w w:val="100"/>
          <w:position w:val="0"/>
        </w:rPr>
        <w:t>后在资产负债表内列示。对 于使用寿命有限的无形资产，本集团将无形资产的成本扣除预计净残值和累计减值准备后按直线法在预计使用寿命期内摊 销 。</w:t>
      </w:r>
    </w:p>
    <w:p>
      <w:pPr>
        <w:pStyle w:val="Style29"/>
        <w:keepNext w:val="0"/>
        <w:keepLines w:val="0"/>
        <w:widowControl w:val="0"/>
        <w:shd w:val="clear" w:color="auto" w:fill="auto"/>
        <w:bidi w:val="0"/>
        <w:spacing w:before="0" w:after="0" w:line="211" w:lineRule="exact"/>
        <w:ind w:left="0" w:right="0" w:firstLine="0"/>
        <w:jc w:val="left"/>
      </w:pPr>
      <w:r>
        <w:rPr>
          <w:color w:val="000000"/>
          <w:spacing w:val="0"/>
          <w:w w:val="100"/>
          <w:position w:val="0"/>
        </w:rPr>
        <w:t>各项无形资产的摊销年限为：</w:t>
      </w:r>
    </w:p>
    <w:tbl>
      <w:tblPr>
        <w:tblOverlap w:val="never"/>
        <w:jc w:val="center"/>
        <w:tblLayout w:type="fixed"/>
      </w:tblPr>
      <w:tblGrid>
        <w:gridCol w:w="5107"/>
        <w:gridCol w:w="4090"/>
      </w:tblGrid>
      <w:tr>
        <w:trPr>
          <w:trHeight w:val="31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摊销年限</w:t>
            </w:r>
            <w:r>
              <w:rPr>
                <w:color w:val="000000"/>
                <w:spacing w:val="0"/>
                <w:w w:val="100"/>
                <w:position w:val="0"/>
              </w:rPr>
              <w:t>（</w:t>
            </w:r>
            <w:r>
              <w:rPr>
                <w:color w:val="000000"/>
                <w:spacing w:val="0"/>
                <w:w w:val="100"/>
                <w:position w:val="0"/>
              </w:rPr>
              <w:t>年</w:t>
            </w:r>
            <w:r>
              <w:rPr>
                <w:color w:val="000000"/>
                <w:spacing w:val="0"/>
                <w:w w:val="100"/>
                <w:position w:val="0"/>
              </w:rPr>
              <w:t>）</w:t>
            </w:r>
          </w:p>
        </w:tc>
      </w:tr>
      <w:tr>
        <w:trPr>
          <w:trHeight w:val="30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按土地使用期限摊销</w:t>
            </w:r>
          </w:p>
        </w:tc>
      </w:tr>
      <w:tr>
        <w:trPr>
          <w:trHeight w:val="30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专利权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3 - 10</w:t>
            </w:r>
          </w:p>
        </w:tc>
      </w:tr>
      <w:tr>
        <w:trPr>
          <w:trHeight w:val="31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软件</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bl>
    <w:p>
      <w:pPr>
        <w:widowControl w:val="0"/>
        <w:spacing w:after="39" w:line="1" w:lineRule="exact"/>
      </w:pPr>
    </w:p>
    <w:p>
      <w:pPr>
        <w:pStyle w:val="Style20"/>
        <w:keepNext w:val="0"/>
        <w:keepLines w:val="0"/>
        <w:widowControl w:val="0"/>
        <w:shd w:val="clear" w:color="auto" w:fill="auto"/>
        <w:bidi w:val="0"/>
        <w:spacing w:before="0" w:after="40" w:line="218" w:lineRule="exact"/>
        <w:ind w:left="0" w:right="0" w:firstLine="0"/>
        <w:jc w:val="both"/>
      </w:pPr>
      <w:r>
        <w:rPr>
          <w:color w:val="000000"/>
          <w:spacing w:val="0"/>
          <w:w w:val="100"/>
          <w:position w:val="0"/>
        </w:rPr>
        <w:t>本集团至少在每年年度终了对使用寿命有限的无形资产的使用寿命及摊销方法进行复核。</w:t>
      </w:r>
    </w:p>
    <w:p>
      <w:pPr>
        <w:pStyle w:val="Style20"/>
        <w:keepNext w:val="0"/>
        <w:keepLines w:val="0"/>
        <w:widowControl w:val="0"/>
        <w:shd w:val="clear" w:color="auto" w:fill="auto"/>
        <w:bidi w:val="0"/>
        <w:spacing w:before="0" w:after="40" w:line="218" w:lineRule="exact"/>
        <w:ind w:left="0" w:right="0" w:firstLine="0"/>
        <w:jc w:val="both"/>
      </w:pPr>
      <w:r>
        <w:rPr>
          <w:color w:val="000000"/>
          <w:spacing w:val="0"/>
          <w:w w:val="100"/>
          <w:position w:val="0"/>
        </w:rPr>
        <w:t>本集团将无法预见未来经济利益期限的无形资产视为使用寿命不确定的无形资产，并对这类无形资产不予摊销。本集团在每 个会计期间对使用寿命不确定的无形资产的使用寿命进行复核。如果有证据表明无形资产的使用寿命是有限的，则估计其使 用寿命，并按上述使用寿命有限的无形资产处理。</w:t>
      </w:r>
    </w:p>
    <w:p>
      <w:pPr>
        <w:pStyle w:val="Style20"/>
        <w:keepNext w:val="0"/>
        <w:keepLines w:val="0"/>
        <w:widowControl w:val="0"/>
        <w:shd w:val="clear" w:color="auto" w:fill="auto"/>
        <w:bidi w:val="0"/>
        <w:spacing w:before="0" w:after="40" w:line="218" w:lineRule="exact"/>
        <w:ind w:left="0" w:right="0" w:firstLine="0"/>
        <w:jc w:val="both"/>
      </w:pPr>
      <w:r>
        <w:rPr>
          <w:color w:val="000000"/>
          <w:spacing w:val="0"/>
          <w:w w:val="100"/>
          <w:position w:val="0"/>
        </w:rPr>
        <w:t>本集团内部研究开发项目的支出分为研究阶段支出和开发阶段支出。</w:t>
      </w:r>
    </w:p>
    <w:p>
      <w:pPr>
        <w:pStyle w:val="Style20"/>
        <w:keepNext w:val="0"/>
        <w:keepLines w:val="0"/>
        <w:widowControl w:val="0"/>
        <w:shd w:val="clear" w:color="auto" w:fill="auto"/>
        <w:bidi w:val="0"/>
        <w:spacing w:before="0" w:after="40" w:line="218" w:lineRule="exact"/>
        <w:ind w:left="0" w:right="0" w:firstLine="0"/>
        <w:jc w:val="both"/>
      </w:pPr>
      <w:r>
        <w:rPr>
          <w:color w:val="000000"/>
          <w:spacing w:val="0"/>
          <w:w w:val="100"/>
          <w:position w:val="0"/>
        </w:rPr>
        <w:t>研究阶段：为获取并理解新的科学或技术知识等而进行的独创性的有计划调查、研究活动的阶段。</w:t>
      </w:r>
    </w:p>
    <w:p>
      <w:pPr>
        <w:pStyle w:val="Style20"/>
        <w:keepNext w:val="0"/>
        <w:keepLines w:val="0"/>
        <w:widowControl w:val="0"/>
        <w:shd w:val="clear" w:color="auto" w:fill="auto"/>
        <w:bidi w:val="0"/>
        <w:spacing w:before="0" w:after="40" w:line="216" w:lineRule="exact"/>
        <w:ind w:left="0" w:right="0" w:firstLine="0"/>
        <w:jc w:val="both"/>
      </w:pPr>
      <w:r>
        <w:rPr>
          <w:color w:val="000000"/>
          <w:spacing w:val="0"/>
          <w:w w:val="100"/>
          <w:position w:val="0"/>
        </w:rPr>
        <w:t>开发阶段：在进行商业性生产或使用前，将研究成果或其他知识应用于某项计划或设计，以生产出新的或具有实质性改进的 材料、装置、产品等活动的阶段。</w:t>
      </w:r>
    </w:p>
    <w:p>
      <w:pPr>
        <w:pStyle w:val="Style20"/>
        <w:keepNext w:val="0"/>
        <w:keepLines w:val="0"/>
        <w:widowControl w:val="0"/>
        <w:shd w:val="clear" w:color="auto" w:fill="auto"/>
        <w:bidi w:val="0"/>
        <w:spacing w:before="0" w:after="240" w:line="227" w:lineRule="exact"/>
        <w:ind w:left="0" w:right="0" w:firstLine="494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年年度报告全文 研究阶段的支出，于发生时计入当期损益。开发阶段的支出，如果开发形成的某项产品或工序等在技术和商业上可行，而且 本集团有充足的资源和意向完成开发工作，并且开发阶段支出能够可靠计量，则开发阶段的支出便会予以资本化。资本化开 发支出按成本减减值准备</w:t>
      </w:r>
      <w:r>
        <w:rPr>
          <w:color w:val="000000"/>
          <w:spacing w:val="0"/>
          <w:w w:val="100"/>
          <w:position w:val="0"/>
        </w:rPr>
        <w:t>（</w:t>
      </w:r>
      <w:r>
        <w:rPr>
          <w:color w:val="000000"/>
          <w:spacing w:val="0"/>
          <w:w w:val="100"/>
          <w:position w:val="0"/>
        </w:rPr>
        <w:t>参见附注五、</w:t>
      </w:r>
      <w:r>
        <w:rPr>
          <w:rFonts w:ascii="Times New Roman" w:eastAsia="Times New Roman" w:hAnsi="Times New Roman" w:cs="Times New Roman"/>
          <w:color w:val="000000"/>
          <w:spacing w:val="0"/>
          <w:w w:val="100"/>
          <w:position w:val="0"/>
        </w:rPr>
        <w:t>20）</w:t>
      </w:r>
      <w:r>
        <w:rPr>
          <w:color w:val="000000"/>
          <w:spacing w:val="0"/>
          <w:w w:val="100"/>
          <w:position w:val="0"/>
        </w:rPr>
        <w:t>在资产负债表内列示。其他开发费用则在其产生的期间内确认为费用。</w:t>
      </w:r>
    </w:p>
    <w:p>
      <w:pPr>
        <w:pStyle w:val="Style20"/>
        <w:keepNext w:val="0"/>
        <w:keepLines w:val="0"/>
        <w:widowControl w:val="0"/>
        <w:shd w:val="clear" w:color="auto" w:fill="auto"/>
        <w:bidi w:val="0"/>
        <w:spacing w:before="0" w:after="0" w:line="238" w:lineRule="exact"/>
        <w:ind w:left="0" w:right="0" w:firstLine="0"/>
        <w:jc w:val="both"/>
      </w:pPr>
      <w:bookmarkStart w:id="619" w:name="bookmark619"/>
      <w:r>
        <w:rPr>
          <w:rFonts w:ascii="Times New Roman" w:eastAsia="Times New Roman" w:hAnsi="Times New Roman" w:cs="Times New Roman"/>
          <w:color w:val="000000"/>
          <w:spacing w:val="0"/>
          <w:w w:val="100"/>
          <w:position w:val="0"/>
        </w:rPr>
        <w:t>1</w:t>
      </w:r>
      <w:bookmarkEnd w:id="619"/>
      <w:r>
        <w:rPr>
          <w:rFonts w:ascii="Times New Roman" w:eastAsia="Times New Roman" w:hAnsi="Times New Roman" w:cs="Times New Roman"/>
          <w:color w:val="000000"/>
          <w:spacing w:val="0"/>
          <w:w w:val="100"/>
          <w:position w:val="0"/>
        </w:rPr>
        <w:t>9</w:t>
      </w:r>
      <w:r>
        <w:rPr>
          <w:color w:val="000000"/>
          <w:spacing w:val="0"/>
          <w:w w:val="100"/>
          <w:position w:val="0"/>
        </w:rPr>
        <w:t>、长期待摊费用</w:t>
      </w:r>
    </w:p>
    <w:p>
      <w:pPr>
        <w:pStyle w:val="Style20"/>
        <w:keepNext w:val="0"/>
        <w:keepLines w:val="0"/>
        <w:widowControl w:val="0"/>
        <w:shd w:val="clear" w:color="auto" w:fill="auto"/>
        <w:bidi w:val="0"/>
        <w:spacing w:before="0" w:after="340" w:line="238" w:lineRule="exact"/>
        <w:ind w:left="0" w:right="0" w:firstLine="0"/>
        <w:jc w:val="both"/>
      </w:pPr>
      <w:r>
        <w:rPr>
          <w:color w:val="000000"/>
          <w:spacing w:val="0"/>
          <w:w w:val="100"/>
          <w:position w:val="0"/>
        </w:rPr>
        <w:t>长期待摊费用在受益期限内分期平均摊销。长期待摊费用在取得时按照实际成本计价，开办费在发生时计入当期损益；经营 性租赁固定资产的装修费用在可使用年限和租赁期两者较低年限进行平均摊销，其他长期待摊费用按项目的受益期平均摊 销。对于在以后会计期间已无法带来预期经济利益的长期待摊费用，本公司对其尚未摊销的摊余价值全部转入当期损益。</w:t>
      </w:r>
    </w:p>
    <w:p>
      <w:pPr>
        <w:pStyle w:val="Style20"/>
        <w:keepNext w:val="0"/>
        <w:keepLines w:val="0"/>
        <w:widowControl w:val="0"/>
        <w:shd w:val="clear" w:color="auto" w:fill="auto"/>
        <w:tabs>
          <w:tab w:pos="445" w:val="left"/>
        </w:tabs>
        <w:bidi w:val="0"/>
        <w:spacing w:before="0" w:after="100" w:line="223" w:lineRule="exact"/>
        <w:ind w:left="0" w:right="0" w:firstLine="0"/>
        <w:jc w:val="both"/>
      </w:pPr>
      <w:bookmarkStart w:id="620" w:name="bookmark620"/>
      <w:r>
        <w:rPr>
          <w:rFonts w:ascii="Times New Roman" w:eastAsia="Times New Roman" w:hAnsi="Times New Roman" w:cs="Times New Roman"/>
          <w:color w:val="000000"/>
          <w:spacing w:val="0"/>
          <w:w w:val="100"/>
          <w:position w:val="0"/>
        </w:rPr>
        <w:t>2</w:t>
      </w:r>
      <w:bookmarkEnd w:id="620"/>
      <w:r>
        <w:rPr>
          <w:rFonts w:ascii="Times New Roman" w:eastAsia="Times New Roman" w:hAnsi="Times New Roman" w:cs="Times New Roman"/>
          <w:color w:val="000000"/>
          <w:spacing w:val="0"/>
          <w:w w:val="100"/>
          <w:position w:val="0"/>
        </w:rPr>
        <w:t>0</w:t>
      </w:r>
      <w:r>
        <w:rPr>
          <w:color w:val="000000"/>
          <w:spacing w:val="0"/>
          <w:w w:val="100"/>
          <w:position w:val="0"/>
        </w:rPr>
        <w:t>、</w:t>
        <w:tab/>
        <w:t>除存货及金融资产外的其他资产减值</w:t>
      </w:r>
    </w:p>
    <w:p>
      <w:pPr>
        <w:pStyle w:val="Style20"/>
        <w:keepNext w:val="0"/>
        <w:keepLines w:val="0"/>
        <w:widowControl w:val="0"/>
        <w:shd w:val="clear" w:color="auto" w:fill="auto"/>
        <w:bidi w:val="0"/>
        <w:spacing w:before="0" w:after="0" w:line="223" w:lineRule="exact"/>
        <w:ind w:left="0" w:right="0" w:firstLine="0"/>
        <w:jc w:val="both"/>
      </w:pPr>
      <w:r>
        <w:rPr>
          <w:color w:val="000000"/>
          <w:spacing w:val="0"/>
          <w:w w:val="100"/>
          <w:position w:val="0"/>
        </w:rPr>
        <w:t>本集团在资产负债表日根据内部及外部信息以确定下列资产是否存在减值的迹象，包括：</w:t>
      </w:r>
    </w:p>
    <w:p>
      <w:pPr>
        <w:pStyle w:val="Style20"/>
        <w:keepNext w:val="0"/>
        <w:keepLines w:val="0"/>
        <w:widowControl w:val="0"/>
        <w:shd w:val="clear" w:color="auto" w:fill="auto"/>
        <w:bidi w:val="0"/>
        <w:spacing w:before="0" w:after="0" w:line="22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固定资产</w:t>
      </w:r>
    </w:p>
    <w:p>
      <w:pPr>
        <w:pStyle w:val="Style20"/>
        <w:keepNext w:val="0"/>
        <w:keepLines w:val="0"/>
        <w:widowControl w:val="0"/>
        <w:shd w:val="clear" w:color="auto" w:fill="auto"/>
        <w:bidi w:val="0"/>
        <w:spacing w:before="0" w:after="0" w:line="22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在建工程</w:t>
      </w:r>
    </w:p>
    <w:p>
      <w:pPr>
        <w:pStyle w:val="Style20"/>
        <w:keepNext w:val="0"/>
        <w:keepLines w:val="0"/>
        <w:widowControl w:val="0"/>
        <w:shd w:val="clear" w:color="auto" w:fill="auto"/>
        <w:bidi w:val="0"/>
        <w:spacing w:before="0" w:after="0" w:line="22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使用权资产</w:t>
      </w:r>
    </w:p>
    <w:p>
      <w:pPr>
        <w:pStyle w:val="Style20"/>
        <w:keepNext w:val="0"/>
        <w:keepLines w:val="0"/>
        <w:widowControl w:val="0"/>
        <w:numPr>
          <w:ilvl w:val="0"/>
          <w:numId w:val="51"/>
        </w:numPr>
        <w:shd w:val="clear" w:color="auto" w:fill="auto"/>
        <w:tabs>
          <w:tab w:pos="315" w:val="left"/>
        </w:tabs>
        <w:bidi w:val="0"/>
        <w:spacing w:before="0" w:after="0" w:line="223" w:lineRule="exact"/>
        <w:ind w:left="0" w:right="0" w:firstLine="0"/>
        <w:jc w:val="both"/>
      </w:pPr>
      <w:bookmarkStart w:id="621" w:name="bookmark621"/>
      <w:bookmarkEnd w:id="621"/>
      <w:r>
        <w:rPr>
          <w:color w:val="000000"/>
          <w:spacing w:val="0"/>
          <w:w w:val="100"/>
          <w:position w:val="0"/>
        </w:rPr>
        <w:t>无形资产</w:t>
      </w:r>
    </w:p>
    <w:p>
      <w:pPr>
        <w:pStyle w:val="Style20"/>
        <w:keepNext w:val="0"/>
        <w:keepLines w:val="0"/>
        <w:widowControl w:val="0"/>
        <w:shd w:val="clear" w:color="auto" w:fill="auto"/>
        <w:bidi w:val="0"/>
        <w:spacing w:before="0" w:after="0" w:line="22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长期股权投资</w:t>
      </w:r>
    </w:p>
    <w:p>
      <w:pPr>
        <w:pStyle w:val="Style20"/>
        <w:keepNext w:val="0"/>
        <w:keepLines w:val="0"/>
        <w:widowControl w:val="0"/>
        <w:numPr>
          <w:ilvl w:val="0"/>
          <w:numId w:val="51"/>
        </w:numPr>
        <w:shd w:val="clear" w:color="auto" w:fill="auto"/>
        <w:tabs>
          <w:tab w:pos="315" w:val="left"/>
        </w:tabs>
        <w:bidi w:val="0"/>
        <w:spacing w:before="0" w:after="0" w:line="223" w:lineRule="exact"/>
        <w:ind w:left="0" w:right="0" w:firstLine="0"/>
        <w:jc w:val="both"/>
      </w:pPr>
      <w:bookmarkStart w:id="622" w:name="bookmark622"/>
      <w:bookmarkEnd w:id="622"/>
      <w:r>
        <w:rPr>
          <w:color w:val="000000"/>
          <w:spacing w:val="0"/>
          <w:w w:val="100"/>
          <w:position w:val="0"/>
        </w:rPr>
        <w:t>长期待摊费用等</w:t>
      </w:r>
    </w:p>
    <w:p>
      <w:pPr>
        <w:pStyle w:val="Style20"/>
        <w:keepNext w:val="0"/>
        <w:keepLines w:val="0"/>
        <w:widowControl w:val="0"/>
        <w:shd w:val="clear" w:color="auto" w:fill="auto"/>
        <w:bidi w:val="0"/>
        <w:spacing w:before="0" w:after="0" w:line="223" w:lineRule="exact"/>
        <w:ind w:left="0" w:right="0" w:firstLine="0"/>
        <w:jc w:val="both"/>
      </w:pPr>
      <w:r>
        <w:rPr>
          <w:color w:val="000000"/>
          <w:spacing w:val="0"/>
          <w:w w:val="100"/>
          <w:position w:val="0"/>
        </w:rPr>
        <w:t>本集团对存在减值迹象的资产进行减值测试，估计资产的可收回金额。</w:t>
      </w:r>
    </w:p>
    <w:p>
      <w:pPr>
        <w:pStyle w:val="Style20"/>
        <w:keepNext w:val="0"/>
        <w:keepLines w:val="0"/>
        <w:widowControl w:val="0"/>
        <w:shd w:val="clear" w:color="auto" w:fill="auto"/>
        <w:bidi w:val="0"/>
        <w:spacing w:before="0" w:after="0" w:line="230" w:lineRule="exact"/>
        <w:ind w:left="0" w:right="0" w:firstLine="0"/>
        <w:jc w:val="both"/>
      </w:pPr>
      <w:r>
        <w:rPr>
          <w:color w:val="000000"/>
          <w:spacing w:val="0"/>
          <w:w w:val="100"/>
          <w:position w:val="0"/>
        </w:rPr>
        <w:t>可收回金额是指资产</w:t>
      </w:r>
      <w:r>
        <w:rPr>
          <w:color w:val="000000"/>
          <w:spacing w:val="0"/>
          <w:w w:val="100"/>
          <w:position w:val="0"/>
        </w:rPr>
        <w:t>（</w:t>
      </w:r>
      <w:r>
        <w:rPr>
          <w:color w:val="000000"/>
          <w:spacing w:val="0"/>
          <w:w w:val="100"/>
          <w:position w:val="0"/>
        </w:rPr>
        <w:t>或资产组、资产组组合，下同</w:t>
      </w:r>
      <w:r>
        <w:rPr>
          <w:color w:val="000000"/>
          <w:spacing w:val="0"/>
          <w:w w:val="100"/>
          <w:position w:val="0"/>
        </w:rPr>
        <w:t>）</w:t>
      </w:r>
      <w:r>
        <w:rPr>
          <w:color w:val="000000"/>
          <w:spacing w:val="0"/>
          <w:w w:val="100"/>
          <w:position w:val="0"/>
        </w:rPr>
        <w:t>的公允价值</w:t>
      </w:r>
      <w:r>
        <w:rPr>
          <w:color w:val="000000"/>
          <w:spacing w:val="0"/>
          <w:w w:val="100"/>
          <w:position w:val="0"/>
        </w:rPr>
        <w:t>（</w:t>
      </w:r>
      <w:r>
        <w:rPr>
          <w:color w:val="000000"/>
          <w:spacing w:val="0"/>
          <w:w w:val="100"/>
          <w:position w:val="0"/>
        </w:rPr>
        <w:t>参见附注五、</w:t>
      </w:r>
      <w:r>
        <w:rPr>
          <w:rFonts w:ascii="Times New Roman" w:eastAsia="Times New Roman" w:hAnsi="Times New Roman" w:cs="Times New Roman"/>
          <w:color w:val="000000"/>
          <w:spacing w:val="0"/>
          <w:w w:val="100"/>
          <w:position w:val="0"/>
        </w:rPr>
        <w:t>29（1））</w:t>
      </w:r>
      <w:r>
        <w:rPr>
          <w:color w:val="000000"/>
          <w:spacing w:val="0"/>
          <w:w w:val="100"/>
          <w:position w:val="0"/>
        </w:rPr>
        <w:t>减去处置费用后的净额与资产预计 未来现金流量的现值两者之间较高者。</w:t>
      </w:r>
    </w:p>
    <w:p>
      <w:pPr>
        <w:pStyle w:val="Style20"/>
        <w:keepNext w:val="0"/>
        <w:keepLines w:val="0"/>
        <w:widowControl w:val="0"/>
        <w:shd w:val="clear" w:color="auto" w:fill="auto"/>
        <w:bidi w:val="0"/>
        <w:spacing w:before="0" w:after="0" w:line="221" w:lineRule="exact"/>
        <w:ind w:left="0" w:right="0" w:firstLine="0"/>
        <w:jc w:val="both"/>
      </w:pPr>
      <w:r>
        <w:rPr>
          <w:color w:val="000000"/>
          <w:spacing w:val="0"/>
          <w:w w:val="100"/>
          <w:position w:val="0"/>
        </w:rPr>
        <w:t>资产组由创造现金流入相关的资产组成，是可以认定的最小资产组合，其产生的现金流入基本上独立于其他资产或者资产 组。</w:t>
      </w:r>
    </w:p>
    <w:p>
      <w:pPr>
        <w:pStyle w:val="Style20"/>
        <w:keepNext w:val="0"/>
        <w:keepLines w:val="0"/>
        <w:widowControl w:val="0"/>
        <w:shd w:val="clear" w:color="auto" w:fill="auto"/>
        <w:bidi w:val="0"/>
        <w:spacing w:before="0" w:after="0" w:line="226" w:lineRule="exact"/>
        <w:ind w:left="0" w:right="0" w:firstLine="0"/>
        <w:jc w:val="both"/>
      </w:pPr>
      <w:r>
        <w:rPr>
          <w:color w:val="000000"/>
          <w:spacing w:val="0"/>
          <w:w w:val="100"/>
          <w:position w:val="0"/>
        </w:rPr>
        <w:t>资产预计未来现金流量的现值，按照资产在持续使用过程中和最终处置时所产生的预计未来现金流量，选择恰当的税前折现 率对其进行折现后的金额加以确定。</w:t>
      </w:r>
    </w:p>
    <w:p>
      <w:pPr>
        <w:pStyle w:val="Style20"/>
        <w:keepNext w:val="0"/>
        <w:keepLines w:val="0"/>
        <w:widowControl w:val="0"/>
        <w:shd w:val="clear" w:color="auto" w:fill="auto"/>
        <w:bidi w:val="0"/>
        <w:spacing w:before="0" w:after="0" w:line="223" w:lineRule="exact"/>
        <w:ind w:left="0" w:right="0" w:firstLine="0"/>
        <w:jc w:val="both"/>
      </w:pPr>
      <w:r>
        <w:rPr>
          <w:color w:val="000000"/>
          <w:spacing w:val="0"/>
          <w:w w:val="100"/>
          <w:position w:val="0"/>
        </w:rPr>
        <w:t>可收回金额的估计结果表明，资产的可收回金额低于其账面价值的，资产的账面价值会减记至可收回金额，减记的金额确认 为资产减值损失，计入当期损益，同时计提相应的资产减值准备。与资产组或者资产组组合相关的减值损失，先抵减分摊至 该资产组或者资产组组合中商誉的账面价值，再根据资产组或者资产组组合中除商誉之外的其他各项资产的账面价值所占 比重，按比例抵减其他各项资产的账面价值，但抵减后的各资产的账面价值不得低于该资产的公允价值减去处置费用后的净 额</w:t>
      </w:r>
      <w:r>
        <w:rPr>
          <w:color w:val="000000"/>
          <w:spacing w:val="0"/>
          <w:w w:val="100"/>
          <w:position w:val="0"/>
        </w:rPr>
        <w:t>（</w:t>
      </w:r>
      <w:r>
        <w:rPr>
          <w:color w:val="000000"/>
          <w:spacing w:val="0"/>
          <w:w w:val="100"/>
          <w:position w:val="0"/>
        </w:rPr>
        <w:t>如可确定的</w:t>
      </w:r>
      <w:r>
        <w:rPr>
          <w:color w:val="000000"/>
          <w:spacing w:val="0"/>
          <w:w w:val="100"/>
          <w:position w:val="0"/>
        </w:rPr>
        <w:t>）</w:t>
      </w:r>
      <w:r>
        <w:rPr>
          <w:color w:val="000000"/>
          <w:spacing w:val="0"/>
          <w:w w:val="100"/>
          <w:position w:val="0"/>
        </w:rPr>
        <w:t>、该资产预计未来现金流量的现值</w:t>
      </w:r>
      <w:r>
        <w:rPr>
          <w:color w:val="000000"/>
          <w:spacing w:val="0"/>
          <w:w w:val="100"/>
          <w:position w:val="0"/>
        </w:rPr>
        <w:t>（</w:t>
      </w:r>
      <w:r>
        <w:rPr>
          <w:color w:val="000000"/>
          <w:spacing w:val="0"/>
          <w:w w:val="100"/>
          <w:position w:val="0"/>
        </w:rPr>
        <w:t>如可确定的</w:t>
      </w:r>
      <w:r>
        <w:rPr>
          <w:color w:val="000000"/>
          <w:spacing w:val="0"/>
          <w:w w:val="100"/>
          <w:position w:val="0"/>
        </w:rPr>
        <w:t>）</w:t>
      </w:r>
      <w:r>
        <w:rPr>
          <w:color w:val="000000"/>
          <w:spacing w:val="0"/>
          <w:w w:val="100"/>
          <w:position w:val="0"/>
        </w:rPr>
        <w:t>和零三者之中最高者。</w:t>
      </w:r>
    </w:p>
    <w:p>
      <w:pPr>
        <w:pStyle w:val="Style20"/>
        <w:keepNext w:val="0"/>
        <w:keepLines w:val="0"/>
        <w:widowControl w:val="0"/>
        <w:shd w:val="clear" w:color="auto" w:fill="auto"/>
        <w:bidi w:val="0"/>
        <w:spacing w:before="0" w:after="340" w:line="223" w:lineRule="exact"/>
        <w:ind w:left="0" w:right="0" w:firstLine="0"/>
        <w:jc w:val="both"/>
      </w:pPr>
      <w:r>
        <w:rPr>
          <w:color w:val="000000"/>
          <w:spacing w:val="0"/>
          <w:w w:val="100"/>
          <w:position w:val="0"/>
        </w:rPr>
        <w:t>资产减值损失一经确认，在以后会计期间不会转回。</w:t>
      </w:r>
    </w:p>
    <w:p>
      <w:pPr>
        <w:pStyle w:val="Style20"/>
        <w:keepNext w:val="0"/>
        <w:keepLines w:val="0"/>
        <w:widowControl w:val="0"/>
        <w:shd w:val="clear" w:color="auto" w:fill="auto"/>
        <w:tabs>
          <w:tab w:pos="445" w:val="left"/>
        </w:tabs>
        <w:bidi w:val="0"/>
        <w:spacing w:before="0" w:after="100" w:line="223" w:lineRule="exact"/>
        <w:ind w:left="0" w:right="0" w:firstLine="0"/>
        <w:jc w:val="both"/>
      </w:pPr>
      <w:bookmarkStart w:id="623" w:name="bookmark623"/>
      <w:r>
        <w:rPr>
          <w:rFonts w:ascii="Times New Roman" w:eastAsia="Times New Roman" w:hAnsi="Times New Roman" w:cs="Times New Roman"/>
          <w:color w:val="000000"/>
          <w:spacing w:val="0"/>
          <w:w w:val="100"/>
          <w:position w:val="0"/>
        </w:rPr>
        <w:t>2</w:t>
      </w:r>
      <w:bookmarkEnd w:id="623"/>
      <w:r>
        <w:rPr>
          <w:rFonts w:ascii="Times New Roman" w:eastAsia="Times New Roman" w:hAnsi="Times New Roman" w:cs="Times New Roman"/>
          <w:color w:val="000000"/>
          <w:spacing w:val="0"/>
          <w:w w:val="100"/>
          <w:position w:val="0"/>
        </w:rPr>
        <w:t>1</w:t>
      </w:r>
      <w:r>
        <w:rPr>
          <w:color w:val="000000"/>
          <w:spacing w:val="0"/>
          <w:w w:val="100"/>
          <w:position w:val="0"/>
        </w:rPr>
        <w:t>、</w:t>
        <w:tab/>
        <w:t>合同负债</w:t>
      </w:r>
    </w:p>
    <w:p>
      <w:pPr>
        <w:pStyle w:val="Style20"/>
        <w:keepNext w:val="0"/>
        <w:keepLines w:val="0"/>
        <w:widowControl w:val="0"/>
        <w:shd w:val="clear" w:color="auto" w:fill="auto"/>
        <w:bidi w:val="0"/>
        <w:spacing w:before="0" w:after="340" w:line="223" w:lineRule="exact"/>
        <w:ind w:left="0" w:right="0" w:firstLine="0"/>
        <w:jc w:val="both"/>
      </w:pPr>
      <w:r>
        <w:rPr>
          <w:color w:val="000000"/>
          <w:spacing w:val="0"/>
          <w:w w:val="100"/>
          <w:position w:val="0"/>
        </w:rPr>
        <w:t>合同负债，是指本集团已收或应收客户对价而应向客户转让商品或服务的义务</w:t>
      </w:r>
      <w:r>
        <w:rPr>
          <w:color w:val="000000"/>
          <w:spacing w:val="0"/>
          <w:w w:val="100"/>
          <w:position w:val="0"/>
        </w:rPr>
        <w:t>（</w:t>
      </w:r>
      <w:r>
        <w:rPr>
          <w:color w:val="000000"/>
          <w:spacing w:val="0"/>
          <w:w w:val="100"/>
          <w:position w:val="0"/>
        </w:rPr>
        <w:t>参见附注五、</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20"/>
        <w:keepNext w:val="0"/>
        <w:keepLines w:val="0"/>
        <w:widowControl w:val="0"/>
        <w:shd w:val="clear" w:color="auto" w:fill="auto"/>
        <w:tabs>
          <w:tab w:pos="445" w:val="left"/>
        </w:tabs>
        <w:bidi w:val="0"/>
        <w:spacing w:before="0" w:after="100" w:line="240" w:lineRule="exact"/>
        <w:ind w:left="0" w:right="0" w:firstLine="0"/>
        <w:jc w:val="both"/>
      </w:pPr>
      <w:bookmarkStart w:id="624" w:name="bookmark624"/>
      <w:r>
        <w:rPr>
          <w:rFonts w:ascii="Times New Roman" w:eastAsia="Times New Roman" w:hAnsi="Times New Roman" w:cs="Times New Roman"/>
          <w:color w:val="000000"/>
          <w:spacing w:val="0"/>
          <w:w w:val="100"/>
          <w:position w:val="0"/>
        </w:rPr>
        <w:t>2</w:t>
      </w:r>
      <w:bookmarkEnd w:id="624"/>
      <w:r>
        <w:rPr>
          <w:rFonts w:ascii="Times New Roman" w:eastAsia="Times New Roman" w:hAnsi="Times New Roman" w:cs="Times New Roman"/>
          <w:color w:val="000000"/>
          <w:spacing w:val="0"/>
          <w:w w:val="100"/>
          <w:position w:val="0"/>
        </w:rPr>
        <w:t>2</w:t>
      </w:r>
      <w:r>
        <w:rPr>
          <w:color w:val="000000"/>
          <w:spacing w:val="0"/>
          <w:w w:val="100"/>
          <w:position w:val="0"/>
        </w:rPr>
        <w:t>、</w:t>
        <w:tab/>
        <w:t>职工薪酬</w:t>
      </w:r>
    </w:p>
    <w:p>
      <w:pPr>
        <w:pStyle w:val="Style20"/>
        <w:keepNext w:val="0"/>
        <w:keepLines w:val="0"/>
        <w:widowControl w:val="0"/>
        <w:shd w:val="clear" w:color="auto" w:fill="auto"/>
        <w:tabs>
          <w:tab w:pos="406" w:val="left"/>
        </w:tabs>
        <w:bidi w:val="0"/>
        <w:spacing w:before="0" w:after="0" w:line="276" w:lineRule="auto"/>
        <w:ind w:left="0" w:right="0" w:firstLine="0"/>
        <w:jc w:val="both"/>
      </w:pPr>
      <w:bookmarkStart w:id="625" w:name="bookmark625"/>
      <w:r>
        <w:rPr>
          <w:rFonts w:ascii="Times New Roman" w:eastAsia="Times New Roman" w:hAnsi="Times New Roman" w:cs="Times New Roman"/>
          <w:color w:val="000000"/>
          <w:spacing w:val="0"/>
          <w:w w:val="100"/>
          <w:position w:val="0"/>
        </w:rPr>
        <w:t>（</w:t>
      </w:r>
      <w:bookmarkEnd w:id="625"/>
      <w:r>
        <w:rPr>
          <w:rFonts w:ascii="Times New Roman" w:eastAsia="Times New Roman" w:hAnsi="Times New Roman" w:cs="Times New Roman"/>
          <w:color w:val="000000"/>
          <w:spacing w:val="0"/>
          <w:w w:val="100"/>
          <w:position w:val="0"/>
        </w:rPr>
        <w:t>1）</w:t>
        <w:tab/>
      </w:r>
      <w:r>
        <w:rPr>
          <w:color w:val="000000"/>
          <w:spacing w:val="0"/>
          <w:w w:val="100"/>
          <w:position w:val="0"/>
        </w:rPr>
        <w:t>短期薪酬</w:t>
      </w:r>
    </w:p>
    <w:p>
      <w:pPr>
        <w:pStyle w:val="Style20"/>
        <w:keepNext w:val="0"/>
        <w:keepLines w:val="0"/>
        <w:widowControl w:val="0"/>
        <w:shd w:val="clear" w:color="auto" w:fill="auto"/>
        <w:bidi w:val="0"/>
        <w:spacing w:before="0" w:after="0" w:line="245" w:lineRule="exact"/>
        <w:ind w:left="0" w:right="0" w:firstLine="0"/>
        <w:jc w:val="both"/>
      </w:pPr>
      <w:r>
        <w:rPr>
          <w:color w:val="000000"/>
          <w:spacing w:val="0"/>
          <w:w w:val="100"/>
          <w:position w:val="0"/>
        </w:rPr>
        <w:t>本集团在职工提供服务的会计期间，将实际发生或按规定的基准和比例计提的职工工资、奖金、医疗保险费、工伤保险费和 生育保险费等社会保险费和住房公积金，确认为负债，并计入当期损益或相关资产成本。</w:t>
      </w:r>
    </w:p>
    <w:p>
      <w:pPr>
        <w:pStyle w:val="Style20"/>
        <w:keepNext w:val="0"/>
        <w:keepLines w:val="0"/>
        <w:widowControl w:val="0"/>
        <w:shd w:val="clear" w:color="auto" w:fill="auto"/>
        <w:tabs>
          <w:tab w:pos="406" w:val="left"/>
        </w:tabs>
        <w:bidi w:val="0"/>
        <w:spacing w:before="0" w:after="0" w:line="245" w:lineRule="exact"/>
        <w:ind w:left="0" w:right="0" w:firstLine="0"/>
        <w:jc w:val="both"/>
      </w:pPr>
      <w:bookmarkStart w:id="626" w:name="bookmark626"/>
      <w:r>
        <w:rPr>
          <w:rFonts w:ascii="Times New Roman" w:eastAsia="Times New Roman" w:hAnsi="Times New Roman" w:cs="Times New Roman"/>
          <w:color w:val="000000"/>
          <w:spacing w:val="0"/>
          <w:w w:val="100"/>
          <w:position w:val="0"/>
        </w:rPr>
        <w:t>（</w:t>
      </w:r>
      <w:bookmarkEnd w:id="626"/>
      <w:r>
        <w:rPr>
          <w:rFonts w:ascii="Times New Roman" w:eastAsia="Times New Roman" w:hAnsi="Times New Roman" w:cs="Times New Roman"/>
          <w:color w:val="000000"/>
          <w:spacing w:val="0"/>
          <w:w w:val="100"/>
          <w:position w:val="0"/>
        </w:rPr>
        <w:t>2）</w:t>
        <w:tab/>
      </w:r>
      <w:r>
        <w:rPr>
          <w:color w:val="000000"/>
          <w:spacing w:val="0"/>
          <w:w w:val="100"/>
          <w:position w:val="0"/>
        </w:rPr>
        <w:t>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设定提存计划</w:t>
      </w:r>
    </w:p>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本集团所参与的设定提存计划是按照中国有关法规要求，本集团职工参加的由政府机构设立管理的社会保障体系中的基本 养老保险。基本养老保险的缴费金额按国家规定的基准和比例计算。本集团在职工提供服务的会计期间，将应缴存的金额确 认为负债，并计入当期损益或相关资产成本。</w:t>
      </w:r>
    </w:p>
    <w:p>
      <w:pPr>
        <w:pStyle w:val="Style20"/>
        <w:keepNext w:val="0"/>
        <w:keepLines w:val="0"/>
        <w:widowControl w:val="0"/>
        <w:shd w:val="clear" w:color="auto" w:fill="auto"/>
        <w:tabs>
          <w:tab w:pos="406" w:val="left"/>
        </w:tabs>
        <w:bidi w:val="0"/>
        <w:spacing w:before="0" w:after="0" w:line="276" w:lineRule="auto"/>
        <w:ind w:left="0" w:right="0" w:firstLine="0"/>
        <w:jc w:val="both"/>
      </w:pPr>
      <w:bookmarkStart w:id="627" w:name="bookmark627"/>
      <w:r>
        <w:rPr>
          <w:rFonts w:ascii="Times New Roman" w:eastAsia="Times New Roman" w:hAnsi="Times New Roman" w:cs="Times New Roman"/>
          <w:color w:val="000000"/>
          <w:spacing w:val="0"/>
          <w:w w:val="100"/>
          <w:position w:val="0"/>
        </w:rPr>
        <w:t>（</w:t>
      </w:r>
      <w:bookmarkEnd w:id="627"/>
      <w:r>
        <w:rPr>
          <w:rFonts w:ascii="Times New Roman" w:eastAsia="Times New Roman" w:hAnsi="Times New Roman" w:cs="Times New Roman"/>
          <w:color w:val="000000"/>
          <w:spacing w:val="0"/>
          <w:w w:val="100"/>
          <w:position w:val="0"/>
        </w:rPr>
        <w:t>3）</w:t>
        <w:tab/>
      </w:r>
      <w:r>
        <w:rPr>
          <w:color w:val="000000"/>
          <w:spacing w:val="0"/>
          <w:w w:val="100"/>
          <w:position w:val="0"/>
        </w:rPr>
        <w:t>辞退福利</w:t>
      </w:r>
    </w:p>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本集团在职工劳动合同到期之前解除与职工的劳动关系，或者为鼓励职工自愿接受裁减而提出给予补偿的建议，在下列两者 孰早日，确认辞退福利产生的负债，同时计入当期损益：</w:t>
      </w:r>
    </w:p>
    <w:p>
      <w:pPr>
        <w:pStyle w:val="Style20"/>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本集团不能单方面撤回因解除劳动关系计划或裁减建议所提供的辞退福利时；</w:t>
      </w:r>
    </w:p>
    <w:p>
      <w:pPr>
        <w:pStyle w:val="Style20"/>
        <w:keepNext w:val="0"/>
        <w:keepLines w:val="0"/>
        <w:widowControl w:val="0"/>
        <w:shd w:val="clear" w:color="auto" w:fill="auto"/>
        <w:bidi w:val="0"/>
        <w:spacing w:before="0" w:after="340" w:line="235" w:lineRule="exact"/>
        <w:ind w:left="300" w:right="0" w:hanging="300"/>
        <w:jc w:val="both"/>
      </w:pPr>
      <w:r>
        <w:rPr>
          <w:rFonts w:ascii="Times New Roman" w:eastAsia="Times New Roman" w:hAnsi="Times New Roman" w:cs="Times New Roman"/>
          <w:color w:val="000000"/>
          <w:spacing w:val="0"/>
          <w:w w:val="100"/>
          <w:position w:val="0"/>
        </w:rPr>
        <w:t>-</w:t>
      </w:r>
      <w:r>
        <w:rPr>
          <w:color w:val="000000"/>
          <w:spacing w:val="0"/>
          <w:w w:val="100"/>
          <w:position w:val="0"/>
        </w:rPr>
        <w:t>本集团有详细、正式的涉及支付辞退福利的重组计划；并且，该重组计划已开始实施，或已向受其影响的各方通告了该 计划的主要内容，从而使各方形成了对本集团将实施重组的合理预期。</w:t>
      </w:r>
    </w:p>
    <w:p>
      <w:pPr>
        <w:pStyle w:val="Style20"/>
        <w:keepNext w:val="0"/>
        <w:keepLines w:val="0"/>
        <w:widowControl w:val="0"/>
        <w:shd w:val="clear" w:color="auto" w:fill="auto"/>
        <w:tabs>
          <w:tab w:pos="445" w:val="left"/>
        </w:tabs>
        <w:bidi w:val="0"/>
        <w:spacing w:before="0" w:after="0" w:line="240" w:lineRule="exact"/>
        <w:ind w:left="0" w:right="0" w:firstLine="0"/>
        <w:jc w:val="both"/>
      </w:pPr>
      <w:bookmarkStart w:id="628" w:name="bookmark628"/>
      <w:r>
        <w:rPr>
          <w:rFonts w:ascii="Times New Roman" w:eastAsia="Times New Roman" w:hAnsi="Times New Roman" w:cs="Times New Roman"/>
          <w:color w:val="000000"/>
          <w:spacing w:val="0"/>
          <w:w w:val="100"/>
          <w:position w:val="0"/>
        </w:rPr>
        <w:t>2</w:t>
      </w:r>
      <w:bookmarkEnd w:id="628"/>
      <w:r>
        <w:rPr>
          <w:rFonts w:ascii="Times New Roman" w:eastAsia="Times New Roman" w:hAnsi="Times New Roman" w:cs="Times New Roman"/>
          <w:color w:val="000000"/>
          <w:spacing w:val="0"/>
          <w:w w:val="100"/>
          <w:position w:val="0"/>
        </w:rPr>
        <w:t>3</w:t>
      </w:r>
      <w:r>
        <w:rPr>
          <w:color w:val="000000"/>
          <w:spacing w:val="0"/>
          <w:w w:val="100"/>
          <w:position w:val="0"/>
        </w:rPr>
        <w:t>、</w:t>
        <w:tab/>
        <w:t>租赁负债</w:t>
      </w:r>
    </w:p>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租赁负债按照租赁期开始日尚未支付的租赁付款额的现值进行初始计量，折现率为租赁内含利率。无法确定租赁内含利率 的，采用本集团增量借款利率作为折现率，详见附注五、</w:t>
      </w:r>
      <w:r>
        <w:rPr>
          <w:rFonts w:ascii="Times New Roman" w:eastAsia="Times New Roman" w:hAnsi="Times New Roman" w:cs="Times New Roman"/>
          <w:color w:val="000000"/>
          <w:spacing w:val="0"/>
          <w:w w:val="100"/>
          <w:position w:val="0"/>
        </w:rPr>
        <w:t>28</w:t>
      </w:r>
      <w:r>
        <w:rPr>
          <w:color w:val="000000"/>
          <w:spacing w:val="0"/>
          <w:w w:val="100"/>
          <w:position w:val="0"/>
        </w:rPr>
        <w:t>。</w:t>
      </w:r>
    </w:p>
    <w:p>
      <w:pPr>
        <w:pStyle w:val="Style20"/>
        <w:keepNext w:val="0"/>
        <w:keepLines w:val="0"/>
        <w:widowControl w:val="0"/>
        <w:pBdr>
          <w:top w:val="single" w:sz="4" w:space="0" w:color="auto"/>
        </w:pBdr>
        <w:shd w:val="clear" w:color="auto" w:fill="auto"/>
        <w:tabs>
          <w:tab w:pos="422" w:val="left"/>
        </w:tabs>
        <w:bidi w:val="0"/>
        <w:spacing w:before="0" w:after="40" w:line="230" w:lineRule="exact"/>
        <w:ind w:left="0" w:right="0" w:firstLine="0"/>
        <w:jc w:val="both"/>
      </w:pPr>
      <w:bookmarkStart w:id="629" w:name="bookmark629"/>
      <w:r>
        <w:rPr>
          <w:rFonts w:ascii="Times New Roman" w:eastAsia="Times New Roman" w:hAnsi="Times New Roman" w:cs="Times New Roman"/>
          <w:color w:val="000000"/>
          <w:spacing w:val="0"/>
          <w:w w:val="100"/>
          <w:position w:val="0"/>
        </w:rPr>
        <w:t>2</w:t>
      </w:r>
      <w:bookmarkEnd w:id="629"/>
      <w:r>
        <w:rPr>
          <w:rFonts w:ascii="Times New Roman" w:eastAsia="Times New Roman" w:hAnsi="Times New Roman" w:cs="Times New Roman"/>
          <w:color w:val="000000"/>
          <w:spacing w:val="0"/>
          <w:w w:val="100"/>
          <w:position w:val="0"/>
        </w:rPr>
        <w:t>4</w:t>
      </w:r>
      <w:r>
        <w:rPr>
          <w:color w:val="000000"/>
          <w:spacing w:val="0"/>
          <w:w w:val="100"/>
          <w:position w:val="0"/>
        </w:rPr>
        <w:t>、</w:t>
        <w:tab/>
        <w:t>预计负债</w:t>
      </w:r>
    </w:p>
    <w:p>
      <w:pPr>
        <w:pStyle w:val="Style20"/>
        <w:keepNext w:val="0"/>
        <w:keepLines w:val="0"/>
        <w:widowControl w:val="0"/>
        <w:shd w:val="clear" w:color="auto" w:fill="auto"/>
        <w:bidi w:val="0"/>
        <w:spacing w:before="0" w:after="40" w:line="230" w:lineRule="exact"/>
        <w:ind w:left="0" w:right="0" w:firstLine="0"/>
        <w:jc w:val="both"/>
      </w:pPr>
      <w:r>
        <w:rPr>
          <w:color w:val="000000"/>
          <w:spacing w:val="0"/>
          <w:w w:val="100"/>
          <w:position w:val="0"/>
        </w:rPr>
        <w:t>如果与或有事项相关的义务是本集团承担的现时义务，且该义务的履行很可能会导致经济利益流出本集团，以及有关金额能 够可靠地计量，则本集团会确认预计负债。</w:t>
      </w:r>
    </w:p>
    <w:p>
      <w:pPr>
        <w:pStyle w:val="Style20"/>
        <w:keepNext w:val="0"/>
        <w:keepLines w:val="0"/>
        <w:widowControl w:val="0"/>
        <w:shd w:val="clear" w:color="auto" w:fill="auto"/>
        <w:bidi w:val="0"/>
        <w:spacing w:before="0" w:after="40" w:line="230" w:lineRule="exact"/>
        <w:ind w:left="0" w:right="0" w:firstLine="0"/>
        <w:jc w:val="both"/>
      </w:pPr>
      <w:r>
        <w:rPr>
          <w:color w:val="000000"/>
          <w:spacing w:val="0"/>
          <w:w w:val="100"/>
          <w:position w:val="0"/>
        </w:rPr>
        <w:t>预计负债按照履行相关现时义务所需支出的最佳估计数进行初始计量。对于货币时间价值影响重大的，预计负债以预计未来 现金流量折现后的金额确定。在确定最佳估计数时，本集团综合考虑了与或有事项有关的风险、不确定性和货币时间价值等 因素。所需支出存在一个连续范围，且该范围内各种结果发生的可能性相同的，最佳估计数按照该范围内的中间值确定；在 其他情况下，最佳估计数分别下列情况处理：</w:t>
      </w:r>
    </w:p>
    <w:p>
      <w:pPr>
        <w:pStyle w:val="Style20"/>
        <w:keepNext w:val="0"/>
        <w:keepLines w:val="0"/>
        <w:widowControl w:val="0"/>
        <w:shd w:val="clear" w:color="auto" w:fill="auto"/>
        <w:bidi w:val="0"/>
        <w:spacing w:before="0" w:after="40" w:line="230"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或有事项涉及单个项目的，按照最可能发生金额确定。</w:t>
      </w:r>
    </w:p>
    <w:p>
      <w:pPr>
        <w:pStyle w:val="Style20"/>
        <w:keepNext w:val="0"/>
        <w:keepLines w:val="0"/>
        <w:widowControl w:val="0"/>
        <w:shd w:val="clear" w:color="auto" w:fill="auto"/>
        <w:bidi w:val="0"/>
        <w:spacing w:before="0" w:after="40" w:line="230"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或有事项涉及多个项目的，按照各种可能结果及相关概率计算确定。</w:t>
      </w:r>
    </w:p>
    <w:p>
      <w:pPr>
        <w:pStyle w:val="Style20"/>
        <w:keepNext w:val="0"/>
        <w:keepLines w:val="0"/>
        <w:widowControl w:val="0"/>
        <w:shd w:val="clear" w:color="auto" w:fill="auto"/>
        <w:bidi w:val="0"/>
        <w:spacing w:before="0" w:after="320" w:line="230" w:lineRule="exact"/>
        <w:ind w:left="0" w:right="0" w:firstLine="0"/>
        <w:jc w:val="both"/>
      </w:pPr>
      <w:r>
        <w:rPr>
          <w:color w:val="000000"/>
          <w:spacing w:val="0"/>
          <w:w w:val="100"/>
          <w:position w:val="0"/>
        </w:rPr>
        <w:t>本集团在资产负债表日对预计负债的账面价值进行复核，并按照当前最佳估计数对该账面价值进行调整。</w:t>
      </w:r>
    </w:p>
    <w:p>
      <w:pPr>
        <w:pStyle w:val="Style20"/>
        <w:keepNext w:val="0"/>
        <w:keepLines w:val="0"/>
        <w:widowControl w:val="0"/>
        <w:shd w:val="clear" w:color="auto" w:fill="auto"/>
        <w:tabs>
          <w:tab w:pos="422" w:val="left"/>
        </w:tabs>
        <w:bidi w:val="0"/>
        <w:spacing w:before="0" w:after="40" w:line="230" w:lineRule="exact"/>
        <w:ind w:left="0" w:right="0" w:firstLine="0"/>
        <w:jc w:val="both"/>
      </w:pPr>
      <w:bookmarkStart w:id="630" w:name="bookmark630"/>
      <w:r>
        <w:rPr>
          <w:rFonts w:ascii="Times New Roman" w:eastAsia="Times New Roman" w:hAnsi="Times New Roman" w:cs="Times New Roman"/>
          <w:color w:val="000000"/>
          <w:spacing w:val="0"/>
          <w:w w:val="100"/>
          <w:position w:val="0"/>
        </w:rPr>
        <w:t>2</w:t>
      </w:r>
      <w:bookmarkEnd w:id="630"/>
      <w:r>
        <w:rPr>
          <w:rFonts w:ascii="Times New Roman" w:eastAsia="Times New Roman" w:hAnsi="Times New Roman" w:cs="Times New Roman"/>
          <w:color w:val="000000"/>
          <w:spacing w:val="0"/>
          <w:w w:val="100"/>
          <w:position w:val="0"/>
        </w:rPr>
        <w:t>5</w:t>
      </w:r>
      <w:r>
        <w:rPr>
          <w:color w:val="000000"/>
          <w:spacing w:val="0"/>
          <w:w w:val="100"/>
          <w:position w:val="0"/>
        </w:rPr>
        <w:t>、</w:t>
        <w:tab/>
        <w:t>收入</w:t>
      </w:r>
    </w:p>
    <w:p>
      <w:pPr>
        <w:pStyle w:val="Style20"/>
        <w:keepNext w:val="0"/>
        <w:keepLines w:val="0"/>
        <w:widowControl w:val="0"/>
        <w:shd w:val="clear" w:color="auto" w:fill="auto"/>
        <w:bidi w:val="0"/>
        <w:spacing w:before="0" w:after="40" w:line="230" w:lineRule="exact"/>
        <w:ind w:left="0" w:right="0" w:firstLine="0"/>
        <w:jc w:val="both"/>
      </w:pPr>
      <w:r>
        <w:rPr>
          <w:color w:val="000000"/>
          <w:spacing w:val="0"/>
          <w:w w:val="100"/>
          <w:position w:val="0"/>
        </w:rPr>
        <w:t>收入是本集团在日常活动中形成的、会导致股东权益增加且与股东投入资本无关的经济利益的总流入。</w:t>
      </w:r>
    </w:p>
    <w:p>
      <w:pPr>
        <w:pStyle w:val="Style20"/>
        <w:keepNext w:val="0"/>
        <w:keepLines w:val="0"/>
        <w:widowControl w:val="0"/>
        <w:shd w:val="clear" w:color="auto" w:fill="auto"/>
        <w:bidi w:val="0"/>
        <w:spacing w:before="0" w:after="40" w:line="230" w:lineRule="exact"/>
        <w:ind w:left="0" w:right="0" w:firstLine="0"/>
        <w:jc w:val="both"/>
      </w:pPr>
      <w:r>
        <w:rPr>
          <w:color w:val="000000"/>
          <w:spacing w:val="0"/>
          <w:w w:val="100"/>
          <w:position w:val="0"/>
        </w:rPr>
        <w:t>本集团在履行了合同中的履约义务，即在客户取得相关商品或服务的控制权时，确认收入。</w:t>
      </w:r>
    </w:p>
    <w:p>
      <w:pPr>
        <w:pStyle w:val="Style20"/>
        <w:keepNext w:val="0"/>
        <w:keepLines w:val="0"/>
        <w:widowControl w:val="0"/>
        <w:shd w:val="clear" w:color="auto" w:fill="auto"/>
        <w:bidi w:val="0"/>
        <w:spacing w:before="0" w:after="40" w:line="229" w:lineRule="exact"/>
        <w:ind w:left="0" w:right="0" w:firstLine="0"/>
        <w:jc w:val="both"/>
      </w:pPr>
      <w:r>
        <w:rPr>
          <w:color w:val="000000"/>
          <w:spacing w:val="0"/>
          <w:w w:val="100"/>
          <w:position w:val="0"/>
        </w:rPr>
        <w:t>合同中包含两项或多项履约义务的，本集团在合同开始日，按照各单项履约义务所承诺商品或服务的单独售价的相对比例， 将交易价格分摊至各单项履约义务，按照分摊至各单项履约义务的交易价格计量收入。单独售价，是指本集团向客户单独销 售商品或提供服务的价格。单独售价无法直接观察的，本集团综合考虑能够合理取得的全部相关信息，并最大限度地采用可 观察的输入值估计单独售价。</w:t>
      </w:r>
    </w:p>
    <w:p>
      <w:pPr>
        <w:pStyle w:val="Style20"/>
        <w:keepNext w:val="0"/>
        <w:keepLines w:val="0"/>
        <w:widowControl w:val="0"/>
        <w:shd w:val="clear" w:color="auto" w:fill="auto"/>
        <w:bidi w:val="0"/>
        <w:spacing w:before="0" w:after="40" w:line="228" w:lineRule="exact"/>
        <w:ind w:left="0" w:right="0" w:firstLine="0"/>
        <w:jc w:val="both"/>
      </w:pPr>
      <w:r>
        <w:rPr>
          <w:color w:val="000000"/>
          <w:spacing w:val="0"/>
          <w:w w:val="100"/>
          <w:position w:val="0"/>
        </w:rPr>
        <w:t>附有质量保证条款的合同，本集团对其所提供的质量保证的性质进行分析，如果质量保证在向客户保证所销售的商品符合既 定标准之外提供了一项单独服务，本集团将其作为单项履约义务。否则，本集团按照《企业会计准则第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号——或有事项》 的规定进行会计处理。</w:t>
      </w:r>
    </w:p>
    <w:p>
      <w:pPr>
        <w:pStyle w:val="Style20"/>
        <w:keepNext w:val="0"/>
        <w:keepLines w:val="0"/>
        <w:widowControl w:val="0"/>
        <w:shd w:val="clear" w:color="auto" w:fill="auto"/>
        <w:bidi w:val="0"/>
        <w:spacing w:before="0" w:after="40" w:line="229" w:lineRule="exact"/>
        <w:ind w:left="0" w:right="0" w:firstLine="0"/>
        <w:jc w:val="both"/>
      </w:pPr>
      <w:r>
        <w:rPr>
          <w:color w:val="000000"/>
          <w:spacing w:val="0"/>
          <w:w w:val="100"/>
          <w:position w:val="0"/>
        </w:rPr>
        <w:t>交易价格是本集团因向客户转让商品或服务而预期有权收取的对价金额，不包括代第三方收取的款项。本集团确认的交易价 格不超过在相关不确定性消除时累计已确认收入极可能不会发生重大转回的金额。合同中存在重大融资成分的，本集团按照 假定客户在取得商品或服务控制权时即以现金支付的应付金额确定交易价格。该交易价格与合同对价之间的差额，在合同期 间内采用实际利率法摊销。合同开始日，本集团预计客户取得商品或服务控制权与客户支付价款间隔不超过一年的，不考虑 合同中存在的重大融资成分。</w:t>
      </w:r>
    </w:p>
    <w:p>
      <w:pPr>
        <w:pStyle w:val="Style20"/>
        <w:keepNext w:val="0"/>
        <w:keepLines w:val="0"/>
        <w:widowControl w:val="0"/>
        <w:shd w:val="clear" w:color="auto" w:fill="auto"/>
        <w:bidi w:val="0"/>
        <w:spacing w:before="0" w:after="40" w:line="230" w:lineRule="exact"/>
        <w:ind w:left="0" w:right="0" w:firstLine="0"/>
        <w:jc w:val="both"/>
      </w:pPr>
      <w:r>
        <w:rPr>
          <w:color w:val="000000"/>
          <w:spacing w:val="0"/>
          <w:w w:val="100"/>
          <w:position w:val="0"/>
        </w:rPr>
        <w:t>满足下列条件之一时，本集团属于在某一时段内履行履约义务，否则，属于在某一时点履行履约义务：</w:t>
      </w:r>
    </w:p>
    <w:p>
      <w:pPr>
        <w:pStyle w:val="Style20"/>
        <w:keepNext w:val="0"/>
        <w:keepLines w:val="0"/>
        <w:widowControl w:val="0"/>
        <w:shd w:val="clear" w:color="auto" w:fill="auto"/>
        <w:bidi w:val="0"/>
        <w:spacing w:before="0" w:after="40" w:line="230"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客户在本集团履约的同时即取得并消耗本集团履约所带来的经济利益；</w:t>
      </w:r>
    </w:p>
    <w:p>
      <w:pPr>
        <w:pStyle w:val="Style20"/>
        <w:keepNext w:val="0"/>
        <w:keepLines w:val="0"/>
        <w:widowControl w:val="0"/>
        <w:shd w:val="clear" w:color="auto" w:fill="auto"/>
        <w:bidi w:val="0"/>
        <w:spacing w:before="0" w:after="40" w:line="230"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客户能够控制本集团履约过程中在建的商品；</w:t>
      </w:r>
    </w:p>
    <w:p>
      <w:pPr>
        <w:pStyle w:val="Style20"/>
        <w:keepNext w:val="0"/>
        <w:keepLines w:val="0"/>
        <w:widowControl w:val="0"/>
        <w:shd w:val="clear" w:color="auto" w:fill="auto"/>
        <w:bidi w:val="0"/>
        <w:spacing w:before="0" w:after="40" w:line="235" w:lineRule="exact"/>
        <w:ind w:left="300" w:right="0" w:hanging="300"/>
        <w:jc w:val="both"/>
      </w:pPr>
      <w:r>
        <w:rPr>
          <w:rFonts w:ascii="Times New Roman" w:eastAsia="Times New Roman" w:hAnsi="Times New Roman" w:cs="Times New Roman"/>
          <w:color w:val="000000"/>
          <w:spacing w:val="0"/>
          <w:w w:val="100"/>
          <w:position w:val="0"/>
        </w:rPr>
        <w:t>-</w:t>
      </w:r>
      <w:r>
        <w:rPr>
          <w:color w:val="000000"/>
          <w:spacing w:val="0"/>
          <w:w w:val="100"/>
          <w:position w:val="0"/>
        </w:rPr>
        <w:t>本集团履约过程中所产出的商品具有不可替代用途，且本集团在整个合同期间内有权就累计至今已完成的履约部分收取 款项。</w:t>
      </w:r>
    </w:p>
    <w:p>
      <w:pPr>
        <w:pStyle w:val="Style20"/>
        <w:keepNext w:val="0"/>
        <w:keepLines w:val="0"/>
        <w:widowControl w:val="0"/>
        <w:shd w:val="clear" w:color="auto" w:fill="auto"/>
        <w:bidi w:val="0"/>
        <w:spacing w:before="0" w:after="40" w:line="240" w:lineRule="exact"/>
        <w:ind w:left="0" w:right="0" w:firstLine="0"/>
        <w:jc w:val="both"/>
      </w:pPr>
      <w:r>
        <w:rPr>
          <w:color w:val="000000"/>
          <w:spacing w:val="0"/>
          <w:w w:val="100"/>
          <w:position w:val="0"/>
        </w:rPr>
        <w:t>对于在某一时段内履行的履约义务，本集团在该段时间内按照履约进度确认收入。履约进度不能合理确定时，本集团已经发 生的成本预计能够得到补偿的，按照已经发生的成本金额确认收入，直到履约进度能够合理确定为止。</w:t>
      </w:r>
    </w:p>
    <w:p>
      <w:pPr>
        <w:pStyle w:val="Style20"/>
        <w:keepNext w:val="0"/>
        <w:keepLines w:val="0"/>
        <w:widowControl w:val="0"/>
        <w:shd w:val="clear" w:color="auto" w:fill="auto"/>
        <w:bidi w:val="0"/>
        <w:spacing w:before="0" w:after="40" w:line="235" w:lineRule="exact"/>
        <w:ind w:left="0" w:right="0" w:firstLine="0"/>
        <w:jc w:val="both"/>
      </w:pPr>
      <w:r>
        <w:rPr>
          <w:color w:val="000000"/>
          <w:spacing w:val="0"/>
          <w:w w:val="100"/>
          <w:position w:val="0"/>
        </w:rPr>
        <w:t>对于在某一时点履行的履约义务，本集团在客户取得相关商品或服务控制权时点确认收入。在判断客户是否已取得商品或服 务控制权时，本集团会考虑下列迹象：</w:t>
      </w:r>
    </w:p>
    <w:p>
      <w:pPr>
        <w:pStyle w:val="Style20"/>
        <w:keepNext w:val="0"/>
        <w:keepLines w:val="0"/>
        <w:widowControl w:val="0"/>
        <w:shd w:val="clear" w:color="auto" w:fill="auto"/>
        <w:bidi w:val="0"/>
        <w:spacing w:before="0" w:after="40" w:line="230"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本集团就该商品或服务享有现时收款权利；</w:t>
      </w:r>
    </w:p>
    <w:p>
      <w:pPr>
        <w:pStyle w:val="Style20"/>
        <w:keepNext w:val="0"/>
        <w:keepLines w:val="0"/>
        <w:widowControl w:val="0"/>
        <w:shd w:val="clear" w:color="auto" w:fill="auto"/>
        <w:bidi w:val="0"/>
        <w:spacing w:before="0" w:after="40" w:line="230"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本集团已将该商品的实物转移给客户；</w:t>
      </w:r>
    </w:p>
    <w:p>
      <w:pPr>
        <w:pStyle w:val="Style20"/>
        <w:keepNext w:val="0"/>
        <w:keepLines w:val="0"/>
        <w:widowControl w:val="0"/>
        <w:shd w:val="clear" w:color="auto" w:fill="auto"/>
        <w:bidi w:val="0"/>
        <w:spacing w:before="0" w:after="40" w:line="230"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本集团已将该商品的法定所有权或所有权上的主要风险和报酬转移给客户；</w:t>
      </w:r>
    </w:p>
    <w:p>
      <w:pPr>
        <w:pStyle w:val="Style20"/>
        <w:keepNext w:val="0"/>
        <w:keepLines w:val="0"/>
        <w:widowControl w:val="0"/>
        <w:shd w:val="clear" w:color="auto" w:fill="auto"/>
        <w:bidi w:val="0"/>
        <w:spacing w:before="0" w:after="40" w:line="230"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客户已接受该商品或服务等。</w:t>
      </w:r>
    </w:p>
    <w:p>
      <w:pPr>
        <w:pStyle w:val="Style20"/>
        <w:keepNext w:val="0"/>
        <w:keepLines w:val="0"/>
        <w:widowControl w:val="0"/>
        <w:shd w:val="clear" w:color="auto" w:fill="auto"/>
        <w:bidi w:val="0"/>
        <w:spacing w:before="0" w:after="40" w:line="232" w:lineRule="exact"/>
        <w:ind w:left="0" w:right="0" w:firstLine="0"/>
        <w:jc w:val="both"/>
      </w:pPr>
      <w:r>
        <w:rPr>
          <w:color w:val="000000"/>
          <w:spacing w:val="0"/>
          <w:w w:val="100"/>
          <w:position w:val="0"/>
        </w:rPr>
        <w:t>本集团根据在向客户转让商品或服务前是否拥有对该商品或服务的控制权，来判断本集团从事交易时的身份是主要责任人 还是代理人。本集团在向客户转让商品或服务前能够控制该商品或服务的，本集团为主要责任人，按照已收或应收对价总额 确认收入；否则，本集团为代理人，按照预期有权收取的佣金或手续费的金额确认收入，该金额按照已收或应收对价总额扣 除应支付给其他相关方的价款后的净额，或者按照既定的佣金金额或比例等确定。</w:t>
      </w:r>
    </w:p>
    <w:p>
      <w:pPr>
        <w:pStyle w:val="Style20"/>
        <w:keepNext w:val="0"/>
        <w:keepLines w:val="0"/>
        <w:widowControl w:val="0"/>
        <w:shd w:val="clear" w:color="auto" w:fill="auto"/>
        <w:bidi w:val="0"/>
        <w:spacing w:before="0" w:after="40" w:line="230" w:lineRule="exact"/>
        <w:ind w:left="0" w:right="0" w:firstLine="0"/>
        <w:jc w:val="both"/>
      </w:pPr>
      <w:r>
        <w:rPr>
          <w:color w:val="000000"/>
          <w:spacing w:val="0"/>
          <w:w w:val="100"/>
          <w:position w:val="0"/>
        </w:rPr>
        <w:t>对于经合同各方批准的对原合同范围或价格作出的变更，本集团区分下列情形对合同变更分别进行会计处理：</w:t>
      </w:r>
    </w:p>
    <w:p>
      <w:pPr>
        <w:pStyle w:val="Style20"/>
        <w:keepNext w:val="0"/>
        <w:keepLines w:val="0"/>
        <w:widowControl w:val="0"/>
        <w:shd w:val="clear" w:color="auto" w:fill="auto"/>
        <w:bidi w:val="0"/>
        <w:spacing w:before="0" w:after="40" w:line="226" w:lineRule="exact"/>
        <w:ind w:left="300" w:right="0" w:hanging="300"/>
        <w:jc w:val="both"/>
      </w:pPr>
      <w:r>
        <w:rPr>
          <w:rFonts w:ascii="Times New Roman" w:eastAsia="Times New Roman" w:hAnsi="Times New Roman" w:cs="Times New Roman"/>
          <w:color w:val="000000"/>
          <w:spacing w:val="0"/>
          <w:w w:val="100"/>
          <w:position w:val="0"/>
        </w:rPr>
        <w:t>-</w:t>
      </w:r>
      <w:r>
        <w:rPr>
          <w:color w:val="000000"/>
          <w:spacing w:val="0"/>
          <w:w w:val="100"/>
          <w:position w:val="0"/>
        </w:rPr>
        <w:t>合同变更增加了可明确区分的商品及合同价款，且新增合同价款反映了新增商品单独售价的，将该合同变更部分作为一 份单独的合同进行会计处理；</w:t>
      </w:r>
    </w:p>
    <w:p>
      <w:pPr>
        <w:pStyle w:val="Style20"/>
        <w:keepNext w:val="0"/>
        <w:keepLines w:val="0"/>
        <w:widowControl w:val="0"/>
        <w:shd w:val="clear" w:color="auto" w:fill="auto"/>
        <w:bidi w:val="0"/>
        <w:spacing w:before="0" w:after="40" w:line="235" w:lineRule="exact"/>
        <w:ind w:left="300" w:right="0" w:hanging="300"/>
        <w:jc w:val="both"/>
      </w:pPr>
      <w:r>
        <w:rPr>
          <w:rFonts w:ascii="Times New Roman" w:eastAsia="Times New Roman" w:hAnsi="Times New Roman" w:cs="Times New Roman"/>
          <w:color w:val="000000"/>
          <w:spacing w:val="0"/>
          <w:w w:val="100"/>
          <w:position w:val="0"/>
        </w:rPr>
        <w:t>-</w:t>
      </w:r>
      <w:r>
        <w:rPr>
          <w:color w:val="000000"/>
          <w:spacing w:val="0"/>
          <w:w w:val="100"/>
          <w:position w:val="0"/>
        </w:rPr>
        <w:t>合同变更不属于上述情形，且在合同变更日已转让的商品或已提供的服务与未转让的商品或未提供的服务之间可明确区 分的，视为原合同终止，同时，将原合同未履约部分与合同变更部分合并为新合同进行会计处理；</w:t>
      </w:r>
    </w:p>
    <w:p>
      <w:pPr>
        <w:pStyle w:val="Style20"/>
        <w:keepNext w:val="0"/>
        <w:keepLines w:val="0"/>
        <w:widowControl w:val="0"/>
        <w:shd w:val="clear" w:color="auto" w:fill="auto"/>
        <w:bidi w:val="0"/>
        <w:spacing w:before="0" w:after="40" w:line="235" w:lineRule="exact"/>
        <w:ind w:left="300" w:right="0" w:hanging="300"/>
        <w:jc w:val="both"/>
      </w:pPr>
      <w:r>
        <w:rPr>
          <w:rFonts w:ascii="Times New Roman" w:eastAsia="Times New Roman" w:hAnsi="Times New Roman" w:cs="Times New Roman"/>
          <w:color w:val="000000"/>
          <w:spacing w:val="0"/>
          <w:w w:val="100"/>
          <w:position w:val="0"/>
        </w:rPr>
        <w:t>-</w:t>
      </w:r>
      <w:r>
        <w:rPr>
          <w:color w:val="000000"/>
          <w:spacing w:val="0"/>
          <w:w w:val="100"/>
          <w:position w:val="0"/>
        </w:rPr>
        <w:t>合同变更不属于上述情形，即在合同变更日已转让的商品或已提供的服务与未转让的商品或未提供的服务之间不可明确 区分的，将该合同变更部分作为原合同的组成部分进行会计处理，由此产生的对已确认收入的影响，在合同变更日调整 当期收入。</w:t>
      </w:r>
    </w:p>
    <w:p>
      <w:pPr>
        <w:pStyle w:val="Style20"/>
        <w:keepNext w:val="0"/>
        <w:keepLines w:val="0"/>
        <w:widowControl w:val="0"/>
        <w:shd w:val="clear" w:color="auto" w:fill="auto"/>
        <w:bidi w:val="0"/>
        <w:spacing w:before="0" w:after="40" w:line="235" w:lineRule="exact"/>
        <w:ind w:left="300" w:right="0" w:hanging="300"/>
        <w:jc w:val="both"/>
      </w:pPr>
      <w:r>
        <w:rPr>
          <w:color w:val="000000"/>
          <w:spacing w:val="0"/>
          <w:w w:val="100"/>
          <w:position w:val="0"/>
        </w:rPr>
        <w:t>本集团已向客户转让商品或服务而有权收取对价的权利</w:t>
      </w:r>
      <w:r>
        <w:rPr>
          <w:color w:val="000000"/>
          <w:spacing w:val="0"/>
          <w:w w:val="100"/>
          <w:position w:val="0"/>
        </w:rPr>
        <w:t>（</w:t>
      </w:r>
      <w:r>
        <w:rPr>
          <w:color w:val="000000"/>
          <w:spacing w:val="0"/>
          <w:w w:val="100"/>
          <w:position w:val="0"/>
        </w:rPr>
        <w:t>且该权利取决于时间流逝之外的其他因素</w:t>
      </w:r>
      <w:r>
        <w:rPr>
          <w:color w:val="000000"/>
          <w:spacing w:val="0"/>
          <w:w w:val="100"/>
          <w:position w:val="0"/>
        </w:rPr>
        <w:t>）</w:t>
      </w:r>
      <w:r>
        <w:rPr>
          <w:color w:val="000000"/>
          <w:spacing w:val="0"/>
          <w:w w:val="100"/>
          <w:position w:val="0"/>
        </w:rPr>
        <w:t>作为合同资产列示，合 同资产以预期信用损失为基础计提减值</w:t>
      </w:r>
      <w:r>
        <w:rPr>
          <w:color w:val="000000"/>
          <w:spacing w:val="0"/>
          <w:w w:val="100"/>
          <w:position w:val="0"/>
        </w:rPr>
        <w:t>（</w:t>
      </w:r>
      <w:r>
        <w:rPr>
          <w:color w:val="000000"/>
          <w:spacing w:val="0"/>
          <w:w w:val="100"/>
          <w:position w:val="0"/>
        </w:rPr>
        <w:t>参见附注五、</w:t>
      </w:r>
      <w:r>
        <w:rPr>
          <w:rFonts w:ascii="Times New Roman" w:eastAsia="Times New Roman" w:hAnsi="Times New Roman" w:cs="Times New Roman"/>
          <w:color w:val="000000"/>
          <w:spacing w:val="0"/>
          <w:w w:val="100"/>
          <w:position w:val="0"/>
        </w:rPr>
        <w:t>9（6））</w:t>
      </w:r>
      <w:r>
        <w:rPr>
          <w:color w:val="000000"/>
          <w:spacing w:val="0"/>
          <w:w w:val="100"/>
          <w:position w:val="0"/>
        </w:rPr>
        <w:t>。本集团拥有的、无条件</w:t>
      </w:r>
      <w:r>
        <w:rPr>
          <w:color w:val="000000"/>
          <w:spacing w:val="0"/>
          <w:w w:val="100"/>
          <w:position w:val="0"/>
        </w:rPr>
        <w:t>（</w:t>
      </w:r>
      <w:r>
        <w:rPr>
          <w:color w:val="000000"/>
          <w:spacing w:val="0"/>
          <w:w w:val="100"/>
          <w:position w:val="0"/>
        </w:rPr>
        <w:t>仅取决于时间流逝</w:t>
      </w:r>
      <w:r>
        <w:rPr>
          <w:color w:val="000000"/>
          <w:spacing w:val="0"/>
          <w:w w:val="100"/>
          <w:position w:val="0"/>
        </w:rPr>
        <w:t>）</w:t>
      </w:r>
      <w:r>
        <w:rPr>
          <w:color w:val="000000"/>
          <w:spacing w:val="0"/>
          <w:w w:val="100"/>
          <w:position w:val="0"/>
        </w:rPr>
        <w:t>向客户收取 对价的权利作为应收款项列示。本集团已收或应收客户对价而应向客户转让商品或服务的义务作为合同负债列示。</w:t>
      </w:r>
      <w:r>
        <w:br w:type="page"/>
      </w:r>
    </w:p>
    <w:p>
      <w:pPr>
        <w:pStyle w:val="Style20"/>
        <w:keepNext w:val="0"/>
        <w:keepLines w:val="0"/>
        <w:widowControl w:val="0"/>
        <w:shd w:val="clear" w:color="auto" w:fill="auto"/>
        <w:bidi w:val="0"/>
        <w:spacing w:before="0" w:after="0" w:line="250" w:lineRule="exact"/>
        <w:ind w:left="0" w:right="0" w:firstLine="800"/>
        <w:jc w:val="both"/>
      </w:pPr>
      <w:r>
        <mc:AlternateContent>
          <mc:Choice Requires="wps">
            <w:drawing>
              <wp:anchor distT="0" distB="0" distL="0" distR="0" simplePos="0" relativeHeight="125829394" behindDoc="0" locked="0" layoutInCell="1" allowOverlap="1">
                <wp:simplePos x="0" y="0"/>
                <wp:positionH relativeFrom="page">
                  <wp:posOffset>710565</wp:posOffset>
                </wp:positionH>
                <wp:positionV relativeFrom="margin">
                  <wp:posOffset>-147955</wp:posOffset>
                </wp:positionV>
                <wp:extent cx="6150610" cy="1173480"/>
                <wp:wrapTopAndBottom/>
                <wp:docPr id="18" name="Shape 18"/>
                <a:graphic xmlns:a="http://schemas.openxmlformats.org/drawingml/2006/main">
                  <a:graphicData uri="http://schemas.microsoft.com/office/word/2010/wordprocessingShape">
                    <wps:wsp>
                      <wps:cNvSpPr txBox="1"/>
                      <wps:spPr>
                        <a:xfrm>
                          <a:ext cx="6150610" cy="1173480"/>
                        </a:xfrm>
                        <a:prstGeom prst="rect"/>
                        <a:noFill/>
                      </wps:spPr>
                      <wps:txbx>
                        <w:txbxContent>
                          <w:p>
                            <w:pPr>
                              <w:pStyle w:val="Style20"/>
                              <w:keepNext w:val="0"/>
                              <w:keepLines w:val="0"/>
                              <w:widowControl w:val="0"/>
                              <w:shd w:val="clear" w:color="auto" w:fill="auto"/>
                              <w:bidi w:val="0"/>
                              <w:spacing w:before="0" w:after="60" w:line="250" w:lineRule="exact"/>
                              <w:ind w:left="0" w:right="0" w:firstLine="494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年年度报告全文 本集团主营业务主要分为：建筑设计、绿色建筑咨询、生态城市规划、</w:t>
                            </w:r>
                            <w:r>
                              <w:rPr>
                                <w:rFonts w:ascii="Times New Roman" w:eastAsia="Times New Roman" w:hAnsi="Times New Roman" w:cs="Times New Roman"/>
                                <w:color w:val="000000"/>
                                <w:spacing w:val="0"/>
                                <w:w w:val="100"/>
                                <w:position w:val="0"/>
                              </w:rPr>
                              <w:t>EPC</w:t>
                            </w:r>
                            <w:r>
                              <w:rPr>
                                <w:color w:val="000000"/>
                                <w:spacing w:val="0"/>
                                <w:w w:val="100"/>
                                <w:position w:val="0"/>
                              </w:rPr>
                              <w:t>及项目全过程管理和公信业务等' 与本集团取得 收入的主要活动相关的具体描述如下：</w:t>
                            </w:r>
                          </w:p>
                          <w:p>
                            <w:pPr>
                              <w:pStyle w:val="Style20"/>
                              <w:keepNext w:val="0"/>
                              <w:keepLines w:val="0"/>
                              <w:widowControl w:val="0"/>
                              <w:shd w:val="clear" w:color="auto" w:fill="auto"/>
                              <w:bidi w:val="0"/>
                              <w:spacing w:before="0" w:after="0" w:line="283"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建筑设计业务</w:t>
                            </w:r>
                          </w:p>
                          <w:p>
                            <w:pPr>
                              <w:pStyle w:val="Style20"/>
                              <w:keepNext w:val="0"/>
                              <w:keepLines w:val="0"/>
                              <w:widowControl w:val="0"/>
                              <w:shd w:val="clear" w:color="auto" w:fill="auto"/>
                              <w:bidi w:val="0"/>
                              <w:spacing w:before="0" w:after="60" w:line="245" w:lineRule="exact"/>
                              <w:ind w:left="220" w:right="0" w:firstLine="0"/>
                              <w:jc w:val="both"/>
                            </w:pPr>
                            <w:r>
                              <w:rPr>
                                <w:color w:val="000000"/>
                                <w:spacing w:val="0"/>
                                <w:w w:val="100"/>
                                <w:position w:val="0"/>
                              </w:rPr>
                              <w:t>参照《工程勘察设计收费标准》</w:t>
                            </w:r>
                            <w:r>
                              <w:rPr>
                                <w:color w:val="000000"/>
                                <w:spacing w:val="0"/>
                                <w:w w:val="100"/>
                                <w:position w:val="0"/>
                              </w:rPr>
                              <w:t>(</w:t>
                            </w:r>
                            <w:r>
                              <w:rPr>
                                <w:rFonts w:ascii="Times New Roman" w:eastAsia="Times New Roman" w:hAnsi="Times New Roman" w:cs="Times New Roman"/>
                                <w:color w:val="000000"/>
                                <w:spacing w:val="0"/>
                                <w:w w:val="100"/>
                                <w:position w:val="0"/>
                              </w:rPr>
                              <w:t>2002</w:t>
                            </w:r>
                            <w:r>
                              <w:rPr>
                                <w:color w:val="000000"/>
                                <w:spacing w:val="0"/>
                                <w:w w:val="100"/>
                                <w:position w:val="0"/>
                              </w:rPr>
                              <w:t>年修订本，国家发展计划委员会、建设部编写</w:t>
                            </w:r>
                            <w:r>
                              <w:rPr>
                                <w:color w:val="000000"/>
                                <w:spacing w:val="0"/>
                                <w:w w:val="100"/>
                                <w:position w:val="0"/>
                              </w:rPr>
                              <w:t>)</w:t>
                            </w:r>
                            <w:r>
                              <w:rPr>
                                <w:color w:val="000000"/>
                                <w:spacing w:val="0"/>
                                <w:w w:val="100"/>
                                <w:position w:val="0"/>
                              </w:rPr>
                              <w:t>规定，公司建筑设计业务具体工作 流程一般分为业务承接、方案设计、初步设计、施工图设计和施工配合等五个阶段，各阶段业务活动具体情况如下：</w:t>
                            </w:r>
                          </w:p>
                          <w:p>
                            <w:pPr>
                              <w:pStyle w:val="Style59"/>
                              <w:keepNext w:val="0"/>
                              <w:keepLines w:val="0"/>
                              <w:widowControl w:val="0"/>
                              <w:shd w:val="clear" w:color="auto" w:fill="auto"/>
                              <w:bidi w:val="0"/>
                              <w:spacing w:before="0" w:after="60" w:line="283" w:lineRule="auto"/>
                              <w:ind w:left="0" w:right="0" w:firstLine="220"/>
                              <w:jc w:val="left"/>
                            </w:pPr>
                            <w:r>
                              <w:rPr>
                                <w:color w:val="000000"/>
                                <w:spacing w:val="0"/>
                                <w:w w:val="100"/>
                                <w:position w:val="0"/>
                              </w:rPr>
                              <w:t>I.</w:t>
                            </w:r>
                          </w:p>
                        </w:txbxContent>
                      </wps:txbx>
                      <wps:bodyPr lIns="0" tIns="0" rIns="0" bIns="0">
                        <a:noAutoFit/>
                      </wps:bodyPr>
                    </wps:wsp>
                  </a:graphicData>
                </a:graphic>
              </wp:anchor>
            </w:drawing>
          </mc:Choice>
          <mc:Fallback>
            <w:pict>
              <v:shape id="_x0000_s1044" type="#_x0000_t202" style="position:absolute;margin-left:55.950000000000003pt;margin-top:-11.65pt;width:484.30000000000001pt;height:92.400000000000006pt;z-index:-125829359;mso-wrap-distance-left:0;mso-wrap-distance-right:0;mso-position-horizontal-relative:page;mso-position-vertical-relative:margin" filled="f" stroked="f">
                <v:textbox inset="0,0,0,0">
                  <w:txbxContent>
                    <w:p>
                      <w:pPr>
                        <w:pStyle w:val="Style20"/>
                        <w:keepNext w:val="0"/>
                        <w:keepLines w:val="0"/>
                        <w:widowControl w:val="0"/>
                        <w:shd w:val="clear" w:color="auto" w:fill="auto"/>
                        <w:bidi w:val="0"/>
                        <w:spacing w:before="0" w:after="60" w:line="250" w:lineRule="exact"/>
                        <w:ind w:left="0" w:right="0" w:firstLine="494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年年度报告全文 本集团主营业务主要分为：建筑设计、绿色建筑咨询、生态城市规划、</w:t>
                      </w:r>
                      <w:r>
                        <w:rPr>
                          <w:rFonts w:ascii="Times New Roman" w:eastAsia="Times New Roman" w:hAnsi="Times New Roman" w:cs="Times New Roman"/>
                          <w:color w:val="000000"/>
                          <w:spacing w:val="0"/>
                          <w:w w:val="100"/>
                          <w:position w:val="0"/>
                        </w:rPr>
                        <w:t>EPC</w:t>
                      </w:r>
                      <w:r>
                        <w:rPr>
                          <w:color w:val="000000"/>
                          <w:spacing w:val="0"/>
                          <w:w w:val="100"/>
                          <w:position w:val="0"/>
                        </w:rPr>
                        <w:t>及项目全过程管理和公信业务等' 与本集团取得 收入的主要活动相关的具体描述如下：</w:t>
                      </w:r>
                    </w:p>
                    <w:p>
                      <w:pPr>
                        <w:pStyle w:val="Style20"/>
                        <w:keepNext w:val="0"/>
                        <w:keepLines w:val="0"/>
                        <w:widowControl w:val="0"/>
                        <w:shd w:val="clear" w:color="auto" w:fill="auto"/>
                        <w:bidi w:val="0"/>
                        <w:spacing w:before="0" w:after="0" w:line="283"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建筑设计业务</w:t>
                      </w:r>
                    </w:p>
                    <w:p>
                      <w:pPr>
                        <w:pStyle w:val="Style20"/>
                        <w:keepNext w:val="0"/>
                        <w:keepLines w:val="0"/>
                        <w:widowControl w:val="0"/>
                        <w:shd w:val="clear" w:color="auto" w:fill="auto"/>
                        <w:bidi w:val="0"/>
                        <w:spacing w:before="0" w:after="60" w:line="245" w:lineRule="exact"/>
                        <w:ind w:left="220" w:right="0" w:firstLine="0"/>
                        <w:jc w:val="both"/>
                      </w:pPr>
                      <w:r>
                        <w:rPr>
                          <w:color w:val="000000"/>
                          <w:spacing w:val="0"/>
                          <w:w w:val="100"/>
                          <w:position w:val="0"/>
                        </w:rPr>
                        <w:t>参照《工程勘察设计收费标准》</w:t>
                      </w:r>
                      <w:r>
                        <w:rPr>
                          <w:color w:val="000000"/>
                          <w:spacing w:val="0"/>
                          <w:w w:val="100"/>
                          <w:position w:val="0"/>
                        </w:rPr>
                        <w:t>(</w:t>
                      </w:r>
                      <w:r>
                        <w:rPr>
                          <w:rFonts w:ascii="Times New Roman" w:eastAsia="Times New Roman" w:hAnsi="Times New Roman" w:cs="Times New Roman"/>
                          <w:color w:val="000000"/>
                          <w:spacing w:val="0"/>
                          <w:w w:val="100"/>
                          <w:position w:val="0"/>
                        </w:rPr>
                        <w:t>2002</w:t>
                      </w:r>
                      <w:r>
                        <w:rPr>
                          <w:color w:val="000000"/>
                          <w:spacing w:val="0"/>
                          <w:w w:val="100"/>
                          <w:position w:val="0"/>
                        </w:rPr>
                        <w:t>年修订本，国家发展计划委员会、建设部编写</w:t>
                      </w:r>
                      <w:r>
                        <w:rPr>
                          <w:color w:val="000000"/>
                          <w:spacing w:val="0"/>
                          <w:w w:val="100"/>
                          <w:position w:val="0"/>
                        </w:rPr>
                        <w:t>)</w:t>
                      </w:r>
                      <w:r>
                        <w:rPr>
                          <w:color w:val="000000"/>
                          <w:spacing w:val="0"/>
                          <w:w w:val="100"/>
                          <w:position w:val="0"/>
                        </w:rPr>
                        <w:t>规定，公司建筑设计业务具体工作 流程一般分为业务承接、方案设计、初步设计、施工图设计和施工配合等五个阶段，各阶段业务活动具体情况如下：</w:t>
                      </w:r>
                    </w:p>
                    <w:p>
                      <w:pPr>
                        <w:pStyle w:val="Style59"/>
                        <w:keepNext w:val="0"/>
                        <w:keepLines w:val="0"/>
                        <w:widowControl w:val="0"/>
                        <w:shd w:val="clear" w:color="auto" w:fill="auto"/>
                        <w:bidi w:val="0"/>
                        <w:spacing w:before="0" w:after="60" w:line="283" w:lineRule="auto"/>
                        <w:ind w:left="0" w:right="0" w:firstLine="220"/>
                        <w:jc w:val="left"/>
                      </w:pPr>
                      <w:r>
                        <w:rPr>
                          <w:color w:val="000000"/>
                          <w:spacing w:val="0"/>
                          <w:w w:val="100"/>
                          <w:position w:val="0"/>
                        </w:rPr>
                        <w:t>I.</w:t>
                      </w:r>
                    </w:p>
                  </w:txbxContent>
                </v:textbox>
                <w10:wrap type="topAndBottom" anchorx="page" anchory="margin"/>
              </v:shape>
            </w:pict>
          </mc:Fallback>
        </mc:AlternateContent>
      </w:r>
      <w:r>
        <mc:AlternateContent>
          <mc:Choice Requires="wps">
            <w:drawing>
              <wp:anchor distT="88900" distB="88900" distL="139700" distR="139700" simplePos="0" relativeHeight="125829396" behindDoc="0" locked="0" layoutInCell="1" allowOverlap="1">
                <wp:simplePos x="0" y="0"/>
                <wp:positionH relativeFrom="page">
                  <wp:posOffset>838835</wp:posOffset>
                </wp:positionH>
                <wp:positionV relativeFrom="margin">
                  <wp:posOffset>1184275</wp:posOffset>
                </wp:positionV>
                <wp:extent cx="173990" cy="704215"/>
                <wp:wrapSquare wrapText="right"/>
                <wp:docPr id="20" name="Shape 20"/>
                <a:graphic xmlns:a="http://schemas.openxmlformats.org/drawingml/2006/main">
                  <a:graphicData uri="http://schemas.microsoft.com/office/word/2010/wordprocessingShape">
                    <wps:wsp>
                      <wps:cNvSpPr txBox="1"/>
                      <wps:spPr>
                        <a:xfrm>
                          <a:ext cx="173990" cy="704215"/>
                        </a:xfrm>
                        <a:prstGeom prst="rect"/>
                        <a:noFill/>
                      </wps:spPr>
                      <wps:txbx>
                        <w:txbxContent>
                          <w:p>
                            <w:pPr>
                              <w:pStyle w:val="Style59"/>
                              <w:keepNext w:val="0"/>
                              <w:keepLines w:val="0"/>
                              <w:widowControl w:val="0"/>
                              <w:shd w:val="clear" w:color="auto" w:fill="auto"/>
                              <w:bidi w:val="0"/>
                              <w:spacing w:before="0" w:after="0" w:line="317" w:lineRule="auto"/>
                              <w:ind w:left="0" w:right="0" w:firstLine="0"/>
                              <w:jc w:val="left"/>
                            </w:pPr>
                            <w:bookmarkStart w:id="563" w:name="bookmark563"/>
                            <w:r>
                              <w:rPr>
                                <w:color w:val="000000"/>
                                <w:spacing w:val="0"/>
                                <w:w w:val="100"/>
                                <w:position w:val="0"/>
                              </w:rPr>
                              <w:t>I</w:t>
                            </w:r>
                            <w:bookmarkEnd w:id="563"/>
                            <w:r>
                              <w:rPr>
                                <w:color w:val="000000"/>
                                <w:spacing w:val="0"/>
                                <w:w w:val="100"/>
                                <w:position w:val="0"/>
                              </w:rPr>
                              <w:t>I.</w:t>
                            </w:r>
                          </w:p>
                          <w:p>
                            <w:pPr>
                              <w:pStyle w:val="Style59"/>
                              <w:keepNext w:val="0"/>
                              <w:keepLines w:val="0"/>
                              <w:widowControl w:val="0"/>
                              <w:shd w:val="clear" w:color="auto" w:fill="auto"/>
                              <w:bidi w:val="0"/>
                              <w:spacing w:before="0" w:after="0" w:line="317" w:lineRule="auto"/>
                              <w:ind w:left="0" w:right="0" w:firstLine="0"/>
                              <w:jc w:val="left"/>
                            </w:pPr>
                            <w:bookmarkStart w:id="564" w:name="bookmark564"/>
                            <w:r>
                              <w:rPr>
                                <w:color w:val="000000"/>
                                <w:spacing w:val="0"/>
                                <w:w w:val="100"/>
                                <w:position w:val="0"/>
                              </w:rPr>
                              <w:t>I</w:t>
                            </w:r>
                            <w:bookmarkEnd w:id="564"/>
                            <w:r>
                              <w:rPr>
                                <w:color w:val="000000"/>
                                <w:spacing w:val="0"/>
                                <w:w w:val="100"/>
                                <w:position w:val="0"/>
                              </w:rPr>
                              <w:t>II.</w:t>
                            </w:r>
                          </w:p>
                          <w:p>
                            <w:pPr>
                              <w:pStyle w:val="Style59"/>
                              <w:keepNext w:val="0"/>
                              <w:keepLines w:val="0"/>
                              <w:widowControl w:val="0"/>
                              <w:shd w:val="clear" w:color="auto" w:fill="auto"/>
                              <w:bidi w:val="0"/>
                              <w:spacing w:before="0" w:after="0" w:line="317" w:lineRule="auto"/>
                              <w:ind w:left="0" w:right="0" w:firstLine="0"/>
                              <w:jc w:val="left"/>
                            </w:pPr>
                            <w:r>
                              <w:rPr>
                                <w:color w:val="000000"/>
                                <w:spacing w:val="0"/>
                                <w:w w:val="100"/>
                                <w:position w:val="0"/>
                              </w:rPr>
                              <w:t xml:space="preserve">IV </w:t>
                            </w:r>
                            <w:r>
                              <w:rPr>
                                <w:color w:val="000000"/>
                                <w:spacing w:val="0"/>
                                <w:w w:val="100"/>
                                <w:position w:val="0"/>
                              </w:rPr>
                              <w:t>V.</w:t>
                            </w:r>
                          </w:p>
                        </w:txbxContent>
                      </wps:txbx>
                      <wps:bodyPr lIns="0" tIns="0" rIns="0" bIns="0">
                        <a:noAutoFit/>
                      </wps:bodyPr>
                    </wps:wsp>
                  </a:graphicData>
                </a:graphic>
              </wp:anchor>
            </w:drawing>
          </mc:Choice>
          <mc:Fallback>
            <w:pict>
              <v:shape id="_x0000_s1046" type="#_x0000_t202" style="position:absolute;margin-left:66.049999999999997pt;margin-top:93.25pt;width:13.700000000000001pt;height:55.450000000000003pt;z-index:-125829357;mso-wrap-distance-left:11.pt;mso-wrap-distance-top:7.pt;mso-wrap-distance-right:11.pt;mso-wrap-distance-bottom:7.pt;mso-position-horizontal-relative:page;mso-position-vertical-relative:margin" filled="f" stroked="f">
                <v:textbox inset="0,0,0,0">
                  <w:txbxContent>
                    <w:p>
                      <w:pPr>
                        <w:pStyle w:val="Style59"/>
                        <w:keepNext w:val="0"/>
                        <w:keepLines w:val="0"/>
                        <w:widowControl w:val="0"/>
                        <w:shd w:val="clear" w:color="auto" w:fill="auto"/>
                        <w:bidi w:val="0"/>
                        <w:spacing w:before="0" w:after="0" w:line="317" w:lineRule="auto"/>
                        <w:ind w:left="0" w:right="0" w:firstLine="0"/>
                        <w:jc w:val="left"/>
                      </w:pPr>
                      <w:bookmarkStart w:id="563" w:name="bookmark563"/>
                      <w:r>
                        <w:rPr>
                          <w:color w:val="000000"/>
                          <w:spacing w:val="0"/>
                          <w:w w:val="100"/>
                          <w:position w:val="0"/>
                        </w:rPr>
                        <w:t>I</w:t>
                      </w:r>
                      <w:bookmarkEnd w:id="563"/>
                      <w:r>
                        <w:rPr>
                          <w:color w:val="000000"/>
                          <w:spacing w:val="0"/>
                          <w:w w:val="100"/>
                          <w:position w:val="0"/>
                        </w:rPr>
                        <w:t>I.</w:t>
                      </w:r>
                    </w:p>
                    <w:p>
                      <w:pPr>
                        <w:pStyle w:val="Style59"/>
                        <w:keepNext w:val="0"/>
                        <w:keepLines w:val="0"/>
                        <w:widowControl w:val="0"/>
                        <w:shd w:val="clear" w:color="auto" w:fill="auto"/>
                        <w:bidi w:val="0"/>
                        <w:spacing w:before="0" w:after="0" w:line="317" w:lineRule="auto"/>
                        <w:ind w:left="0" w:right="0" w:firstLine="0"/>
                        <w:jc w:val="left"/>
                      </w:pPr>
                      <w:bookmarkStart w:id="564" w:name="bookmark564"/>
                      <w:r>
                        <w:rPr>
                          <w:color w:val="000000"/>
                          <w:spacing w:val="0"/>
                          <w:w w:val="100"/>
                          <w:position w:val="0"/>
                        </w:rPr>
                        <w:t>I</w:t>
                      </w:r>
                      <w:bookmarkEnd w:id="564"/>
                      <w:r>
                        <w:rPr>
                          <w:color w:val="000000"/>
                          <w:spacing w:val="0"/>
                          <w:w w:val="100"/>
                          <w:position w:val="0"/>
                        </w:rPr>
                        <w:t>II.</w:t>
                      </w:r>
                    </w:p>
                    <w:p>
                      <w:pPr>
                        <w:pStyle w:val="Style59"/>
                        <w:keepNext w:val="0"/>
                        <w:keepLines w:val="0"/>
                        <w:widowControl w:val="0"/>
                        <w:shd w:val="clear" w:color="auto" w:fill="auto"/>
                        <w:bidi w:val="0"/>
                        <w:spacing w:before="0" w:after="0" w:line="317" w:lineRule="auto"/>
                        <w:ind w:left="0" w:right="0" w:firstLine="0"/>
                        <w:jc w:val="left"/>
                      </w:pPr>
                      <w:r>
                        <w:rPr>
                          <w:color w:val="000000"/>
                          <w:spacing w:val="0"/>
                          <w:w w:val="100"/>
                          <w:position w:val="0"/>
                        </w:rPr>
                        <w:t xml:space="preserve">IV </w:t>
                      </w:r>
                      <w:r>
                        <w:rPr>
                          <w:color w:val="000000"/>
                          <w:spacing w:val="0"/>
                          <w:w w:val="100"/>
                          <w:position w:val="0"/>
                        </w:rPr>
                        <w:t>V.</w:t>
                      </w:r>
                    </w:p>
                  </w:txbxContent>
                </v:textbox>
                <w10:wrap type="square" side="right" anchorx="page" anchory="margin"/>
              </v:shape>
            </w:pict>
          </mc:Fallback>
        </mc:AlternateContent>
      </w:r>
      <w:r>
        <w:rPr>
          <w:color w:val="000000"/>
          <w:spacing w:val="0"/>
          <w:w w:val="100"/>
          <w:position w:val="0"/>
        </w:rPr>
        <w:t>业务承接阶段：该阶段公司与委托方签订设计合同之后，一般会收取合同首期款，该款项属于预收款性质，公司</w:t>
      </w:r>
    </w:p>
    <w:p>
      <w:pPr>
        <w:pStyle w:val="Style20"/>
        <w:keepNext w:val="0"/>
        <w:keepLines w:val="0"/>
        <w:widowControl w:val="0"/>
        <w:shd w:val="clear" w:color="auto" w:fill="auto"/>
        <w:bidi w:val="0"/>
        <w:spacing w:before="0" w:after="40" w:line="250" w:lineRule="exact"/>
        <w:ind w:left="0" w:right="0" w:firstLine="0"/>
        <w:jc w:val="both"/>
      </w:pPr>
      <w:r>
        <w:rPr>
          <w:color w:val="000000"/>
          <w:spacing w:val="0"/>
          <w:w w:val="100"/>
          <w:position w:val="0"/>
        </w:rPr>
        <w:t>在收到时作为项目合同负债，不确认收入；</w:t>
      </w:r>
    </w:p>
    <w:p>
      <w:pPr>
        <w:pStyle w:val="Style20"/>
        <w:keepNext w:val="0"/>
        <w:keepLines w:val="0"/>
        <w:widowControl w:val="0"/>
        <w:shd w:val="clear" w:color="auto" w:fill="auto"/>
        <w:bidi w:val="0"/>
        <w:spacing w:before="0" w:after="40" w:line="250" w:lineRule="exact"/>
        <w:ind w:left="0" w:right="0" w:firstLine="0"/>
        <w:jc w:val="both"/>
      </w:pPr>
      <w:r>
        <w:rPr>
          <w:color w:val="000000"/>
          <w:spacing w:val="0"/>
          <w:w w:val="100"/>
          <w:position w:val="0"/>
        </w:rPr>
        <w:t>方案设计阶段：该阶段主要工作是公司设计部门根据合同要求进行总体方案设计；</w:t>
      </w:r>
    </w:p>
    <w:p>
      <w:pPr>
        <w:pStyle w:val="Style20"/>
        <w:keepNext w:val="0"/>
        <w:keepLines w:val="0"/>
        <w:widowControl w:val="0"/>
        <w:shd w:val="clear" w:color="auto" w:fill="auto"/>
        <w:bidi w:val="0"/>
        <w:spacing w:before="0" w:after="40" w:line="250" w:lineRule="exact"/>
        <w:ind w:left="0" w:right="0" w:firstLine="0"/>
        <w:jc w:val="both"/>
      </w:pPr>
      <w:r>
        <w:rPr>
          <w:color w:val="000000"/>
          <w:spacing w:val="0"/>
          <w:w w:val="100"/>
          <w:position w:val="0"/>
        </w:rPr>
        <w:t>初步设计阶段：该阶段主要工作系设计部门对方案进行深入设计；</w:t>
      </w:r>
    </w:p>
    <w:p>
      <w:pPr>
        <w:pStyle w:val="Style20"/>
        <w:keepNext w:val="0"/>
        <w:keepLines w:val="0"/>
        <w:widowControl w:val="0"/>
        <w:shd w:val="clear" w:color="auto" w:fill="auto"/>
        <w:bidi w:val="0"/>
        <w:spacing w:before="0" w:after="40" w:line="250" w:lineRule="exact"/>
        <w:ind w:left="0" w:right="0" w:firstLine="0"/>
        <w:jc w:val="both"/>
      </w:pPr>
      <w:r>
        <w:rPr>
          <w:color w:val="000000"/>
          <w:spacing w:val="0"/>
          <w:w w:val="100"/>
          <w:position w:val="0"/>
        </w:rPr>
        <w:t>施工图设计阶段：该阶段主要工作系设计部门根据初步设计成果进行详细的施工图设计；</w:t>
      </w:r>
    </w:p>
    <w:p>
      <w:pPr>
        <w:pStyle w:val="Style20"/>
        <w:keepNext w:val="0"/>
        <w:keepLines w:val="0"/>
        <w:widowControl w:val="0"/>
        <w:shd w:val="clear" w:color="auto" w:fill="auto"/>
        <w:bidi w:val="0"/>
        <w:spacing w:before="0" w:after="40" w:line="230" w:lineRule="exact"/>
        <w:ind w:left="0" w:right="0" w:firstLine="0"/>
        <w:jc w:val="both"/>
      </w:pPr>
      <w:r>
        <w:rPr>
          <w:color w:val="000000"/>
          <w:spacing w:val="0"/>
          <w:w w:val="100"/>
          <w:position w:val="0"/>
        </w:rPr>
        <w:t>施工配合阶段：该阶段工作主要系设计部门在出具施工图之后，配合委托方进行详细的施工、处理施工过程中的 临时工程施工障碍等，并在必要时进行设计修改。</w:t>
      </w:r>
    </w:p>
    <w:p>
      <w:pPr>
        <w:pStyle w:val="Style20"/>
        <w:keepNext w:val="0"/>
        <w:keepLines w:val="0"/>
        <w:widowControl w:val="0"/>
        <w:shd w:val="clear" w:color="auto" w:fill="auto"/>
        <w:bidi w:val="0"/>
        <w:spacing w:before="0" w:after="0" w:line="29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绿色建筑咨询业务</w:t>
      </w:r>
    </w:p>
    <w:p>
      <w:pPr>
        <w:pStyle w:val="Style20"/>
        <w:keepNext w:val="0"/>
        <w:keepLines w:val="0"/>
        <w:widowControl w:val="0"/>
        <w:shd w:val="clear" w:color="auto" w:fill="auto"/>
        <w:bidi w:val="0"/>
        <w:spacing w:before="0" w:after="40" w:line="250" w:lineRule="exact"/>
        <w:ind w:left="200" w:right="0" w:firstLine="20"/>
        <w:jc w:val="both"/>
      </w:pPr>
      <w:r>
        <w:rPr>
          <w:color w:val="000000"/>
          <w:spacing w:val="0"/>
          <w:w w:val="100"/>
          <w:position w:val="0"/>
        </w:rPr>
        <w:t>公司绿建咨询业务的具体工作流程一般分为业务接洽、方案评估、初步设计审查、施工图审查和绿色建筑标识申报等五个 阶段，各阶段业务活动具体情况如下：</w:t>
      </w:r>
    </w:p>
    <w:p>
      <w:pPr>
        <w:pStyle w:val="Style59"/>
        <w:keepNext w:val="0"/>
        <w:keepLines w:val="0"/>
        <w:widowControl w:val="0"/>
        <w:shd w:val="clear" w:color="auto" w:fill="auto"/>
        <w:bidi w:val="0"/>
        <w:spacing w:before="0" w:after="260" w:line="290" w:lineRule="auto"/>
        <w:ind w:left="0" w:right="0" w:firstLine="200"/>
        <w:jc w:val="left"/>
      </w:pPr>
      <w:r>
        <w:rPr>
          <w:color w:val="000000"/>
          <w:spacing w:val="0"/>
          <w:w w:val="100"/>
          <w:position w:val="0"/>
        </w:rPr>
        <w:t>I.</w:t>
      </w:r>
    </w:p>
    <w:p>
      <w:pPr>
        <w:pStyle w:val="Style59"/>
        <w:keepNext w:val="0"/>
        <w:keepLines w:val="0"/>
        <w:widowControl w:val="0"/>
        <w:shd w:val="clear" w:color="auto" w:fill="auto"/>
        <w:bidi w:val="0"/>
        <w:spacing w:before="0" w:after="40" w:line="240" w:lineRule="auto"/>
        <w:ind w:left="0" w:right="0" w:firstLine="200"/>
        <w:jc w:val="left"/>
      </w:pPr>
      <w:bookmarkStart w:id="631" w:name="bookmark631"/>
      <w:r>
        <w:rPr>
          <w:color w:val="000000"/>
          <w:spacing w:val="0"/>
          <w:w w:val="100"/>
          <w:position w:val="0"/>
        </w:rPr>
        <w:t>I</w:t>
      </w:r>
      <w:bookmarkEnd w:id="631"/>
      <w:r>
        <w:rPr>
          <w:color w:val="000000"/>
          <w:spacing w:val="0"/>
          <w:w w:val="100"/>
          <w:position w:val="0"/>
        </w:rPr>
        <w:t>I.</w:t>
      </w:r>
    </w:p>
    <w:p>
      <w:pPr>
        <w:pStyle w:val="Style59"/>
        <w:keepNext w:val="0"/>
        <w:keepLines w:val="0"/>
        <w:widowControl w:val="0"/>
        <w:shd w:val="clear" w:color="auto" w:fill="auto"/>
        <w:bidi w:val="0"/>
        <w:spacing w:before="0" w:after="40" w:line="240" w:lineRule="auto"/>
        <w:ind w:left="0" w:right="0" w:firstLine="200"/>
        <w:jc w:val="left"/>
      </w:pPr>
      <w:bookmarkStart w:id="632" w:name="bookmark632"/>
      <w:r>
        <w:rPr>
          <w:color w:val="000000"/>
          <w:spacing w:val="0"/>
          <w:w w:val="100"/>
          <w:position w:val="0"/>
        </w:rPr>
        <w:t>I</w:t>
      </w:r>
      <w:bookmarkEnd w:id="632"/>
      <w:r>
        <w:rPr>
          <w:color w:val="000000"/>
          <w:spacing w:val="0"/>
          <w:w w:val="100"/>
          <w:position w:val="0"/>
        </w:rPr>
        <w:t>II.</w:t>
      </w:r>
    </w:p>
    <w:p>
      <w:pPr>
        <w:pStyle w:val="Style59"/>
        <w:keepNext w:val="0"/>
        <w:keepLines w:val="0"/>
        <w:widowControl w:val="0"/>
        <w:shd w:val="clear" w:color="auto" w:fill="auto"/>
        <w:bidi w:val="0"/>
        <w:spacing w:before="0" w:after="480" w:line="240" w:lineRule="auto"/>
        <w:ind w:left="0" w:right="0" w:firstLine="200"/>
        <w:jc w:val="left"/>
      </w:pPr>
      <w:bookmarkStart w:id="633" w:name="bookmark633"/>
      <w:r>
        <w:rPr>
          <w:color w:val="000000"/>
          <w:spacing w:val="0"/>
          <w:w w:val="100"/>
          <w:position w:val="0"/>
        </w:rPr>
        <w:t>I</w:t>
      </w:r>
      <w:bookmarkEnd w:id="633"/>
      <w:r>
        <w:rPr>
          <w:color w:val="000000"/>
          <w:spacing w:val="0"/>
          <w:w w:val="100"/>
          <w:position w:val="0"/>
        </w:rPr>
        <w:t>V.</w:t>
      </w:r>
    </w:p>
    <w:p>
      <w:pPr>
        <w:pStyle w:val="Style20"/>
        <w:keepNext w:val="0"/>
        <w:keepLines w:val="0"/>
        <w:widowControl w:val="0"/>
        <w:shd w:val="clear" w:color="auto" w:fill="auto"/>
        <w:bidi w:val="0"/>
        <w:spacing w:before="0" w:after="260" w:line="235" w:lineRule="exact"/>
        <w:ind w:left="800" w:right="0" w:firstLine="0"/>
        <w:jc w:val="both"/>
      </w:pPr>
      <w:r>
        <mc:AlternateContent>
          <mc:Choice Requires="wps">
            <w:drawing>
              <wp:anchor distT="0" distB="0" distL="114300" distR="114300" simplePos="0" relativeHeight="125829398" behindDoc="0" locked="0" layoutInCell="1" allowOverlap="1">
                <wp:simplePos x="0" y="0"/>
                <wp:positionH relativeFrom="page">
                  <wp:posOffset>1201420</wp:posOffset>
                </wp:positionH>
                <wp:positionV relativeFrom="margin">
                  <wp:posOffset>2506980</wp:posOffset>
                </wp:positionV>
                <wp:extent cx="5650865" cy="972185"/>
                <wp:wrapSquare wrapText="left"/>
                <wp:docPr id="22" name="Shape 22"/>
                <a:graphic xmlns:a="http://schemas.openxmlformats.org/drawingml/2006/main">
                  <a:graphicData uri="http://schemas.microsoft.com/office/word/2010/wordprocessingShape">
                    <wps:wsp>
                      <wps:cNvSpPr txBox="1"/>
                      <wps:spPr>
                        <a:xfrm>
                          <a:ext cx="5650865" cy="972185"/>
                        </a:xfrm>
                        <a:prstGeom prst="rect"/>
                        <a:noFill/>
                      </wps:spPr>
                      <wps:txbx>
                        <w:txbxContent>
                          <w:p>
                            <w:pPr>
                              <w:pStyle w:val="Style20"/>
                              <w:keepNext w:val="0"/>
                              <w:keepLines w:val="0"/>
                              <w:widowControl w:val="0"/>
                              <w:shd w:val="clear" w:color="auto" w:fill="auto"/>
                              <w:bidi w:val="0"/>
                              <w:spacing w:before="0" w:after="0" w:line="230" w:lineRule="exact"/>
                              <w:ind w:left="0" w:right="0" w:firstLine="0"/>
                              <w:jc w:val="left"/>
                            </w:pPr>
                            <w:r>
                              <w:rPr>
                                <w:color w:val="000000"/>
                                <w:spacing w:val="0"/>
                                <w:w w:val="100"/>
                                <w:position w:val="0"/>
                              </w:rPr>
                              <w:t>业务承接阶段：该阶段公司与委托方签订绿建咨询合同之后，一般会收取合同首期款，该款项属于预收款性质， 公司在收到时作为项目合同负债，不确认收入；</w:t>
                            </w:r>
                          </w:p>
                          <w:p>
                            <w:pPr>
                              <w:pStyle w:val="Style20"/>
                              <w:keepNext w:val="0"/>
                              <w:keepLines w:val="0"/>
                              <w:widowControl w:val="0"/>
                              <w:shd w:val="clear" w:color="auto" w:fill="auto"/>
                              <w:bidi w:val="0"/>
                              <w:spacing w:before="0" w:after="0" w:line="258" w:lineRule="exact"/>
                              <w:ind w:left="0" w:right="0" w:firstLine="0"/>
                              <w:jc w:val="left"/>
                            </w:pPr>
                            <w:r>
                              <w:rPr>
                                <w:color w:val="000000"/>
                                <w:spacing w:val="0"/>
                                <w:w w:val="100"/>
                                <w:position w:val="0"/>
                              </w:rPr>
                              <w:t>方案评估阶段：该阶段主要工作系公司咨询部门根据合同要求对设计方案进行分析、评估，并提出优化建议； 初步设计审查阶段：该阶段主要工作系公司咨询部门根据项目绿色建筑目标，针对初步设计图纸进行专项分析； 施工图审查阶段：该阶段主要工作系公司咨询部门根据就施工图设计文件的绿色建筑达标情况进行审查，并对项 目星级达标情况进行评估；</w:t>
                            </w:r>
                          </w:p>
                        </w:txbxContent>
                      </wps:txbx>
                      <wps:bodyPr lIns="0" tIns="0" rIns="0" bIns="0">
                        <a:noAutoFit/>
                      </wps:bodyPr>
                    </wps:wsp>
                  </a:graphicData>
                </a:graphic>
              </wp:anchor>
            </w:drawing>
          </mc:Choice>
          <mc:Fallback>
            <w:pict>
              <v:shape id="_x0000_s1048" type="#_x0000_t202" style="position:absolute;margin-left:94.600000000000009pt;margin-top:197.40000000000001pt;width:444.94999999999999pt;height:76.549999999999997pt;z-index:-125829355;mso-wrap-distance-left:9.pt;mso-wrap-distance-right:9.pt;mso-position-horizontal-relative:page;mso-position-vertical-relative:margin" filled="f" stroked="f">
                <v:textbox inset="0,0,0,0">
                  <w:txbxContent>
                    <w:p>
                      <w:pPr>
                        <w:pStyle w:val="Style20"/>
                        <w:keepNext w:val="0"/>
                        <w:keepLines w:val="0"/>
                        <w:widowControl w:val="0"/>
                        <w:shd w:val="clear" w:color="auto" w:fill="auto"/>
                        <w:bidi w:val="0"/>
                        <w:spacing w:before="0" w:after="0" w:line="230" w:lineRule="exact"/>
                        <w:ind w:left="0" w:right="0" w:firstLine="0"/>
                        <w:jc w:val="left"/>
                      </w:pPr>
                      <w:r>
                        <w:rPr>
                          <w:color w:val="000000"/>
                          <w:spacing w:val="0"/>
                          <w:w w:val="100"/>
                          <w:position w:val="0"/>
                        </w:rPr>
                        <w:t>业务承接阶段：该阶段公司与委托方签订绿建咨询合同之后，一般会收取合同首期款，该款项属于预收款性质， 公司在收到时作为项目合同负债，不确认收入；</w:t>
                      </w:r>
                    </w:p>
                    <w:p>
                      <w:pPr>
                        <w:pStyle w:val="Style20"/>
                        <w:keepNext w:val="0"/>
                        <w:keepLines w:val="0"/>
                        <w:widowControl w:val="0"/>
                        <w:shd w:val="clear" w:color="auto" w:fill="auto"/>
                        <w:bidi w:val="0"/>
                        <w:spacing w:before="0" w:after="0" w:line="258" w:lineRule="exact"/>
                        <w:ind w:left="0" w:right="0" w:firstLine="0"/>
                        <w:jc w:val="left"/>
                      </w:pPr>
                      <w:r>
                        <w:rPr>
                          <w:color w:val="000000"/>
                          <w:spacing w:val="0"/>
                          <w:w w:val="100"/>
                          <w:position w:val="0"/>
                        </w:rPr>
                        <w:t>方案评估阶段：该阶段主要工作系公司咨询部门根据合同要求对设计方案进行分析、评估，并提出优化建议； 初步设计审查阶段：该阶段主要工作系公司咨询部门根据项目绿色建筑目标，针对初步设计图纸进行专项分析； 施工图审查阶段：该阶段主要工作系公司咨询部门根据就施工图设计文件的绿色建筑达标情况进行审查，并对项 目星级达标情况进行评估；</w:t>
                      </w:r>
                    </w:p>
                  </w:txbxContent>
                </v:textbox>
                <w10:wrap type="square" side="left" anchorx="page" anchory="margin"/>
              </v:shape>
            </w:pict>
          </mc:Fallback>
        </mc:AlternateContent>
      </w:r>
      <w:r>
        <w:rPr>
          <w:color w:val="000000"/>
          <w:spacing w:val="0"/>
          <w:w w:val="100"/>
          <w:position w:val="0"/>
        </w:rPr>
        <w:t>绿色标识认证阶段：该阶段主要工作系撰写、评审和校核绿色建筑评价标识专项分析报告；整理绿色建筑评价标 识申报文件；并协助委托方取得绿色建筑评价标识。</w:t>
      </w:r>
    </w:p>
    <w:p>
      <w:pPr>
        <w:pStyle w:val="Style20"/>
        <w:keepNext w:val="0"/>
        <w:keepLines w:val="0"/>
        <w:widowControl w:val="0"/>
        <w:numPr>
          <w:ilvl w:val="0"/>
          <w:numId w:val="61"/>
        </w:numPr>
        <w:shd w:val="clear" w:color="auto" w:fill="auto"/>
        <w:tabs>
          <w:tab w:pos="406" w:val="left"/>
        </w:tabs>
        <w:bidi w:val="0"/>
        <w:spacing w:before="0" w:after="40" w:line="230" w:lineRule="exact"/>
        <w:ind w:left="0" w:right="0" w:firstLine="0"/>
        <w:jc w:val="left"/>
      </w:pPr>
      <w:bookmarkStart w:id="634" w:name="bookmark634"/>
      <w:bookmarkEnd w:id="634"/>
      <w:r>
        <w:rPr>
          <w:color w:val="000000"/>
          <w:spacing w:val="0"/>
          <w:w w:val="100"/>
          <w:position w:val="0"/>
        </w:rPr>
        <w:t>生态城市规划业务</w:t>
      </w:r>
    </w:p>
    <w:p>
      <w:pPr>
        <w:pStyle w:val="Style20"/>
        <w:keepNext w:val="0"/>
        <w:keepLines w:val="0"/>
        <w:widowControl w:val="0"/>
        <w:shd w:val="clear" w:color="auto" w:fill="auto"/>
        <w:bidi w:val="0"/>
        <w:spacing w:before="0" w:after="40" w:line="211" w:lineRule="exact"/>
        <w:ind w:left="200" w:right="0" w:firstLine="20"/>
        <w:jc w:val="left"/>
      </w:pPr>
      <w:r>
        <w:rPr>
          <w:color w:val="000000"/>
          <w:spacing w:val="0"/>
          <w:w w:val="100"/>
          <w:position w:val="0"/>
        </w:rPr>
        <w:t>公司规划业务的具体工作流程一般划分为业务接洽、规划初稿、规划送审稿、规划成果通过评审等四个阶段，各阶段业务 活动具体情况如下：</w:t>
      </w:r>
    </w:p>
    <w:p>
      <w:pPr>
        <w:pStyle w:val="Style20"/>
        <w:keepNext w:val="0"/>
        <w:keepLines w:val="0"/>
        <w:widowControl w:val="0"/>
        <w:numPr>
          <w:ilvl w:val="0"/>
          <w:numId w:val="63"/>
        </w:numPr>
        <w:shd w:val="clear" w:color="auto" w:fill="auto"/>
        <w:tabs>
          <w:tab w:pos="778" w:val="left"/>
        </w:tabs>
        <w:bidi w:val="0"/>
        <w:spacing w:before="0" w:after="40" w:line="226" w:lineRule="exact"/>
        <w:ind w:left="800" w:right="0" w:hanging="580"/>
        <w:jc w:val="both"/>
      </w:pPr>
      <w:bookmarkStart w:id="635" w:name="bookmark635"/>
      <w:bookmarkEnd w:id="635"/>
      <w:r>
        <w:rPr>
          <w:color w:val="000000"/>
          <w:spacing w:val="0"/>
          <w:w w:val="100"/>
          <w:position w:val="0"/>
        </w:rPr>
        <w:t>业务承接阶段：该阶段公司与委托方签订规划合同之后，一般会收取合同首期款，该款项属于预收款性质，公司 在收到时作为项目合同负债，不确认收入；</w:t>
      </w:r>
    </w:p>
    <w:p>
      <w:pPr>
        <w:pStyle w:val="Style20"/>
        <w:keepNext w:val="0"/>
        <w:keepLines w:val="0"/>
        <w:widowControl w:val="0"/>
        <w:numPr>
          <w:ilvl w:val="0"/>
          <w:numId w:val="63"/>
        </w:numPr>
        <w:shd w:val="clear" w:color="auto" w:fill="auto"/>
        <w:tabs>
          <w:tab w:pos="778" w:val="left"/>
        </w:tabs>
        <w:bidi w:val="0"/>
        <w:spacing w:before="0" w:after="40" w:line="230" w:lineRule="exact"/>
        <w:ind w:left="0" w:right="0" w:firstLine="200"/>
        <w:jc w:val="left"/>
      </w:pPr>
      <w:bookmarkStart w:id="636" w:name="bookmark636"/>
      <w:bookmarkEnd w:id="636"/>
      <w:r>
        <w:rPr>
          <w:color w:val="000000"/>
          <w:spacing w:val="0"/>
          <w:w w:val="100"/>
          <w:position w:val="0"/>
        </w:rPr>
        <w:t>规划初稿阶段：该阶段主要工作系公司规划部门根据合同要求设计项目规划的初稿；</w:t>
      </w:r>
    </w:p>
    <w:p>
      <w:pPr>
        <w:pStyle w:val="Style20"/>
        <w:keepNext w:val="0"/>
        <w:keepLines w:val="0"/>
        <w:widowControl w:val="0"/>
        <w:numPr>
          <w:ilvl w:val="0"/>
          <w:numId w:val="63"/>
        </w:numPr>
        <w:shd w:val="clear" w:color="auto" w:fill="auto"/>
        <w:tabs>
          <w:tab w:pos="778" w:val="left"/>
        </w:tabs>
        <w:bidi w:val="0"/>
        <w:spacing w:before="0" w:after="40" w:line="266" w:lineRule="auto"/>
        <w:ind w:left="0" w:right="0" w:firstLine="200"/>
        <w:jc w:val="left"/>
      </w:pPr>
      <w:bookmarkStart w:id="637" w:name="bookmark637"/>
      <w:bookmarkEnd w:id="637"/>
      <w:r>
        <w:rPr>
          <w:color w:val="000000"/>
          <w:spacing w:val="0"/>
          <w:w w:val="100"/>
          <w:position w:val="0"/>
        </w:rPr>
        <w:t>规划送审稿阶段：该阶段主要工作系公司规划部门根据初步规划方案设计规划送审稿；</w:t>
      </w:r>
    </w:p>
    <w:p>
      <w:pPr>
        <w:pStyle w:val="Style20"/>
        <w:keepNext w:val="0"/>
        <w:keepLines w:val="0"/>
        <w:widowControl w:val="0"/>
        <w:numPr>
          <w:ilvl w:val="0"/>
          <w:numId w:val="63"/>
        </w:numPr>
        <w:shd w:val="clear" w:color="auto" w:fill="auto"/>
        <w:tabs>
          <w:tab w:pos="778" w:val="left"/>
        </w:tabs>
        <w:bidi w:val="0"/>
        <w:spacing w:before="0" w:after="100" w:line="230" w:lineRule="exact"/>
        <w:ind w:left="800" w:right="0" w:hanging="580"/>
        <w:jc w:val="both"/>
      </w:pPr>
      <w:bookmarkStart w:id="638" w:name="bookmark638"/>
      <w:bookmarkEnd w:id="638"/>
      <w:r>
        <w:rPr>
          <w:color w:val="000000"/>
          <w:spacing w:val="0"/>
          <w:w w:val="100"/>
          <w:position w:val="0"/>
        </w:rPr>
        <w:t>规划成果通过评审阶段：该阶段主要工作系公司规划部门协助规划方案通过外部专家的评审</w:t>
      </w:r>
      <w:r>
        <w:rPr>
          <w:color w:val="000000"/>
          <w:spacing w:val="0"/>
          <w:w w:val="100"/>
          <w:position w:val="0"/>
        </w:rPr>
        <w:t>(</w:t>
      </w:r>
      <w:r>
        <w:rPr>
          <w:color w:val="000000"/>
          <w:spacing w:val="0"/>
          <w:w w:val="100"/>
          <w:position w:val="0"/>
        </w:rPr>
        <w:t>或者项目获得绿色 建筑的认证</w:t>
      </w:r>
      <w:r>
        <w:rPr>
          <w:color w:val="000000"/>
          <w:spacing w:val="0"/>
          <w:w w:val="100"/>
          <w:position w:val="0"/>
        </w:rPr>
        <w:t>)</w:t>
      </w:r>
      <w:r>
        <w:rPr>
          <w:color w:val="000000"/>
          <w:spacing w:val="0"/>
          <w:w w:val="100"/>
          <w:position w:val="0"/>
        </w:rPr>
        <w:t>等'</w:t>
      </w:r>
    </w:p>
    <w:p>
      <w:pPr>
        <w:pStyle w:val="Style20"/>
        <w:keepNext w:val="0"/>
        <w:keepLines w:val="0"/>
        <w:widowControl w:val="0"/>
        <w:numPr>
          <w:ilvl w:val="0"/>
          <w:numId w:val="61"/>
        </w:numPr>
        <w:shd w:val="clear" w:color="auto" w:fill="auto"/>
        <w:tabs>
          <w:tab w:pos="406" w:val="left"/>
        </w:tabs>
        <w:bidi w:val="0"/>
        <w:spacing w:before="0" w:after="40" w:line="266" w:lineRule="auto"/>
        <w:ind w:left="0" w:right="0" w:firstLine="0"/>
        <w:jc w:val="left"/>
      </w:pPr>
      <w:bookmarkStart w:id="639" w:name="bookmark639"/>
      <w:bookmarkEnd w:id="639"/>
      <w:r>
        <w:rPr>
          <w:rFonts w:ascii="Times New Roman" w:eastAsia="Times New Roman" w:hAnsi="Times New Roman" w:cs="Times New Roman"/>
          <w:color w:val="000000"/>
          <w:spacing w:val="0"/>
          <w:w w:val="100"/>
          <w:position w:val="0"/>
        </w:rPr>
        <w:t>EPC</w:t>
      </w:r>
      <w:r>
        <w:rPr>
          <w:color w:val="000000"/>
          <w:spacing w:val="0"/>
          <w:w w:val="100"/>
          <w:position w:val="0"/>
        </w:rPr>
        <w:t>及项目全过程管理业务</w:t>
      </w:r>
    </w:p>
    <w:p>
      <w:pPr>
        <w:pStyle w:val="Style20"/>
        <w:keepNext w:val="0"/>
        <w:keepLines w:val="0"/>
        <w:widowControl w:val="0"/>
        <w:shd w:val="clear" w:color="auto" w:fill="auto"/>
        <w:bidi w:val="0"/>
        <w:spacing w:before="0" w:after="40" w:line="229" w:lineRule="exact"/>
        <w:ind w:left="200" w:right="0" w:firstLine="20"/>
        <w:jc w:val="both"/>
      </w:pPr>
      <w:r>
        <w:rPr>
          <w:rFonts w:ascii="Times New Roman" w:eastAsia="Times New Roman" w:hAnsi="Times New Roman" w:cs="Times New Roman"/>
          <w:color w:val="000000"/>
          <w:spacing w:val="0"/>
          <w:w w:val="100"/>
          <w:position w:val="0"/>
        </w:rPr>
        <w:t>EPC</w:t>
      </w:r>
      <w:r>
        <w:rPr>
          <w:color w:val="000000"/>
          <w:spacing w:val="0"/>
          <w:w w:val="100"/>
          <w:position w:val="0"/>
        </w:rPr>
        <w:t>及项目全过程管理业务包括</w:t>
      </w:r>
      <w:r>
        <w:rPr>
          <w:rFonts w:ascii="Times New Roman" w:eastAsia="Times New Roman" w:hAnsi="Times New Roman" w:cs="Times New Roman"/>
          <w:color w:val="000000"/>
          <w:spacing w:val="0"/>
          <w:w w:val="100"/>
          <w:position w:val="0"/>
        </w:rPr>
        <w:t>EPC</w:t>
      </w:r>
      <w:r>
        <w:rPr>
          <w:color w:val="000000"/>
          <w:spacing w:val="0"/>
          <w:w w:val="100"/>
          <w:position w:val="0"/>
        </w:rPr>
        <w:t xml:space="preserve">总承包、全过程代建和全过程咨询等建设项目管理业务' </w:t>
      </w:r>
      <w:r>
        <w:rPr>
          <w:rFonts w:ascii="Times New Roman" w:eastAsia="Times New Roman" w:hAnsi="Times New Roman" w:cs="Times New Roman"/>
          <w:color w:val="000000"/>
          <w:spacing w:val="0"/>
          <w:w w:val="100"/>
          <w:position w:val="0"/>
        </w:rPr>
        <w:t>EPC</w:t>
      </w:r>
      <w:r>
        <w:rPr>
          <w:color w:val="000000"/>
          <w:spacing w:val="0"/>
          <w:w w:val="100"/>
          <w:position w:val="0"/>
        </w:rPr>
        <w:t>总承包指公司受业主 委托，按照合同约定对工程建设项目的设计、采购、施工、试运行等全过程或若干阶段的承包' 全过程代建是指公司接受 建设单位</w:t>
      </w:r>
      <w:r>
        <w:rPr>
          <w:color w:val="000000"/>
          <w:spacing w:val="0"/>
          <w:w w:val="100"/>
          <w:position w:val="0"/>
        </w:rPr>
        <w:t>(</w:t>
      </w:r>
      <w:r>
        <w:rPr>
          <w:color w:val="000000"/>
          <w:spacing w:val="0"/>
          <w:w w:val="100"/>
          <w:position w:val="0"/>
        </w:rPr>
        <w:t>委托单位</w:t>
      </w:r>
      <w:r>
        <w:rPr>
          <w:color w:val="000000"/>
          <w:spacing w:val="0"/>
          <w:w w:val="100"/>
          <w:position w:val="0"/>
        </w:rPr>
        <w:t>)</w:t>
      </w:r>
      <w:r>
        <w:rPr>
          <w:color w:val="000000"/>
          <w:spacing w:val="0"/>
          <w:w w:val="100"/>
          <w:position w:val="0"/>
        </w:rPr>
        <w:t>委托，按照合同约定履行代建项目全过程中的建设管理职责，项目竣工验收后移交委托单位' 全过 程咨询业务是指公司作为专业化项目管理单位，按照合同约定实施工程项目管理、工程监理以及其他工程咨询工作'</w:t>
      </w:r>
    </w:p>
    <w:p>
      <w:pPr>
        <w:pStyle w:val="Style20"/>
        <w:keepNext w:val="0"/>
        <w:keepLines w:val="0"/>
        <w:widowControl w:val="0"/>
        <w:shd w:val="clear" w:color="auto" w:fill="auto"/>
        <w:bidi w:val="0"/>
        <w:spacing w:before="0" w:after="100" w:line="230" w:lineRule="exact"/>
        <w:ind w:left="0" w:right="0" w:firstLine="200"/>
        <w:jc w:val="both"/>
      </w:pPr>
      <w:r>
        <w:rPr>
          <w:rFonts w:ascii="Times New Roman" w:eastAsia="Times New Roman" w:hAnsi="Times New Roman" w:cs="Times New Roman"/>
          <w:color w:val="000000"/>
          <w:spacing w:val="0"/>
          <w:w w:val="100"/>
          <w:position w:val="0"/>
        </w:rPr>
        <w:t>EPC</w:t>
      </w:r>
      <w:r>
        <w:rPr>
          <w:color w:val="000000"/>
          <w:spacing w:val="0"/>
          <w:w w:val="100"/>
          <w:position w:val="0"/>
        </w:rPr>
        <w:t>及项目全过程管理业务的具体工程流程一般分为业务接洽、勘察设计阶段、施工阶段和竣工结算阶段等四个阶段'</w:t>
      </w:r>
    </w:p>
    <w:p>
      <w:pPr>
        <w:pStyle w:val="Style20"/>
        <w:keepNext w:val="0"/>
        <w:keepLines w:val="0"/>
        <w:widowControl w:val="0"/>
        <w:numPr>
          <w:ilvl w:val="0"/>
          <w:numId w:val="61"/>
        </w:numPr>
        <w:shd w:val="clear" w:color="auto" w:fill="auto"/>
        <w:tabs>
          <w:tab w:pos="406" w:val="left"/>
        </w:tabs>
        <w:bidi w:val="0"/>
        <w:spacing w:before="0" w:after="40" w:line="230" w:lineRule="exact"/>
        <w:ind w:left="0" w:right="0" w:firstLine="0"/>
        <w:jc w:val="both"/>
      </w:pPr>
      <w:bookmarkStart w:id="640" w:name="bookmark640"/>
      <w:bookmarkEnd w:id="640"/>
      <w:r>
        <w:rPr>
          <w:color w:val="000000"/>
          <w:spacing w:val="0"/>
          <w:w w:val="100"/>
          <w:position w:val="0"/>
        </w:rPr>
        <w:t>公信业务</w:t>
      </w:r>
    </w:p>
    <w:p>
      <w:pPr>
        <w:pStyle w:val="Style20"/>
        <w:keepNext w:val="0"/>
        <w:keepLines w:val="0"/>
        <w:widowControl w:val="0"/>
        <w:shd w:val="clear" w:color="auto" w:fill="auto"/>
        <w:bidi w:val="0"/>
        <w:spacing w:before="0" w:after="40" w:line="230" w:lineRule="exact"/>
        <w:ind w:left="0" w:right="0" w:firstLine="200"/>
        <w:jc w:val="left"/>
      </w:pPr>
      <w:r>
        <w:rPr>
          <w:color w:val="000000"/>
          <w:spacing w:val="0"/>
          <w:w w:val="100"/>
          <w:position w:val="0"/>
        </w:rPr>
        <w:t>本集团公信业务主要为检测业务，业务流程通常为签订业务合同、执行检测服务并提交检测报告'</w:t>
      </w:r>
    </w:p>
    <w:p>
      <w:pPr>
        <w:pStyle w:val="Style20"/>
        <w:keepNext w:val="0"/>
        <w:keepLines w:val="0"/>
        <w:widowControl w:val="0"/>
        <w:shd w:val="clear" w:color="auto" w:fill="auto"/>
        <w:bidi w:val="0"/>
        <w:spacing w:before="0" w:after="40" w:line="233" w:lineRule="exact"/>
        <w:ind w:left="200" w:right="0" w:firstLine="20"/>
        <w:jc w:val="both"/>
      </w:pPr>
      <w:r>
        <w:rPr>
          <w:color w:val="000000"/>
          <w:spacing w:val="0"/>
          <w:w w:val="100"/>
          <w:position w:val="0"/>
        </w:rPr>
        <w:t>对于建筑设计业务、绿色建筑咨询业务、生态城市规划业务及</w:t>
      </w:r>
      <w:r>
        <w:rPr>
          <w:rFonts w:ascii="Times New Roman" w:eastAsia="Times New Roman" w:hAnsi="Times New Roman" w:cs="Times New Roman"/>
          <w:color w:val="000000"/>
          <w:spacing w:val="0"/>
          <w:w w:val="100"/>
          <w:position w:val="0"/>
        </w:rPr>
        <w:t>EPC</w:t>
      </w:r>
      <w:r>
        <w:rPr>
          <w:color w:val="000000"/>
          <w:spacing w:val="0"/>
          <w:w w:val="100"/>
          <w:position w:val="0"/>
        </w:rPr>
        <w:t>及项目全过程管理业务，由于本集团履约过程中所提 供的服务具有不可替代用途，且本集团在整个合同期间内有权就累计至今已完成的履约部分收取款项，因此本集团将其 作为在某一时段内履行的履约义务，按照履约进度确认收入'</w:t>
      </w:r>
    </w:p>
    <w:p>
      <w:pPr>
        <w:pStyle w:val="Style20"/>
        <w:keepNext w:val="0"/>
        <w:keepLines w:val="0"/>
        <w:widowControl w:val="0"/>
        <w:shd w:val="clear" w:color="auto" w:fill="auto"/>
        <w:bidi w:val="0"/>
        <w:spacing w:before="0" w:after="40" w:line="230" w:lineRule="exact"/>
        <w:ind w:left="200" w:right="0" w:firstLine="20"/>
        <w:jc w:val="both"/>
      </w:pPr>
      <w:r>
        <w:rPr>
          <w:color w:val="000000"/>
          <w:spacing w:val="0"/>
          <w:w w:val="100"/>
          <w:position w:val="0"/>
        </w:rPr>
        <w:t>本集团按照产出法确定提供服务的履约进度，即根据合同约定履约义务的各个阶段，在提交阶段成果并取得经客户确认的 成果交付件等确认证明、政府批文、第三方审验证明或其他能够证明该阶段工作已完成的合理证据时，确定提供服务的履 约进度' 对于履约进度不能合理确定时，本集团已经发生的成本预计能够得到补偿的，按照已经发生的成本金额确认收 入，直到履约进度能够合理确定为止'</w:t>
      </w:r>
    </w:p>
    <w:p>
      <w:pPr>
        <w:pStyle w:val="Style20"/>
        <w:keepNext w:val="0"/>
        <w:keepLines w:val="0"/>
        <w:widowControl w:val="0"/>
        <w:shd w:val="clear" w:color="auto" w:fill="auto"/>
        <w:bidi w:val="0"/>
        <w:spacing w:before="0" w:after="340" w:line="230" w:lineRule="exact"/>
        <w:ind w:left="0" w:right="0" w:firstLine="200"/>
        <w:jc w:val="left"/>
      </w:pPr>
      <w:r>
        <w:rPr>
          <w:color w:val="000000"/>
          <w:spacing w:val="0"/>
          <w:w w:val="100"/>
          <w:position w:val="0"/>
        </w:rPr>
        <w:t>对于公信类业务，本集团在向客户提交相关检测报告时确认收入'</w:t>
      </w:r>
    </w:p>
    <w:p>
      <w:pPr>
        <w:pStyle w:val="Style20"/>
        <w:keepNext w:val="0"/>
        <w:keepLines w:val="0"/>
        <w:widowControl w:val="0"/>
        <w:shd w:val="clear" w:color="auto" w:fill="auto"/>
        <w:bidi w:val="0"/>
        <w:spacing w:before="0" w:after="100" w:line="240" w:lineRule="auto"/>
        <w:ind w:left="0" w:right="0" w:firstLine="0"/>
        <w:jc w:val="left"/>
      </w:pPr>
      <w:bookmarkStart w:id="641" w:name="bookmark641"/>
      <w:r>
        <w:rPr>
          <w:rFonts w:ascii="Times New Roman" w:eastAsia="Times New Roman" w:hAnsi="Times New Roman" w:cs="Times New Roman"/>
          <w:color w:val="000000"/>
          <w:spacing w:val="0"/>
          <w:w w:val="100"/>
          <w:position w:val="0"/>
        </w:rPr>
        <w:t>2</w:t>
      </w:r>
      <w:bookmarkEnd w:id="641"/>
      <w:r>
        <w:rPr>
          <w:rFonts w:ascii="Times New Roman" w:eastAsia="Times New Roman" w:hAnsi="Times New Roman" w:cs="Times New Roman"/>
          <w:color w:val="000000"/>
          <w:spacing w:val="0"/>
          <w:w w:val="100"/>
          <w:position w:val="0"/>
        </w:rPr>
        <w:t>6</w:t>
      </w:r>
      <w:r>
        <w:rPr>
          <w:color w:val="000000"/>
          <w:spacing w:val="0"/>
          <w:w w:val="100"/>
          <w:position w:val="0"/>
        </w:rPr>
        <w:t>、政府补助</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政府补助是本集团从政府无偿取得的货币性资产或非货币性资产，但不包括政府以投资者身份向本集团投入的资本' </w:t>
      </w:r>
      <w:r>
        <w:rPr>
          <w:color w:val="000000"/>
          <w:spacing w:val="0"/>
          <w:w w:val="100"/>
          <w:position w:val="0"/>
        </w:rPr>
        <w:t>政府补助在能够满足政府补助所附条件，并能够收到时，予以确认。</w:t>
      </w:r>
    </w:p>
    <w:p>
      <w:pPr>
        <w:pStyle w:val="Style20"/>
        <w:keepNext w:val="0"/>
        <w:keepLines w:val="0"/>
        <w:widowControl w:val="0"/>
        <w:shd w:val="clear" w:color="auto" w:fill="auto"/>
        <w:bidi w:val="0"/>
        <w:spacing w:before="0" w:after="0" w:line="233" w:lineRule="exact"/>
        <w:ind w:left="0" w:right="0" w:firstLine="0"/>
        <w:jc w:val="both"/>
      </w:pPr>
      <w:r>
        <w:rPr>
          <w:color w:val="000000"/>
          <w:spacing w:val="0"/>
          <w:w w:val="100"/>
          <w:position w:val="0"/>
        </w:rPr>
        <w:t>政府补助为货币性资产的，按照收到或应收的金额计量。政府补助为非货币性资产的，按照公允价值计量。</w:t>
      </w:r>
    </w:p>
    <w:p>
      <w:pPr>
        <w:pStyle w:val="Style20"/>
        <w:keepNext w:val="0"/>
        <w:keepLines w:val="0"/>
        <w:widowControl w:val="0"/>
        <w:shd w:val="clear" w:color="auto" w:fill="auto"/>
        <w:bidi w:val="0"/>
        <w:spacing w:before="0" w:after="300" w:line="233" w:lineRule="exact"/>
        <w:ind w:left="0" w:right="0" w:firstLine="0"/>
        <w:jc w:val="both"/>
      </w:pPr>
      <w:r>
        <w:rPr>
          <w:color w:val="000000"/>
          <w:spacing w:val="0"/>
          <w:w w:val="100"/>
          <w:position w:val="0"/>
        </w:rPr>
        <w:t>本集团取得的、用于购建或以其他方式形成长期资产的政府补助作为与资产相关的政府补助。本集团取得的与资产相关之外 的其他政府补助作为与收益相关的政府补助。与资产相关的政府补助，本集团将其确认为递延收益，并在相关资产使用寿命 内按照合理、系统的方法分期计入其他收益或营业外收入。与收益相关的政府补助，如果用于补偿本集团以后期间的相关成 本费用或损失的，本集团将其确认为递延收益，并在确认相关成本费用或损失的期间，计入其他收益或营业外收入；否则直 接计入其他收益或营业外收入。</w:t>
      </w:r>
    </w:p>
    <w:p>
      <w:pPr>
        <w:pStyle w:val="Style20"/>
        <w:keepNext w:val="0"/>
        <w:keepLines w:val="0"/>
        <w:widowControl w:val="0"/>
        <w:shd w:val="clear" w:color="auto" w:fill="auto"/>
        <w:tabs>
          <w:tab w:pos="409" w:val="left"/>
        </w:tabs>
        <w:bidi w:val="0"/>
        <w:spacing w:before="0" w:after="0" w:line="240" w:lineRule="exact"/>
        <w:ind w:left="0" w:right="0" w:firstLine="0"/>
        <w:jc w:val="both"/>
      </w:pPr>
      <w:bookmarkStart w:id="642" w:name="bookmark642"/>
      <w:r>
        <w:rPr>
          <w:rFonts w:ascii="Times New Roman" w:eastAsia="Times New Roman" w:hAnsi="Times New Roman" w:cs="Times New Roman"/>
          <w:color w:val="000000"/>
          <w:spacing w:val="0"/>
          <w:w w:val="100"/>
          <w:position w:val="0"/>
        </w:rPr>
        <w:t>2</w:t>
      </w:r>
      <w:bookmarkEnd w:id="642"/>
      <w:r>
        <w:rPr>
          <w:rFonts w:ascii="Times New Roman" w:eastAsia="Times New Roman" w:hAnsi="Times New Roman" w:cs="Times New Roman"/>
          <w:color w:val="000000"/>
          <w:spacing w:val="0"/>
          <w:w w:val="100"/>
          <w:position w:val="0"/>
        </w:rPr>
        <w:t>7</w:t>
      </w:r>
      <w:r>
        <w:rPr>
          <w:color w:val="000000"/>
          <w:spacing w:val="0"/>
          <w:w w:val="100"/>
          <w:position w:val="0"/>
        </w:rPr>
        <w:t>、</w:t>
        <w:tab/>
        <w:t>所得税</w:t>
      </w:r>
    </w:p>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除因企业合并和直接计入所有者权益</w:t>
      </w:r>
      <w:r>
        <w:rPr>
          <w:color w:val="000000"/>
          <w:spacing w:val="0"/>
          <w:w w:val="100"/>
          <w:position w:val="0"/>
        </w:rPr>
        <w:t>（</w:t>
      </w:r>
      <w:r>
        <w:rPr>
          <w:color w:val="000000"/>
          <w:spacing w:val="0"/>
          <w:w w:val="100"/>
          <w:position w:val="0"/>
        </w:rPr>
        <w:t>包括其他综合收益</w:t>
      </w:r>
      <w:r>
        <w:rPr>
          <w:color w:val="000000"/>
          <w:spacing w:val="0"/>
          <w:w w:val="100"/>
          <w:position w:val="0"/>
        </w:rPr>
        <w:t>）</w:t>
      </w:r>
      <w:r>
        <w:rPr>
          <w:color w:val="000000"/>
          <w:spacing w:val="0"/>
          <w:w w:val="100"/>
          <w:position w:val="0"/>
        </w:rPr>
        <w:t>的交易或者事项产生的所得税外，本集团将当期所得税和递延所 得税计入当期损益。</w:t>
      </w:r>
    </w:p>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当期所得税是按本年度应税所得额，根据税法规定的税率计算的预期应交所得税，加上以往年度应付所得税的调整。</w:t>
      </w:r>
    </w:p>
    <w:p>
      <w:pPr>
        <w:pStyle w:val="Style20"/>
        <w:keepNext w:val="0"/>
        <w:keepLines w:val="0"/>
        <w:widowControl w:val="0"/>
        <w:shd w:val="clear" w:color="auto" w:fill="auto"/>
        <w:bidi w:val="0"/>
        <w:spacing w:before="0" w:after="0" w:line="230" w:lineRule="exact"/>
        <w:ind w:left="0" w:right="0" w:firstLine="0"/>
        <w:jc w:val="both"/>
      </w:pPr>
      <w:r>
        <w:rPr>
          <w:color w:val="000000"/>
          <w:spacing w:val="0"/>
          <w:w w:val="100"/>
          <w:position w:val="0"/>
        </w:rPr>
        <w:t>资产负债表日，如果本集团拥有以净额结算的法定权利并且意图以净额结算或取得资产、清偿负债同时进行，那么当期所得 税资产及当期所得税负债以抵销后的净额列示。</w:t>
      </w:r>
    </w:p>
    <w:p>
      <w:pPr>
        <w:pStyle w:val="Style20"/>
        <w:keepNext w:val="0"/>
        <w:keepLines w:val="0"/>
        <w:widowControl w:val="0"/>
        <w:shd w:val="clear" w:color="auto" w:fill="auto"/>
        <w:bidi w:val="0"/>
        <w:spacing w:before="0" w:after="0" w:line="233" w:lineRule="exact"/>
        <w:ind w:left="0" w:right="0" w:firstLine="0"/>
        <w:jc w:val="both"/>
      </w:pPr>
      <w:r>
        <w:rPr>
          <w:color w:val="000000"/>
          <w:spacing w:val="0"/>
          <w:w w:val="100"/>
          <w:position w:val="0"/>
        </w:rPr>
        <w:t>递延所得税资产与递延所得税负债分别根据可抵扣暂时性差异和应纳税暂时性差异确定。暂时性差异是指资产或负债的账 面价值与其计税基础之间的差额，包括能够结转以后年度的可抵扣亏损和税款抵减。递延所得税资产的确认以很可能取得用 来抵扣可抵扣暂时性差异的应纳税所得额为限。</w:t>
      </w:r>
    </w:p>
    <w:p>
      <w:pPr>
        <w:pStyle w:val="Style20"/>
        <w:keepNext w:val="0"/>
        <w:keepLines w:val="0"/>
        <w:widowControl w:val="0"/>
        <w:shd w:val="clear" w:color="auto" w:fill="auto"/>
        <w:bidi w:val="0"/>
        <w:spacing w:before="0" w:after="0" w:line="230" w:lineRule="exact"/>
        <w:ind w:left="0" w:right="0" w:firstLine="0"/>
        <w:jc w:val="both"/>
      </w:pPr>
      <w:r>
        <w:rPr>
          <w:color w:val="000000"/>
          <w:spacing w:val="0"/>
          <w:w w:val="100"/>
          <w:position w:val="0"/>
        </w:rPr>
        <w:t>如果不属于企业合并交易且交易发生时既不影响会计利润也不影响应纳税所得额</w:t>
      </w:r>
      <w:r>
        <w:rPr>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，则该项交易中产生的暂 时性差异不会产生递延所得税。商誉的初始确认导致的暂时性差异也不产生相关的递延所得税。</w:t>
      </w:r>
    </w:p>
    <w:p>
      <w:pPr>
        <w:pStyle w:val="Style20"/>
        <w:keepNext w:val="0"/>
        <w:keepLines w:val="0"/>
        <w:widowControl w:val="0"/>
        <w:shd w:val="clear" w:color="auto" w:fill="auto"/>
        <w:bidi w:val="0"/>
        <w:spacing w:before="0" w:after="0" w:line="230" w:lineRule="exact"/>
        <w:ind w:left="0" w:right="0" w:firstLine="0"/>
        <w:jc w:val="both"/>
      </w:pPr>
      <w:r>
        <w:rPr>
          <w:color w:val="000000"/>
          <w:spacing w:val="0"/>
          <w:w w:val="100"/>
          <w:position w:val="0"/>
        </w:rPr>
        <w:t>资产负债表日，本集团根据递延所得税资产和负债的预期收回或结算方式，依据已颁布的税法规定，按照预期收回该资产或 清偿该负债期间的适用税率计量该递延所得税资产和负债的账面金额。</w:t>
      </w:r>
    </w:p>
    <w:p>
      <w:pPr>
        <w:pStyle w:val="Style20"/>
        <w:keepNext w:val="0"/>
        <w:keepLines w:val="0"/>
        <w:widowControl w:val="0"/>
        <w:shd w:val="clear" w:color="auto" w:fill="auto"/>
        <w:bidi w:val="0"/>
        <w:spacing w:before="0" w:after="0" w:line="250" w:lineRule="exact"/>
        <w:ind w:left="0" w:right="0" w:firstLine="0"/>
        <w:jc w:val="both"/>
      </w:pPr>
      <w:r>
        <w:rPr>
          <w:color w:val="000000"/>
          <w:spacing w:val="0"/>
          <w:w w:val="100"/>
          <w:position w:val="0"/>
        </w:rPr>
        <w:t>资产负债表日，本集团对递延所得税资产的账面价值进行复核。如果未来期间很可能无法获得足够的应纳税所得额用以抵扣 递延所得税资产的利益，则减记递延所得税资产的账面价值。在很可能获得足够的应纳税所得额时，减记的金额予以转回。 资产负债表日，递延所得税资产及递延所得税负债在同时满足以下条件时以抵销后的净额列示：</w:t>
      </w:r>
    </w:p>
    <w:p>
      <w:pPr>
        <w:pStyle w:val="Style20"/>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纳税主体拥有以净额结算当期所得税资产及当期所得税负债的法定权利；</w:t>
      </w:r>
    </w:p>
    <w:p>
      <w:pPr>
        <w:pStyle w:val="Style20"/>
        <w:keepNext w:val="0"/>
        <w:keepLines w:val="0"/>
        <w:widowControl w:val="0"/>
        <w:shd w:val="clear" w:color="auto" w:fill="auto"/>
        <w:bidi w:val="0"/>
        <w:spacing w:before="0" w:after="300" w:line="228" w:lineRule="exact"/>
        <w:ind w:left="300" w:right="0" w:hanging="300"/>
        <w:jc w:val="both"/>
      </w:pPr>
      <w:r>
        <w:rPr>
          <w:rFonts w:ascii="Times New Roman" w:eastAsia="Times New Roman" w:hAnsi="Times New Roman" w:cs="Times New Roman"/>
          <w:color w:val="000000"/>
          <w:spacing w:val="0"/>
          <w:w w:val="100"/>
          <w:position w:val="0"/>
        </w:rPr>
        <w:t>-</w:t>
      </w:r>
      <w:r>
        <w:rPr>
          <w:color w:val="000000"/>
          <w:spacing w:val="0"/>
          <w:w w:val="100"/>
          <w:position w:val="0"/>
        </w:rPr>
        <w:t>递延所得税资产及递延所得税负债是与同一税收征管部门对同一纳税主体征收的所得税相关或者是对不同的纳税主体 相关，但在未来每一具有重要性的递延所得税资产及负债转回的期间内，涉及的纳税主体意图以净额结算当期所得税资 产和负债或是同时取得资产、清偿负债。</w:t>
      </w:r>
    </w:p>
    <w:p>
      <w:pPr>
        <w:pStyle w:val="Style20"/>
        <w:keepNext w:val="0"/>
        <w:keepLines w:val="0"/>
        <w:widowControl w:val="0"/>
        <w:shd w:val="clear" w:color="auto" w:fill="auto"/>
        <w:tabs>
          <w:tab w:pos="409" w:val="left"/>
        </w:tabs>
        <w:bidi w:val="0"/>
        <w:spacing w:before="0" w:after="100" w:line="240" w:lineRule="exact"/>
        <w:ind w:left="0" w:right="0" w:firstLine="0"/>
        <w:jc w:val="both"/>
      </w:pPr>
      <w:bookmarkStart w:id="643" w:name="bookmark643"/>
      <w:r>
        <w:rPr>
          <w:rFonts w:ascii="Times New Roman" w:eastAsia="Times New Roman" w:hAnsi="Times New Roman" w:cs="Times New Roman"/>
          <w:color w:val="000000"/>
          <w:spacing w:val="0"/>
          <w:w w:val="100"/>
          <w:position w:val="0"/>
        </w:rPr>
        <w:t>2</w:t>
      </w:r>
      <w:bookmarkEnd w:id="643"/>
      <w:r>
        <w:rPr>
          <w:rFonts w:ascii="Times New Roman" w:eastAsia="Times New Roman" w:hAnsi="Times New Roman" w:cs="Times New Roman"/>
          <w:color w:val="000000"/>
          <w:spacing w:val="0"/>
          <w:w w:val="100"/>
          <w:position w:val="0"/>
        </w:rPr>
        <w:t>8</w:t>
      </w:r>
      <w:r>
        <w:rPr>
          <w:color w:val="000000"/>
          <w:spacing w:val="0"/>
          <w:w w:val="100"/>
          <w:position w:val="0"/>
        </w:rPr>
        <w:t>、</w:t>
        <w:tab/>
        <w:t>租赁</w:t>
      </w:r>
    </w:p>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租赁，是指在一定期间内，出租人将资产的使用权让与承租人以获取对价的合同。</w:t>
      </w:r>
    </w:p>
    <w:p>
      <w:pPr>
        <w:pStyle w:val="Style20"/>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在合同开始日，本集团评估合同是否为租赁或者包含租赁。如果合同中一方让渡了在一定期间内控制一项或多项已识别资产 使用的权利以换取对价，则该合同为租赁或者包含租赁。</w:t>
      </w:r>
    </w:p>
    <w:p>
      <w:pPr>
        <w:pStyle w:val="Style20"/>
        <w:keepNext w:val="0"/>
        <w:keepLines w:val="0"/>
        <w:widowControl w:val="0"/>
        <w:shd w:val="clear" w:color="auto" w:fill="auto"/>
        <w:bidi w:val="0"/>
        <w:spacing w:before="0" w:after="100" w:line="240" w:lineRule="exact"/>
        <w:ind w:left="0" w:right="0" w:firstLine="0"/>
        <w:jc w:val="both"/>
      </w:pPr>
      <w:r>
        <w:rPr>
          <w:color w:val="000000"/>
          <w:spacing w:val="0"/>
          <w:w w:val="100"/>
          <w:position w:val="0"/>
        </w:rPr>
        <w:t>为确定合同是否让渡了在一定期间内控制已识别资产使用的权利，本集团进行如下评估：</w:t>
      </w:r>
    </w:p>
    <w:p>
      <w:pPr>
        <w:pStyle w:val="Style20"/>
        <w:keepNext w:val="0"/>
        <w:keepLines w:val="0"/>
        <w:widowControl w:val="0"/>
        <w:shd w:val="clear" w:color="auto" w:fill="auto"/>
        <w:bidi w:val="0"/>
        <w:spacing w:before="0" w:after="0" w:line="222" w:lineRule="exact"/>
        <w:ind w:left="300" w:right="0" w:hanging="300"/>
        <w:jc w:val="both"/>
      </w:pPr>
      <w:r>
        <w:rPr>
          <w:rFonts w:ascii="Times New Roman" w:eastAsia="Times New Roman" w:hAnsi="Times New Roman" w:cs="Times New Roman"/>
          <w:color w:val="000000"/>
          <w:spacing w:val="0"/>
          <w:w w:val="100"/>
          <w:position w:val="0"/>
        </w:rPr>
        <w:t>-</w:t>
      </w:r>
      <w:r>
        <w:rPr>
          <w:color w:val="000000"/>
          <w:spacing w:val="0"/>
          <w:w w:val="100"/>
          <w:position w:val="0"/>
        </w:rPr>
        <w:t>合同是否涉及已识别资产的使用。已识别资产可能由合同明确指定或在资产可供客户使用时隐性指定，并且该资产在物 理上可区分，或者如果资产的某部分产能或其他部分在物理上不可区分但实质上代表了该资产的全部产能，从而使客户 获得因使用该资产所产生的几乎全部经济利益。如果资产的供应方在整个使用期间拥有对该资产的实质性替换权，则该 资产不属于已识别资产；</w:t>
      </w:r>
    </w:p>
    <w:p>
      <w:pPr>
        <w:pStyle w:val="Style20"/>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承租人是否有权获得在使用期间内因使用已识别资产所产生的几乎全部经济利益；</w:t>
      </w:r>
    </w:p>
    <w:p>
      <w:pPr>
        <w:pStyle w:val="Style20"/>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承租人是否有权在该使用期间主导已识别资产的使用。</w:t>
      </w:r>
    </w:p>
    <w:p>
      <w:pPr>
        <w:pStyle w:val="Style20"/>
        <w:keepNext w:val="0"/>
        <w:keepLines w:val="0"/>
        <w:widowControl w:val="0"/>
        <w:shd w:val="clear" w:color="auto" w:fill="auto"/>
        <w:bidi w:val="0"/>
        <w:spacing w:before="0" w:after="100" w:line="311" w:lineRule="exact"/>
        <w:ind w:left="0" w:right="0" w:firstLine="0"/>
        <w:jc w:val="both"/>
      </w:pPr>
      <w:r>
        <w:rPr>
          <w:color w:val="000000"/>
          <w:spacing w:val="0"/>
          <w:w w:val="100"/>
          <w:position w:val="0"/>
        </w:rPr>
        <w:t>合同中同时包含多项单独租赁的，承租人和出租人将合同予以分拆，并分别各项单独租赁进行会计处理。合同中同时包含租 赁和非租赁部分的，承租人和出租人将租赁和非租赁部分进行分拆。但是，对本集团作为承租人的土地和建筑物租赁，本集 团选择不分拆合同包含的租赁和非租赁部分，并将各租赁部分及与其相关的非租赁部分合并为租赁。在分拆合同包含的租赁 和非租赁部分时，承租人按照各租赁部分单独价格及非租赁部分的单独价格之和的相对比例分摊合同对价。出租人按附注 五、</w:t>
      </w:r>
      <w:r>
        <w:rPr>
          <w:rFonts w:ascii="Times New Roman" w:eastAsia="Times New Roman" w:hAnsi="Times New Roman" w:cs="Times New Roman"/>
          <w:color w:val="000000"/>
          <w:spacing w:val="0"/>
          <w:w w:val="100"/>
          <w:position w:val="0"/>
        </w:rPr>
        <w:t>25</w:t>
      </w:r>
      <w:r>
        <w:rPr>
          <w:color w:val="000000"/>
          <w:spacing w:val="0"/>
          <w:w w:val="100"/>
          <w:position w:val="0"/>
        </w:rPr>
        <w:t>所述会计政策中关于交易价格分摊的规定分摊合同对价。</w:t>
      </w:r>
    </w:p>
    <w:p>
      <w:pPr>
        <w:pStyle w:val="Style20"/>
        <w:keepNext w:val="0"/>
        <w:keepLines w:val="0"/>
        <w:widowControl w:val="0"/>
        <w:shd w:val="clear" w:color="auto" w:fill="auto"/>
        <w:bidi w:val="0"/>
        <w:spacing w:before="0" w:after="0"/>
        <w:ind w:left="0" w:right="0" w:firstLine="0"/>
        <w:jc w:val="left"/>
      </w:pPr>
      <w:bookmarkStart w:id="644" w:name="bookmark644"/>
      <w:r>
        <w:rPr>
          <w:rFonts w:ascii="Times New Roman" w:eastAsia="Times New Roman" w:hAnsi="Times New Roman" w:cs="Times New Roman"/>
          <w:color w:val="000000"/>
          <w:spacing w:val="0"/>
          <w:w w:val="100"/>
          <w:position w:val="0"/>
        </w:rPr>
        <w:t>（</w:t>
      </w:r>
      <w:bookmarkEnd w:id="644"/>
      <w:r>
        <w:rPr>
          <w:rFonts w:ascii="Times New Roman" w:eastAsia="Times New Roman" w:hAnsi="Times New Roman" w:cs="Times New Roman"/>
          <w:color w:val="000000"/>
          <w:spacing w:val="0"/>
          <w:w w:val="100"/>
          <w:position w:val="0"/>
        </w:rPr>
        <w:t>1）</w:t>
      </w:r>
      <w:r>
        <w:rPr>
          <w:color w:val="000000"/>
          <w:spacing w:val="0"/>
          <w:w w:val="100"/>
          <w:position w:val="0"/>
        </w:rPr>
        <w:t>本集团作为承租人</w:t>
      </w:r>
    </w:p>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在租赁期开始日，本集团对租赁确认使用权资产和租赁负债。使用权资产按照成本进行初始计量，包括租赁负债的初始计量 金额、在租赁期开始日或之前支付的租赁付款额</w:t>
      </w:r>
      <w:r>
        <w:rPr>
          <w:color w:val="000000"/>
          <w:spacing w:val="0"/>
          <w:w w:val="100"/>
          <w:position w:val="0"/>
        </w:rPr>
        <w:t>（</w:t>
      </w:r>
      <w:r>
        <w:rPr>
          <w:color w:val="000000"/>
          <w:spacing w:val="0"/>
          <w:w w:val="100"/>
          <w:position w:val="0"/>
        </w:rPr>
        <w:t>扣除已享受的租赁激励相关金额</w:t>
      </w:r>
      <w:r>
        <w:rPr>
          <w:rFonts w:ascii="Times New Roman" w:eastAsia="Times New Roman" w:hAnsi="Times New Roman" w:cs="Times New Roman"/>
          <w:color w:val="000000"/>
          <w:spacing w:val="0"/>
          <w:w w:val="100"/>
          <w:position w:val="0"/>
        </w:rPr>
        <w:t>）</w:t>
      </w:r>
      <w:r>
        <w:rPr>
          <w:color w:val="000000"/>
          <w:spacing w:val="0"/>
          <w:w w:val="100"/>
          <w:position w:val="0"/>
        </w:rPr>
        <w:t>，发生的初始直接费用以及为拆卸及移 除租赁资产、复原租赁资产所在场地或将租赁资产恢复至租赁条款约定状态预计将发生的成本。</w:t>
      </w:r>
    </w:p>
    <w:p>
      <w:pPr>
        <w:pStyle w:val="Style20"/>
        <w:keepNext w:val="0"/>
        <w:keepLines w:val="0"/>
        <w:widowControl w:val="0"/>
        <w:shd w:val="clear" w:color="auto" w:fill="auto"/>
        <w:bidi w:val="0"/>
        <w:spacing w:before="0" w:after="0" w:line="309" w:lineRule="exact"/>
        <w:ind w:left="0" w:right="0" w:firstLine="4940"/>
        <w:jc w:val="left"/>
      </w:pPr>
      <w:r>
        <w:rPr>
          <w:color w:val="000000"/>
          <w:spacing w:val="0"/>
          <w:w w:val="100"/>
          <w:position w:val="0"/>
          <w:u w:val="single"/>
        </w:rPr>
        <w:t>深圳市建筑科学研究院股份有限公司</w:t>
      </w:r>
      <w:r>
        <w:rPr>
          <w:rFonts w:ascii="Times New Roman" w:eastAsia="Times New Roman" w:hAnsi="Times New Roman" w:cs="Times New Roman"/>
          <w:color w:val="000000"/>
          <w:spacing w:val="0"/>
          <w:w w:val="100"/>
          <w:position w:val="0"/>
          <w:u w:val="single"/>
        </w:rPr>
        <w:t>2021</w:t>
      </w:r>
      <w:r>
        <w:rPr>
          <w:color w:val="000000"/>
          <w:spacing w:val="0"/>
          <w:w w:val="100"/>
          <w:position w:val="0"/>
          <w:u w:val="single"/>
        </w:rPr>
        <w:t xml:space="preserve">年年度报告全文 </w:t>
      </w:r>
      <w:r>
        <w:rPr>
          <w:color w:val="000000"/>
          <w:spacing w:val="0"/>
          <w:w w:val="100"/>
          <w:position w:val="0"/>
        </w:rPr>
        <w:t xml:space="preserve">本集团使用直线法对使用权资产计提折旧。对能够合理确定租赁期届满时取得租赁资产所有权的，本集团在租赁资产剩余使 用寿命内计提折旧。否则，租赁资产在租赁期与租赁资产剩余使用寿命两者孰短的期间内计提折旧。使用权资产按附注五、 </w:t>
      </w:r>
      <w:r>
        <w:rPr>
          <w:rFonts w:ascii="Times New Roman" w:eastAsia="Times New Roman" w:hAnsi="Times New Roman" w:cs="Times New Roman"/>
          <w:color w:val="000000"/>
          <w:spacing w:val="0"/>
          <w:w w:val="100"/>
          <w:position w:val="0"/>
        </w:rPr>
        <w:t>20</w:t>
      </w:r>
      <w:r>
        <w:rPr>
          <w:color w:val="000000"/>
          <w:spacing w:val="0"/>
          <w:w w:val="100"/>
          <w:position w:val="0"/>
        </w:rPr>
        <w:t>所述的会计政策计提减值准备。</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租赁负债按照租赁期开始日尚未支付的租赁付款额的现值进行初始计量，折现率为租赁内含利率。无法确定租赁内含利率 的，采用本集团增量借款利率作为折现率。</w:t>
      </w:r>
    </w:p>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本集团按照固定的周期性利率计算租赁负债在租赁期内各期间的利息费用，并计入当期损益或相关资产成本。未纳入租赁负 债计量的可变租赁付款额在实际发生时计入当期损益或相关资产成本。</w:t>
      </w:r>
    </w:p>
    <w:p>
      <w:pPr>
        <w:pStyle w:val="Style20"/>
        <w:keepNext w:val="0"/>
        <w:keepLines w:val="0"/>
        <w:widowControl w:val="0"/>
        <w:shd w:val="clear" w:color="auto" w:fill="auto"/>
        <w:bidi w:val="0"/>
        <w:spacing w:before="0" w:after="100" w:line="312" w:lineRule="exact"/>
        <w:ind w:left="0" w:right="0" w:firstLine="0"/>
        <w:jc w:val="both"/>
      </w:pPr>
      <w:r>
        <w:rPr>
          <w:color w:val="000000"/>
          <w:spacing w:val="0"/>
          <w:w w:val="100"/>
          <w:position w:val="0"/>
        </w:rPr>
        <w:t>租赁期开始日后，发生下列情形的，本集团按照变动后租赁付款额的现值重新计量租赁负债：</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根据担保余值预计的应付金额发生变动；</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用于确定租赁付款额的指数或比率发生变动；</w:t>
      </w:r>
    </w:p>
    <w:p>
      <w:pPr>
        <w:pStyle w:val="Style20"/>
        <w:keepNext w:val="0"/>
        <w:keepLines w:val="0"/>
        <w:widowControl w:val="0"/>
        <w:shd w:val="clear" w:color="auto" w:fill="auto"/>
        <w:bidi w:val="0"/>
        <w:spacing w:before="0" w:after="0" w:line="235" w:lineRule="exact"/>
        <w:ind w:left="300" w:right="0" w:hanging="300"/>
        <w:jc w:val="both"/>
      </w:pPr>
      <w:r>
        <w:rPr>
          <w:rFonts w:ascii="Times New Roman" w:eastAsia="Times New Roman" w:hAnsi="Times New Roman" w:cs="Times New Roman"/>
          <w:color w:val="000000"/>
          <w:spacing w:val="0"/>
          <w:w w:val="100"/>
          <w:position w:val="0"/>
        </w:rPr>
        <w:t>-</w:t>
      </w:r>
      <w:r>
        <w:rPr>
          <w:color w:val="000000"/>
          <w:spacing w:val="0"/>
          <w:w w:val="100"/>
          <w:position w:val="0"/>
        </w:rPr>
        <w:t>本集团对购买选择权、续租选择权或终止租赁选择权的评估结果发生变化，或续租选择权或终止租赁选择权的实际行使 情况与原评估结果不一致。</w:t>
      </w:r>
    </w:p>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在对租赁负债进行重新计量时，本集团相应调整使用权资产的账面价值。使用权资产的账面价值已调减至零，但租赁负债仍 需进一步调减的，本集团将剩余金额计入当期损益。</w:t>
      </w:r>
    </w:p>
    <w:p>
      <w:pPr>
        <w:pStyle w:val="Style20"/>
        <w:keepNext w:val="0"/>
        <w:keepLines w:val="0"/>
        <w:widowControl w:val="0"/>
        <w:shd w:val="clear" w:color="auto" w:fill="auto"/>
        <w:bidi w:val="0"/>
        <w:spacing w:before="0" w:after="100" w:line="317" w:lineRule="exact"/>
        <w:ind w:left="0" w:right="0" w:firstLine="0"/>
        <w:jc w:val="both"/>
      </w:pPr>
      <w:r>
        <w:rPr>
          <w:color w:val="000000"/>
          <w:spacing w:val="0"/>
          <w:w w:val="100"/>
          <w:position w:val="0"/>
        </w:rPr>
        <w:t>本集团已选择对短期租赁</w:t>
      </w:r>
      <w:r>
        <w:rPr>
          <w:color w:val="000000"/>
          <w:spacing w:val="0"/>
          <w:w w:val="100"/>
          <w:position w:val="0"/>
        </w:rPr>
        <w:t>(</w:t>
      </w:r>
      <w:r>
        <w:rPr>
          <w:color w:val="000000"/>
          <w:spacing w:val="0"/>
          <w:w w:val="100"/>
          <w:position w:val="0"/>
        </w:rPr>
        <w:t>租赁期不超过</w:t>
      </w:r>
      <w:r>
        <w:rPr>
          <w:rFonts w:ascii="Times New Roman" w:eastAsia="Times New Roman" w:hAnsi="Times New Roman" w:cs="Times New Roman"/>
          <w:color w:val="000000"/>
          <w:spacing w:val="0"/>
          <w:w w:val="100"/>
          <w:position w:val="0"/>
        </w:rPr>
        <w:t>12</w:t>
      </w:r>
      <w:r>
        <w:rPr>
          <w:color w:val="000000"/>
          <w:spacing w:val="0"/>
          <w:w w:val="100"/>
          <w:position w:val="0"/>
        </w:rPr>
        <w:t>个月的租赁</w:t>
      </w:r>
      <w:r>
        <w:rPr>
          <w:color w:val="000000"/>
          <w:spacing w:val="0"/>
          <w:w w:val="100"/>
          <w:position w:val="0"/>
        </w:rPr>
        <w:t>)</w:t>
      </w:r>
      <w:r>
        <w:rPr>
          <w:color w:val="000000"/>
          <w:spacing w:val="0"/>
          <w:w w:val="100"/>
          <w:position w:val="0"/>
        </w:rPr>
        <w:t>和低价值资产租赁不确认使用权资产和租赁负债，并将相关的租 赁付款额在租赁期内各个期间按照直线法计入当期损益或相关资产成本。</w:t>
      </w:r>
    </w:p>
    <w:p>
      <w:pPr>
        <w:pStyle w:val="Style20"/>
        <w:keepNext w:val="0"/>
        <w:keepLines w:val="0"/>
        <w:widowControl w:val="0"/>
        <w:numPr>
          <w:ilvl w:val="0"/>
          <w:numId w:val="65"/>
        </w:numPr>
        <w:shd w:val="clear" w:color="auto" w:fill="auto"/>
        <w:bidi w:val="0"/>
        <w:spacing w:before="0" w:after="0"/>
        <w:ind w:left="0" w:right="0" w:firstLine="0"/>
        <w:jc w:val="left"/>
      </w:pPr>
      <w:bookmarkStart w:id="645" w:name="bookmark645"/>
      <w:bookmarkEnd w:id="645"/>
      <w:r>
        <w:rPr>
          <w:color w:val="000000"/>
          <w:spacing w:val="0"/>
          <w:w w:val="100"/>
          <w:position w:val="0"/>
        </w:rPr>
        <w:t>本集团作为出租人</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在租赁开始日，本集团将租赁分为融资租赁和经营租赁。融资租赁是指无论所有权最终是否转移但实质上转移了与租赁资产 所有权有关的几乎全部风险和报酬的租赁。经营租赁是指除融资租赁以外的其他租赁。</w:t>
      </w:r>
    </w:p>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本集团作为转租出租人时，基于原租赁产生的使用权资产，而不是原租赁的标的资产，对转租赁进行分类。如果原租赁为短 期租赁且本集团选择对原租赁应用上述短期租赁的简化处理，本集团将该转租赁分类为经营租赁。</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融资租赁下，在租赁期开始日，本集团对融资租赁确认应收融资租赁款，并终止确认融资租赁资产。本集团对应收融资租赁 款进行初始计量时，将租赁投资净额作为应收融资租赁款的入账价值。租赁投资净额为未担保余值和租赁期开始日尚未收到 的租赁收款额按照租赁内含利率折现的现值之和。</w:t>
      </w:r>
    </w:p>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本集团按照固定的周期性利率计算并确认租赁期内各个期间的利息收入。应收融资租赁款的终止确认和减值按附注五、</w:t>
      </w:r>
      <w:r>
        <w:rPr>
          <w:rFonts w:ascii="Times New Roman" w:eastAsia="Times New Roman" w:hAnsi="Times New Roman" w:cs="Times New Roman"/>
          <w:color w:val="000000"/>
          <w:spacing w:val="0"/>
          <w:w w:val="100"/>
          <w:position w:val="0"/>
        </w:rPr>
        <w:t>9</w:t>
      </w:r>
      <w:r>
        <w:rPr>
          <w:color w:val="000000"/>
          <w:spacing w:val="0"/>
          <w:w w:val="100"/>
          <w:position w:val="0"/>
        </w:rPr>
        <w:t>所 述的会计政策进行会计处理。未纳入租赁投资净额计量的可变租赁付款额在实际发生时计入当期损益。</w:t>
      </w:r>
    </w:p>
    <w:p>
      <w:pPr>
        <w:pStyle w:val="Style20"/>
        <w:keepNext w:val="0"/>
        <w:keepLines w:val="0"/>
        <w:widowControl w:val="0"/>
        <w:shd w:val="clear" w:color="auto" w:fill="auto"/>
        <w:bidi w:val="0"/>
        <w:spacing w:before="0" w:after="320" w:line="310" w:lineRule="exact"/>
        <w:ind w:left="0" w:right="0" w:firstLine="0"/>
        <w:jc w:val="left"/>
      </w:pPr>
      <w:r>
        <w:rPr>
          <w:color w:val="000000"/>
          <w:spacing w:val="0"/>
          <w:w w:val="100"/>
          <w:position w:val="0"/>
        </w:rPr>
        <w:t>经营租赁的租赁收款额在租赁期内按直线法确认为租金收入。本集团将其发生的与经营租赁有关的初始直接费用予以资本 化，在租赁期内按照与租金收入确认相同的基础进行分摊，分期计入当期损益。未计入租赁收款额的可变租赁付款额在实际 发生时计入当期损益。</w:t>
      </w:r>
    </w:p>
    <w:p>
      <w:pPr>
        <w:pStyle w:val="Style20"/>
        <w:keepNext w:val="0"/>
        <w:keepLines w:val="0"/>
        <w:widowControl w:val="0"/>
        <w:shd w:val="clear" w:color="auto" w:fill="auto"/>
        <w:bidi w:val="0"/>
        <w:spacing w:before="0" w:after="100" w:line="235" w:lineRule="exact"/>
        <w:ind w:left="0" w:right="0" w:firstLine="0"/>
        <w:jc w:val="left"/>
      </w:pPr>
      <w:bookmarkStart w:id="646" w:name="bookmark646"/>
      <w:r>
        <w:rPr>
          <w:rFonts w:ascii="Times New Roman" w:eastAsia="Times New Roman" w:hAnsi="Times New Roman" w:cs="Times New Roman"/>
          <w:color w:val="000000"/>
          <w:spacing w:val="0"/>
          <w:w w:val="100"/>
          <w:position w:val="0"/>
        </w:rPr>
        <w:t>2</w:t>
      </w:r>
      <w:bookmarkEnd w:id="646"/>
      <w:r>
        <w:rPr>
          <w:rFonts w:ascii="Times New Roman" w:eastAsia="Times New Roman" w:hAnsi="Times New Roman" w:cs="Times New Roman"/>
          <w:color w:val="000000"/>
          <w:spacing w:val="0"/>
          <w:w w:val="100"/>
          <w:position w:val="0"/>
        </w:rPr>
        <w:t>9</w:t>
      </w:r>
      <w:r>
        <w:rPr>
          <w:color w:val="000000"/>
          <w:spacing w:val="0"/>
          <w:w w:val="100"/>
          <w:position w:val="0"/>
        </w:rPr>
        <w:t>、其他重要的会计政策和会计估计变更</w:t>
      </w:r>
    </w:p>
    <w:p>
      <w:pPr>
        <w:pStyle w:val="Style20"/>
        <w:keepNext w:val="0"/>
        <w:keepLines w:val="0"/>
        <w:widowControl w:val="0"/>
        <w:numPr>
          <w:ilvl w:val="0"/>
          <w:numId w:val="67"/>
        </w:numPr>
        <w:shd w:val="clear" w:color="auto" w:fill="auto"/>
        <w:tabs>
          <w:tab w:pos="397" w:val="left"/>
        </w:tabs>
        <w:bidi w:val="0"/>
        <w:spacing w:before="0" w:after="0" w:line="276" w:lineRule="auto"/>
        <w:ind w:left="0" w:right="0" w:firstLine="0"/>
        <w:jc w:val="left"/>
      </w:pPr>
      <w:bookmarkStart w:id="647" w:name="bookmark647"/>
      <w:bookmarkEnd w:id="647"/>
      <w:r>
        <w:rPr>
          <w:color w:val="000000"/>
          <w:spacing w:val="0"/>
          <w:w w:val="100"/>
          <w:position w:val="0"/>
        </w:rPr>
        <w:t>公允价值的计量</w:t>
      </w:r>
    </w:p>
    <w:p>
      <w:pPr>
        <w:pStyle w:val="Style20"/>
        <w:keepNext w:val="0"/>
        <w:keepLines w:val="0"/>
        <w:widowControl w:val="0"/>
        <w:shd w:val="clear" w:color="auto" w:fill="auto"/>
        <w:bidi w:val="0"/>
        <w:spacing w:before="0" w:after="0" w:line="235" w:lineRule="exact"/>
        <w:ind w:left="0" w:right="0" w:firstLine="0"/>
        <w:jc w:val="left"/>
      </w:pPr>
      <w:r>
        <w:rPr>
          <w:color w:val="000000"/>
          <w:spacing w:val="0"/>
          <w:w w:val="100"/>
          <w:position w:val="0"/>
        </w:rPr>
        <w:t>除特别声明外，本集团按下述原则计量公允价值：</w:t>
      </w:r>
    </w:p>
    <w:p>
      <w:pPr>
        <w:pStyle w:val="Style20"/>
        <w:keepNext w:val="0"/>
        <w:keepLines w:val="0"/>
        <w:widowControl w:val="0"/>
        <w:shd w:val="clear" w:color="auto" w:fill="auto"/>
        <w:bidi w:val="0"/>
        <w:spacing w:before="0" w:after="0" w:line="235" w:lineRule="exact"/>
        <w:ind w:left="0" w:right="0" w:firstLine="0"/>
        <w:jc w:val="left"/>
      </w:pPr>
      <w:r>
        <w:rPr>
          <w:color w:val="000000"/>
          <w:spacing w:val="0"/>
          <w:w w:val="100"/>
          <w:position w:val="0"/>
        </w:rPr>
        <w:t>公允价值是指市场参与者在计量日发生的有序交易中，出售一项资产所能收到或者转移一项负债所需支付的价格。</w:t>
      </w:r>
    </w:p>
    <w:p>
      <w:pPr>
        <w:pStyle w:val="Style20"/>
        <w:keepNext w:val="0"/>
        <w:keepLines w:val="0"/>
        <w:widowControl w:val="0"/>
        <w:shd w:val="clear" w:color="auto" w:fill="auto"/>
        <w:bidi w:val="0"/>
        <w:spacing w:before="0" w:after="0" w:line="235" w:lineRule="exact"/>
        <w:ind w:left="0" w:right="0" w:firstLine="0"/>
        <w:jc w:val="left"/>
      </w:pPr>
      <w:r>
        <w:rPr>
          <w:color w:val="000000"/>
          <w:spacing w:val="0"/>
          <w:w w:val="100"/>
          <w:position w:val="0"/>
        </w:rPr>
        <w:t>本集团估计公允价值时，考虑市场参与者在计量日对相关资产或负债进行定价时考虑的特征</w:t>
      </w:r>
      <w:r>
        <w:rPr>
          <w:color w:val="000000"/>
          <w:spacing w:val="0"/>
          <w:w w:val="100"/>
          <w:position w:val="0"/>
        </w:rPr>
        <w:t>(</w:t>
      </w:r>
      <w:r>
        <w:rPr>
          <w:color w:val="000000"/>
          <w:spacing w:val="0"/>
          <w:w w:val="100"/>
          <w:position w:val="0"/>
        </w:rPr>
        <w:t>包括资产状况及所在位置、对 资产出售或者使用的限制等</w:t>
      </w:r>
      <w:r>
        <w:rPr>
          <w:rFonts w:ascii="Times New Roman" w:eastAsia="Times New Roman" w:hAnsi="Times New Roman" w:cs="Times New Roman"/>
          <w:color w:val="000000"/>
          <w:spacing w:val="0"/>
          <w:w w:val="100"/>
          <w:position w:val="0"/>
        </w:rPr>
        <w:t>)</w:t>
      </w:r>
      <w:r>
        <w:rPr>
          <w:color w:val="000000"/>
          <w:spacing w:val="0"/>
          <w:w w:val="100"/>
          <w:position w:val="0"/>
        </w:rPr>
        <w:t>，并采用在当前情况下适用并且有足够可利用数据和其他信息支持的估值技术。使用的估值技 术主要包括市场法、收益法和成本法。</w:t>
      </w:r>
    </w:p>
    <w:p>
      <w:pPr>
        <w:pStyle w:val="Style20"/>
        <w:keepNext w:val="0"/>
        <w:keepLines w:val="0"/>
        <w:widowControl w:val="0"/>
        <w:numPr>
          <w:ilvl w:val="0"/>
          <w:numId w:val="67"/>
        </w:numPr>
        <w:shd w:val="clear" w:color="auto" w:fill="auto"/>
        <w:tabs>
          <w:tab w:pos="397" w:val="left"/>
        </w:tabs>
        <w:bidi w:val="0"/>
        <w:spacing w:before="0" w:after="0" w:line="276" w:lineRule="auto"/>
        <w:ind w:left="0" w:right="0" w:firstLine="0"/>
        <w:jc w:val="both"/>
      </w:pPr>
      <w:bookmarkStart w:id="648" w:name="bookmark648"/>
      <w:bookmarkEnd w:id="648"/>
      <w:r>
        <w:rPr>
          <w:color w:val="000000"/>
          <w:spacing w:val="0"/>
          <w:w w:val="100"/>
          <w:position w:val="0"/>
        </w:rPr>
        <w:t>股利分配</w:t>
      </w:r>
    </w:p>
    <w:p>
      <w:pPr>
        <w:pStyle w:val="Style20"/>
        <w:keepNext w:val="0"/>
        <w:keepLines w:val="0"/>
        <w:widowControl w:val="0"/>
        <w:shd w:val="clear" w:color="auto" w:fill="auto"/>
        <w:bidi w:val="0"/>
        <w:spacing w:before="0" w:after="100" w:line="235" w:lineRule="exact"/>
        <w:ind w:left="0" w:right="0" w:firstLine="0"/>
        <w:jc w:val="left"/>
      </w:pPr>
      <w:r>
        <w:rPr>
          <w:color w:val="000000"/>
          <w:spacing w:val="0"/>
          <w:w w:val="100"/>
          <w:position w:val="0"/>
        </w:rPr>
        <w:t>资产负债表日后，经审议批准的利润分配方案中拟分配的股利或利润，不确认为资产负债表日的负债，在附注中单独披露。</w:t>
      </w:r>
    </w:p>
    <w:p>
      <w:pPr>
        <w:pStyle w:val="Style20"/>
        <w:keepNext w:val="0"/>
        <w:keepLines w:val="0"/>
        <w:widowControl w:val="0"/>
        <w:numPr>
          <w:ilvl w:val="0"/>
          <w:numId w:val="67"/>
        </w:numPr>
        <w:shd w:val="clear" w:color="auto" w:fill="auto"/>
        <w:tabs>
          <w:tab w:pos="397" w:val="left"/>
        </w:tabs>
        <w:bidi w:val="0"/>
        <w:spacing w:before="0" w:after="0" w:line="276" w:lineRule="auto"/>
        <w:ind w:left="0" w:right="0" w:firstLine="0"/>
        <w:jc w:val="both"/>
      </w:pPr>
      <w:bookmarkStart w:id="649" w:name="bookmark649"/>
      <w:bookmarkEnd w:id="649"/>
      <w:r>
        <w:rPr>
          <w:color w:val="000000"/>
          <w:spacing w:val="0"/>
          <w:w w:val="100"/>
          <w:position w:val="0"/>
        </w:rPr>
        <w:t>关联方</w:t>
      </w:r>
    </w:p>
    <w:p>
      <w:pPr>
        <w:pStyle w:val="Style20"/>
        <w:keepNext w:val="0"/>
        <w:keepLines w:val="0"/>
        <w:widowControl w:val="0"/>
        <w:shd w:val="clear" w:color="auto" w:fill="auto"/>
        <w:bidi w:val="0"/>
        <w:spacing w:before="0" w:after="0" w:line="226" w:lineRule="exact"/>
        <w:ind w:left="0" w:right="0" w:firstLine="0"/>
        <w:jc w:val="both"/>
      </w:pPr>
      <w:r>
        <w:rPr>
          <w:color w:val="000000"/>
          <w:spacing w:val="0"/>
          <w:w w:val="100"/>
          <w:position w:val="0"/>
        </w:rPr>
        <w:t>一方控制、共同控制另一方或对另一方施加重大影响，以及两方或两方以上同受一方控制、共同控制的，构成关联方。关联 方可为个人或企业。仅仅同受国家控制而不存在其他关联方关系的企业，不构成关联方。</w:t>
      </w:r>
    </w:p>
    <w:p>
      <w:pPr>
        <w:pStyle w:val="Style20"/>
        <w:keepNext w:val="0"/>
        <w:keepLines w:val="0"/>
        <w:widowControl w:val="0"/>
        <w:shd w:val="clear" w:color="auto" w:fill="auto"/>
        <w:bidi w:val="0"/>
        <w:spacing w:before="0" w:after="100" w:line="226" w:lineRule="exact"/>
        <w:ind w:left="0" w:right="0" w:firstLine="0"/>
        <w:jc w:val="both"/>
      </w:pPr>
      <w:r>
        <w:rPr>
          <w:color w:val="000000"/>
          <w:spacing w:val="0"/>
          <w:w w:val="100"/>
          <w:position w:val="0"/>
        </w:rPr>
        <w:t>此外，本公司同时根据证监会颁布的《上市公司信息披露管理办法》确定本集团或本公司的关联方。</w:t>
      </w:r>
    </w:p>
    <w:p>
      <w:pPr>
        <w:pStyle w:val="Style20"/>
        <w:keepNext w:val="0"/>
        <w:keepLines w:val="0"/>
        <w:widowControl w:val="0"/>
        <w:numPr>
          <w:ilvl w:val="0"/>
          <w:numId w:val="67"/>
        </w:numPr>
        <w:shd w:val="clear" w:color="auto" w:fill="auto"/>
        <w:tabs>
          <w:tab w:pos="397" w:val="left"/>
        </w:tabs>
        <w:bidi w:val="0"/>
        <w:spacing w:before="0" w:after="0" w:line="276" w:lineRule="auto"/>
        <w:ind w:left="0" w:right="0" w:firstLine="0"/>
        <w:jc w:val="both"/>
      </w:pPr>
      <w:bookmarkStart w:id="650" w:name="bookmark650"/>
      <w:bookmarkEnd w:id="650"/>
      <w:r>
        <w:rPr>
          <w:color w:val="000000"/>
          <w:spacing w:val="0"/>
          <w:w w:val="100"/>
          <w:position w:val="0"/>
        </w:rPr>
        <w:t>分部报告</w:t>
      </w:r>
    </w:p>
    <w:p>
      <w:pPr>
        <w:pStyle w:val="Style20"/>
        <w:keepNext w:val="0"/>
        <w:keepLines w:val="0"/>
        <w:widowControl w:val="0"/>
        <w:shd w:val="clear" w:color="auto" w:fill="auto"/>
        <w:bidi w:val="0"/>
        <w:spacing w:before="0" w:after="100" w:line="240" w:lineRule="exact"/>
        <w:ind w:left="0" w:right="0" w:firstLine="494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年年度报告全文 本集团以内部组织结构、管理要求、内部报告制度为依据确定经营分部。如果两个或多个经营分部存在相似经济特征且同时 在各单项产品或劳务的性质、生产过程的性质、产品或劳务的客户类型、销售产品或提供劳务的方式、生产产品及提供劳务 受法律及行政法规的影响等方面具有相同或相似性的，可以合并为一个经营分部。本集团只有一个经营分部。</w:t>
      </w:r>
    </w:p>
    <w:p>
      <w:pPr>
        <w:pStyle w:val="Style20"/>
        <w:keepNext w:val="0"/>
        <w:keepLines w:val="0"/>
        <w:widowControl w:val="0"/>
        <w:shd w:val="clear" w:color="auto" w:fill="auto"/>
        <w:bidi w:val="0"/>
        <w:spacing w:before="0" w:after="40" w:line="271" w:lineRule="auto"/>
        <w:ind w:left="0" w:right="0" w:firstLine="0"/>
        <w:jc w:val="left"/>
      </w:pPr>
      <w:bookmarkStart w:id="651" w:name="bookmark651"/>
      <w:r>
        <w:rPr>
          <w:rFonts w:ascii="Times New Roman" w:eastAsia="Times New Roman" w:hAnsi="Times New Roman" w:cs="Times New Roman"/>
          <w:color w:val="000000"/>
          <w:spacing w:val="0"/>
          <w:w w:val="100"/>
          <w:position w:val="0"/>
        </w:rPr>
        <w:t>（</w:t>
      </w:r>
      <w:bookmarkEnd w:id="651"/>
      <w:r>
        <w:rPr>
          <w:rFonts w:ascii="Times New Roman" w:eastAsia="Times New Roman" w:hAnsi="Times New Roman" w:cs="Times New Roman"/>
          <w:color w:val="000000"/>
          <w:spacing w:val="0"/>
          <w:w w:val="100"/>
          <w:position w:val="0"/>
        </w:rPr>
        <w:t>5）</w:t>
      </w:r>
      <w:r>
        <w:rPr>
          <w:color w:val="000000"/>
          <w:spacing w:val="0"/>
          <w:w w:val="100"/>
          <w:position w:val="0"/>
        </w:rPr>
        <w:t>主要会计估计及判断</w:t>
      </w:r>
    </w:p>
    <w:p>
      <w:pPr>
        <w:pStyle w:val="Style20"/>
        <w:keepNext w:val="0"/>
        <w:keepLines w:val="0"/>
        <w:widowControl w:val="0"/>
        <w:shd w:val="clear" w:color="auto" w:fill="auto"/>
        <w:bidi w:val="0"/>
        <w:spacing w:before="0" w:after="40" w:line="226" w:lineRule="exact"/>
        <w:ind w:left="0" w:right="0" w:firstLine="0"/>
        <w:jc w:val="left"/>
      </w:pPr>
      <w:r>
        <w:rPr>
          <w:color w:val="000000"/>
          <w:spacing w:val="0"/>
          <w:w w:val="100"/>
          <w:position w:val="0"/>
        </w:rPr>
        <w:t>编制财务报表时，本集团管理层需要运用估计和假设，这些估计和假设会对会计政策的应用及资产、负债、收入及费用的金 额产生影响。实际情况可能与这些估计不同。本集团管理层对估计涉及的关键假设和不确定因素的判断进行持续评估，会计 估计变更的影响在变更当期和未来期间予以确认。</w:t>
      </w:r>
    </w:p>
    <w:p>
      <w:pPr>
        <w:pStyle w:val="Style20"/>
        <w:keepNext w:val="0"/>
        <w:keepLines w:val="0"/>
        <w:widowControl w:val="0"/>
        <w:shd w:val="clear" w:color="auto" w:fill="auto"/>
        <w:bidi w:val="0"/>
        <w:spacing w:before="0" w:after="0" w:line="27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主要会计估计</w:t>
      </w:r>
    </w:p>
    <w:p>
      <w:pPr>
        <w:pStyle w:val="Style20"/>
        <w:keepNext w:val="0"/>
        <w:keepLines w:val="0"/>
        <w:widowControl w:val="0"/>
        <w:shd w:val="clear" w:color="auto" w:fill="auto"/>
        <w:bidi w:val="0"/>
        <w:spacing w:before="0" w:after="40" w:line="221" w:lineRule="exact"/>
        <w:ind w:left="0" w:right="0" w:firstLine="0"/>
        <w:jc w:val="left"/>
      </w:pPr>
      <w:r>
        <w:rPr>
          <w:color w:val="000000"/>
          <w:spacing w:val="0"/>
          <w:w w:val="100"/>
          <w:position w:val="0"/>
        </w:rPr>
        <w:t>除固定资产及无形资产等资产的折旧及摊销</w:t>
      </w:r>
      <w:r>
        <w:rPr>
          <w:color w:val="000000"/>
          <w:spacing w:val="0"/>
          <w:w w:val="100"/>
          <w:position w:val="0"/>
        </w:rPr>
        <w:t>（</w:t>
      </w:r>
      <w:r>
        <w:rPr>
          <w:color w:val="000000"/>
          <w:spacing w:val="0"/>
          <w:w w:val="100"/>
          <w:position w:val="0"/>
        </w:rPr>
        <w:t>参见附注五、</w:t>
      </w:r>
      <w:r>
        <w:rPr>
          <w:rFonts w:ascii="Times New Roman" w:eastAsia="Times New Roman" w:hAnsi="Times New Roman" w:cs="Times New Roman"/>
          <w:color w:val="000000"/>
          <w:spacing w:val="0"/>
          <w:w w:val="100"/>
          <w:position w:val="0"/>
        </w:rPr>
        <w:t>14</w:t>
      </w:r>
      <w:r>
        <w:rPr>
          <w:color w:val="000000"/>
          <w:spacing w:val="0"/>
          <w:w w:val="100"/>
          <w:position w:val="0"/>
        </w:rPr>
        <w:t>和</w:t>
      </w:r>
      <w:r>
        <w:rPr>
          <w:rFonts w:ascii="Times New Roman" w:eastAsia="Times New Roman" w:hAnsi="Times New Roman" w:cs="Times New Roman"/>
          <w:color w:val="000000"/>
          <w:spacing w:val="0"/>
          <w:w w:val="100"/>
          <w:position w:val="0"/>
        </w:rPr>
        <w:t>18）</w:t>
      </w:r>
      <w:r>
        <w:rPr>
          <w:color w:val="000000"/>
          <w:spacing w:val="0"/>
          <w:w w:val="100"/>
          <w:position w:val="0"/>
        </w:rPr>
        <w:t>和各类资产减值</w:t>
      </w:r>
      <w:r>
        <w:rPr>
          <w:color w:val="000000"/>
          <w:spacing w:val="0"/>
          <w:w w:val="100"/>
          <w:position w:val="0"/>
        </w:rPr>
        <w:t>（</w:t>
      </w:r>
      <w:r>
        <w:rPr>
          <w:color w:val="000000"/>
          <w:spacing w:val="0"/>
          <w:w w:val="100"/>
          <w:position w:val="0"/>
        </w:rPr>
        <w:t>参见附注七、</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 xml:space="preserve">以及附注十七、 </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涉及的会计估计外，其他主要的会计估计如下：</w:t>
      </w:r>
    </w:p>
    <w:p>
      <w:pPr>
        <w:pStyle w:val="Style20"/>
        <w:keepNext w:val="0"/>
        <w:keepLines w:val="0"/>
        <w:widowControl w:val="0"/>
        <w:shd w:val="clear" w:color="auto" w:fill="auto"/>
        <w:tabs>
          <w:tab w:pos="576" w:val="left"/>
        </w:tabs>
        <w:bidi w:val="0"/>
        <w:spacing w:before="0" w:after="40" w:line="233" w:lineRule="exact"/>
        <w:ind w:left="0" w:right="0" w:firstLine="0"/>
        <w:jc w:val="left"/>
      </w:pPr>
      <w:bookmarkStart w:id="652" w:name="bookmark652"/>
      <w:r>
        <w:rPr>
          <w:rFonts w:ascii="Times New Roman" w:eastAsia="Times New Roman" w:hAnsi="Times New Roman" w:cs="Times New Roman"/>
          <w:color w:val="000000"/>
          <w:spacing w:val="0"/>
          <w:w w:val="100"/>
          <w:position w:val="0"/>
        </w:rPr>
        <w:t>（</w:t>
      </w:r>
      <w:bookmarkEnd w:id="652"/>
      <w:r>
        <w:rPr>
          <w:rFonts w:ascii="Times New Roman" w:eastAsia="Times New Roman" w:hAnsi="Times New Roman" w:cs="Times New Roman"/>
          <w:color w:val="000000"/>
          <w:spacing w:val="0"/>
          <w:w w:val="100"/>
          <w:position w:val="0"/>
        </w:rPr>
        <w:t>i）</w:t>
        <w:tab/>
      </w:r>
      <w:r>
        <w:rPr>
          <w:color w:val="000000"/>
          <w:spacing w:val="0"/>
          <w:w w:val="100"/>
          <w:position w:val="0"/>
        </w:rPr>
        <w:t>附注七、</w:t>
      </w:r>
      <w:r>
        <w:rPr>
          <w:rFonts w:ascii="Times New Roman" w:eastAsia="Times New Roman" w:hAnsi="Times New Roman" w:cs="Times New Roman"/>
          <w:color w:val="000000"/>
          <w:spacing w:val="0"/>
          <w:w w:val="100"/>
          <w:position w:val="0"/>
        </w:rPr>
        <w:t>17-</w:t>
      </w:r>
      <w:r>
        <w:rPr>
          <w:color w:val="000000"/>
          <w:spacing w:val="0"/>
          <w:w w:val="100"/>
          <w:position w:val="0"/>
        </w:rPr>
        <w:t>递延所得税资产的确认；</w:t>
      </w:r>
    </w:p>
    <w:p>
      <w:pPr>
        <w:pStyle w:val="Style20"/>
        <w:keepNext w:val="0"/>
        <w:keepLines w:val="0"/>
        <w:widowControl w:val="0"/>
        <w:shd w:val="clear" w:color="auto" w:fill="auto"/>
        <w:tabs>
          <w:tab w:pos="576" w:val="left"/>
        </w:tabs>
        <w:bidi w:val="0"/>
        <w:spacing w:before="0" w:after="40" w:line="233" w:lineRule="exact"/>
        <w:ind w:left="0" w:right="0" w:firstLine="0"/>
        <w:jc w:val="left"/>
      </w:pPr>
      <w:bookmarkStart w:id="653" w:name="bookmark653"/>
      <w:r>
        <w:rPr>
          <w:rFonts w:ascii="Times New Roman" w:eastAsia="Times New Roman" w:hAnsi="Times New Roman" w:cs="Times New Roman"/>
          <w:color w:val="000000"/>
          <w:spacing w:val="0"/>
          <w:w w:val="100"/>
          <w:position w:val="0"/>
        </w:rPr>
        <w:t>（</w:t>
      </w:r>
      <w:bookmarkEnd w:id="653"/>
      <w:r>
        <w:rPr>
          <w:rFonts w:ascii="Times New Roman" w:eastAsia="Times New Roman" w:hAnsi="Times New Roman" w:cs="Times New Roman"/>
          <w:color w:val="000000"/>
          <w:spacing w:val="0"/>
          <w:w w:val="100"/>
          <w:position w:val="0"/>
        </w:rPr>
        <w:t>ii）</w:t>
        <w:tab/>
      </w:r>
      <w:r>
        <w:rPr>
          <w:color w:val="000000"/>
          <w:spacing w:val="0"/>
          <w:w w:val="100"/>
          <w:position w:val="0"/>
        </w:rPr>
        <w:t>附注十一、金融工具的公允价值估值；</w:t>
      </w:r>
    </w:p>
    <w:p>
      <w:pPr>
        <w:pStyle w:val="Style20"/>
        <w:keepNext w:val="0"/>
        <w:keepLines w:val="0"/>
        <w:widowControl w:val="0"/>
        <w:shd w:val="clear" w:color="auto" w:fill="auto"/>
        <w:bidi w:val="0"/>
        <w:spacing w:before="0" w:after="40" w:line="271"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主要会计判断</w:t>
      </w:r>
    </w:p>
    <w:p>
      <w:pPr>
        <w:pStyle w:val="Style20"/>
        <w:keepNext w:val="0"/>
        <w:keepLines w:val="0"/>
        <w:widowControl w:val="0"/>
        <w:shd w:val="clear" w:color="auto" w:fill="auto"/>
        <w:bidi w:val="0"/>
        <w:spacing w:before="0" w:after="40" w:line="233" w:lineRule="exact"/>
        <w:ind w:left="0" w:right="0" w:firstLine="0"/>
        <w:jc w:val="left"/>
      </w:pPr>
      <w:r>
        <w:rPr>
          <w:color w:val="000000"/>
          <w:spacing w:val="0"/>
          <w:w w:val="100"/>
          <w:position w:val="0"/>
        </w:rPr>
        <w:t>本集团在运用会计政策过程中做出的重要判断如下：</w:t>
      </w:r>
    </w:p>
    <w:p>
      <w:pPr>
        <w:pStyle w:val="Style20"/>
        <w:keepNext w:val="0"/>
        <w:keepLines w:val="0"/>
        <w:widowControl w:val="0"/>
        <w:shd w:val="clear" w:color="auto" w:fill="auto"/>
        <w:bidi w:val="0"/>
        <w:spacing w:before="0" w:after="300" w:line="233" w:lineRule="exact"/>
        <w:ind w:left="0" w:right="0" w:firstLine="0"/>
        <w:jc w:val="left"/>
      </w:pPr>
      <w:r>
        <w:rPr>
          <w:color w:val="000000"/>
          <w:spacing w:val="0"/>
          <w:w w:val="100"/>
          <w:position w:val="0"/>
        </w:rPr>
        <w:t>附注九</w:t>
      </w:r>
      <w:r>
        <w:rPr>
          <w:rFonts w:ascii="Times New Roman" w:eastAsia="Times New Roman" w:hAnsi="Times New Roman" w:cs="Times New Roman"/>
          <w:color w:val="000000"/>
          <w:spacing w:val="0"/>
          <w:w w:val="100"/>
          <w:position w:val="0"/>
        </w:rPr>
        <w:t>-</w:t>
      </w:r>
      <w:r>
        <w:rPr>
          <w:color w:val="000000"/>
          <w:spacing w:val="0"/>
          <w:w w:val="100"/>
          <w:position w:val="0"/>
        </w:rPr>
        <w:t>披露对其他主体实施控制、共同控制或重大影响的重大判断和假设。</w:t>
      </w:r>
    </w:p>
    <w:p>
      <w:pPr>
        <w:pStyle w:val="Style20"/>
        <w:keepNext w:val="0"/>
        <w:keepLines w:val="0"/>
        <w:widowControl w:val="0"/>
        <w:shd w:val="clear" w:color="auto" w:fill="auto"/>
        <w:bidi w:val="0"/>
        <w:spacing w:before="0" w:after="360" w:line="240" w:lineRule="auto"/>
        <w:ind w:left="0" w:right="0" w:firstLine="0"/>
        <w:jc w:val="left"/>
      </w:pPr>
      <w:bookmarkStart w:id="654" w:name="bookmark654"/>
      <w:r>
        <w:rPr>
          <w:rFonts w:ascii="Times New Roman" w:eastAsia="Times New Roman" w:hAnsi="Times New Roman" w:cs="Times New Roman"/>
          <w:color w:val="000000"/>
          <w:spacing w:val="0"/>
          <w:w w:val="100"/>
          <w:position w:val="0"/>
        </w:rPr>
        <w:t>3</w:t>
      </w:r>
      <w:bookmarkEnd w:id="654"/>
      <w:r>
        <w:rPr>
          <w:rFonts w:ascii="Times New Roman" w:eastAsia="Times New Roman" w:hAnsi="Times New Roman" w:cs="Times New Roman"/>
          <w:color w:val="000000"/>
          <w:spacing w:val="0"/>
          <w:w w:val="100"/>
          <w:position w:val="0"/>
        </w:rPr>
        <w:t>0</w:t>
      </w:r>
      <w:r>
        <w:rPr>
          <w:color w:val="000000"/>
          <w:spacing w:val="0"/>
          <w:w w:val="100"/>
          <w:position w:val="0"/>
        </w:rPr>
        <w:t>、重要会计政策和会计估计变更</w:t>
      </w:r>
    </w:p>
    <w:p>
      <w:pPr>
        <w:pStyle w:val="Style20"/>
        <w:keepNext w:val="0"/>
        <w:keepLines w:val="0"/>
        <w:widowControl w:val="0"/>
        <w:shd w:val="clear" w:color="auto" w:fill="auto"/>
        <w:bidi w:val="0"/>
        <w:spacing w:before="0" w:after="360" w:line="240" w:lineRule="auto"/>
        <w:ind w:left="0" w:right="0" w:firstLine="0"/>
        <w:jc w:val="left"/>
      </w:pPr>
      <w:bookmarkStart w:id="655" w:name="bookmark655"/>
      <w:r>
        <w:rPr>
          <w:color w:val="000000"/>
          <w:spacing w:val="0"/>
          <w:w w:val="100"/>
          <w:position w:val="0"/>
        </w:rPr>
        <w:t>（</w:t>
      </w:r>
      <w:bookmarkEnd w:id="655"/>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6384"/>
        <w:gridCol w:w="1843"/>
        <w:gridCol w:w="135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2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新租赁准则修订了财政部于</w:t>
            </w:r>
            <w:r>
              <w:rPr>
                <w:rFonts w:ascii="Times New Roman" w:eastAsia="Times New Roman" w:hAnsi="Times New Roman" w:cs="Times New Roman"/>
                <w:color w:val="000000"/>
                <w:spacing w:val="0"/>
                <w:w w:val="100"/>
                <w:position w:val="0"/>
              </w:rPr>
              <w:t>2006</w:t>
            </w:r>
            <w:r>
              <w:rPr>
                <w:color w:val="000000"/>
                <w:spacing w:val="0"/>
                <w:w w:val="100"/>
                <w:position w:val="0"/>
              </w:rPr>
              <w:t>年颁布的《企业会计准则第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 xml:space="preserve">号——租赁》 </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color w:val="000000"/>
                <w:spacing w:val="0"/>
                <w:w w:val="100"/>
                <w:position w:val="0"/>
              </w:rPr>
              <w:t>原租赁准则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。本集团自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日起执行新租赁准则，对会计政 策相关内容进行调整。新租赁准则完善了租赁的定义，本集团在新租赁准则下根 据租赁的定义评估合同是否为租赁或者包含租赁。对于首次执行日前已存在的合 同，本集团在首次执行日选择不重新评估其是否为租赁或者包含租赁</w:t>
            </w:r>
            <w:r>
              <w:rPr>
                <w:color w:val="000000"/>
                <w:spacing w:val="0"/>
                <w:w w:val="100"/>
                <w:position w:val="0"/>
              </w:rPr>
              <w:t>，</w:t>
            </w:r>
            <w:r>
              <w:rPr>
                <w:color w:val="000000"/>
                <w:spacing w:val="0"/>
                <w:w w:val="100"/>
                <w:position w:val="0"/>
              </w:rPr>
              <w:t>具体内容 详见表下注释。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第三届董事会第四次 临时会议、第三届监 事会第三次临时会议 审议通过关于公司会 计政策变更的议案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日在巨</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潮资讯网披露</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《关于会计政策</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变更的公告》</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（公告编号：</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2021-024</w:t>
            </w:r>
            <w:r>
              <w:rPr>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《新冠肺炎疫情相关租金减让会计处理规定》</w:t>
            </w:r>
            <w:r>
              <w:rPr>
                <w:color w:val="000000"/>
                <w:spacing w:val="0"/>
                <w:w w:val="100"/>
                <w:position w:val="0"/>
              </w:rPr>
              <w:t>（</w:t>
            </w:r>
            <w:r>
              <w:rPr>
                <w:color w:val="000000"/>
                <w:spacing w:val="0"/>
                <w:w w:val="100"/>
                <w:position w:val="0"/>
              </w:rPr>
              <w:t>财会</w:t>
            </w:r>
            <w:r>
              <w:rPr>
                <w:rFonts w:ascii="Times New Roman" w:eastAsia="Times New Roman" w:hAnsi="Times New Roman" w:cs="Times New Roman"/>
                <w:color w:val="000000"/>
                <w:spacing w:val="0"/>
                <w:w w:val="100"/>
                <w:position w:val="0"/>
              </w:rPr>
              <w:t xml:space="preserve">[2020] </w:t>
            </w:r>
            <w:r>
              <w:rPr>
                <w:rFonts w:ascii="Times New Roman" w:eastAsia="Times New Roman" w:hAnsi="Times New Roman" w:cs="Times New Roman"/>
                <w:color w:val="000000"/>
                <w:spacing w:val="0"/>
                <w:w w:val="100"/>
                <w:position w:val="0"/>
              </w:rPr>
              <w:t>10</w:t>
            </w:r>
            <w:r>
              <w:rPr>
                <w:color w:val="000000"/>
                <w:spacing w:val="0"/>
                <w:w w:val="100"/>
                <w:position w:val="0"/>
              </w:rPr>
              <w:t>号</w:t>
            </w:r>
            <w:r>
              <w:rPr>
                <w:color w:val="000000"/>
                <w:spacing w:val="0"/>
                <w:w w:val="100"/>
                <w:position w:val="0"/>
              </w:rPr>
              <w:t>）</w:t>
            </w:r>
            <w:r>
              <w:rPr>
                <w:color w:val="000000"/>
                <w:spacing w:val="0"/>
                <w:w w:val="100"/>
                <w:position w:val="0"/>
              </w:rPr>
              <w:t>对于满足一定 条件的，由新冠肺炎疫情直接引发的租金减让提供了简化方法。如果企业选择采 用简化方法，则不需要评估是否发生租赁变更，也不需要重新评估租赁分类。结 合财会</w:t>
            </w:r>
            <w:r>
              <w:rPr>
                <w:rFonts w:ascii="Times New Roman" w:eastAsia="Times New Roman" w:hAnsi="Times New Roman" w:cs="Times New Roman"/>
                <w:color w:val="000000"/>
                <w:spacing w:val="0"/>
                <w:w w:val="100"/>
                <w:position w:val="0"/>
              </w:rPr>
              <w:t xml:space="preserve">[2021] </w:t>
            </w:r>
            <w:r>
              <w:rPr>
                <w:rFonts w:ascii="Times New Roman" w:eastAsia="Times New Roman" w:hAnsi="Times New Roman" w:cs="Times New Roman"/>
                <w:color w:val="000000"/>
                <w:spacing w:val="0"/>
                <w:w w:val="100"/>
                <w:position w:val="0"/>
              </w:rPr>
              <w:t>9</w:t>
            </w:r>
            <w:r>
              <w:rPr>
                <w:color w:val="000000"/>
                <w:spacing w:val="0"/>
                <w:w w:val="100"/>
                <w:position w:val="0"/>
              </w:rPr>
              <w:t>号的规定，该简化方法的租金减让期间为针对</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日前的应付租赁付款额。本集团将执行上述规定的累积影响数调整</w:t>
            </w:r>
            <w:r>
              <w:rPr>
                <w:rFonts w:ascii="Times New Roman" w:eastAsia="Times New Roman" w:hAnsi="Times New Roman" w:cs="Times New Roman"/>
                <w:color w:val="000000"/>
                <w:spacing w:val="0"/>
                <w:w w:val="100"/>
                <w:position w:val="0"/>
              </w:rPr>
              <w:t>2021</w:t>
            </w:r>
            <w:r>
              <w:rPr>
                <w:color w:val="000000"/>
                <w:spacing w:val="0"/>
                <w:w w:val="100"/>
                <w:position w:val="0"/>
              </w:rPr>
              <w:t>年度的 年初留存收益及其他相关的财务报表项目，不调整前期比较财务报表数据。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9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tabs>
                <w:tab w:pos="2525" w:val="left"/>
              </w:tabs>
              <w:bidi w:val="0"/>
              <w:spacing w:before="0" w:after="0" w:line="313" w:lineRule="exact"/>
              <w:ind w:left="0" w:right="0" w:firstLine="0"/>
              <w:jc w:val="left"/>
            </w:pPr>
            <w:r>
              <w:rPr>
                <w:color w:val="000000"/>
                <w:spacing w:val="0"/>
                <w:w w:val="100"/>
                <w:position w:val="0"/>
              </w:rPr>
              <w:t>解释第</w:t>
            </w:r>
            <w:r>
              <w:rPr>
                <w:rFonts w:ascii="Times New Roman" w:eastAsia="Times New Roman" w:hAnsi="Times New Roman" w:cs="Times New Roman"/>
                <w:color w:val="000000"/>
                <w:spacing w:val="0"/>
                <w:w w:val="100"/>
                <w:position w:val="0"/>
              </w:rPr>
              <w:t>14</w:t>
            </w:r>
            <w:r>
              <w:rPr>
                <w:color w:val="000000"/>
                <w:spacing w:val="0"/>
                <w:w w:val="100"/>
                <w:position w:val="0"/>
              </w:rPr>
              <w:t>号自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施行日</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起施行。</w:t>
            </w:r>
            <w:r>
              <w:rPr>
                <w:rFonts w:ascii="Times New Roman" w:eastAsia="Times New Roman" w:hAnsi="Times New Roman" w:cs="Times New Roman"/>
                <w:color w:val="000000"/>
                <w:spacing w:val="0"/>
                <w:w w:val="100"/>
                <w:position w:val="0"/>
              </w:rPr>
              <w:t>（i）</w:t>
            </w:r>
            <w:r>
              <w:rPr>
                <w:color w:val="000000"/>
                <w:spacing w:val="0"/>
                <w:w w:val="100"/>
                <w:position w:val="0"/>
              </w:rPr>
              <w:t>政府和社会资本合作 项目。解释第</w:t>
            </w:r>
            <w:r>
              <w:rPr>
                <w:rFonts w:ascii="Times New Roman" w:eastAsia="Times New Roman" w:hAnsi="Times New Roman" w:cs="Times New Roman"/>
                <w:color w:val="000000"/>
                <w:spacing w:val="0"/>
                <w:w w:val="100"/>
                <w:position w:val="0"/>
              </w:rPr>
              <w:t>14</w:t>
            </w:r>
            <w:r>
              <w:rPr>
                <w:color w:val="000000"/>
                <w:spacing w:val="0"/>
                <w:w w:val="100"/>
                <w:position w:val="0"/>
              </w:rPr>
              <w:t>号及</w:t>
            </w:r>
            <w:r>
              <w:rPr>
                <w:rFonts w:ascii="Times New Roman" w:eastAsia="Times New Roman" w:hAnsi="Times New Roman" w:cs="Times New Roman"/>
                <w:color w:val="000000"/>
                <w:spacing w:val="0"/>
                <w:w w:val="100"/>
                <w:position w:val="0"/>
              </w:rPr>
              <w:t>PPP</w:t>
            </w:r>
            <w:r>
              <w:rPr>
                <w:color w:val="000000"/>
                <w:spacing w:val="0"/>
                <w:w w:val="100"/>
                <w:position w:val="0"/>
              </w:rPr>
              <w:t>项目合同社会资本方会计处理实施问答和应用案例明 确了政府和社会资本合作</w:t>
            </w:r>
            <w:r>
              <w:rPr>
                <w:rFonts w:ascii="Times New Roman" w:eastAsia="Times New Roman" w:hAnsi="Times New Roman" w:cs="Times New Roman"/>
                <w:color w:val="000000"/>
                <w:spacing w:val="0"/>
                <w:w w:val="100"/>
                <w:position w:val="0"/>
              </w:rPr>
              <w:t>（PPP）</w:t>
            </w:r>
            <w:r>
              <w:rPr>
                <w:color w:val="000000"/>
                <w:spacing w:val="0"/>
                <w:w w:val="100"/>
                <w:position w:val="0"/>
              </w:rPr>
              <w:t xml:space="preserve">项目合同的特征和条件，规定了社会资本方对 </w:t>
            </w:r>
            <w:r>
              <w:rPr>
                <w:rFonts w:ascii="Times New Roman" w:eastAsia="Times New Roman" w:hAnsi="Times New Roman" w:cs="Times New Roman"/>
                <w:color w:val="000000"/>
                <w:spacing w:val="0"/>
                <w:w w:val="100"/>
                <w:position w:val="0"/>
              </w:rPr>
              <w:t>PPP</w:t>
            </w:r>
            <w:r>
              <w:rPr>
                <w:color w:val="000000"/>
                <w:spacing w:val="0"/>
                <w:w w:val="100"/>
                <w:position w:val="0"/>
              </w:rPr>
              <w:t>项目合同的具体会计处理和披露要求。《企业会计准则解释第</w:t>
            </w:r>
            <w:r>
              <w:rPr>
                <w:rFonts w:ascii="Times New Roman" w:eastAsia="Times New Roman" w:hAnsi="Times New Roman" w:cs="Times New Roman"/>
                <w:color w:val="000000"/>
                <w:spacing w:val="0"/>
                <w:w w:val="100"/>
                <w:position w:val="0"/>
              </w:rPr>
              <w:t>2</w:t>
            </w:r>
            <w:r>
              <w:rPr>
                <w:color w:val="000000"/>
                <w:spacing w:val="0"/>
                <w:w w:val="100"/>
                <w:position w:val="0"/>
              </w:rPr>
              <w:t>号》</w:t>
            </w:r>
            <w:r>
              <w:rPr>
                <w:color w:val="000000"/>
                <w:spacing w:val="0"/>
                <w:w w:val="100"/>
                <w:position w:val="0"/>
              </w:rPr>
              <w:t>（</w:t>
            </w:r>
            <w:r>
              <w:rPr>
                <w:color w:val="000000"/>
                <w:spacing w:val="0"/>
                <w:w w:val="100"/>
                <w:position w:val="0"/>
              </w:rPr>
              <w:t xml:space="preserve">财会 </w:t>
            </w:r>
            <w:r>
              <w:rPr>
                <w:rFonts w:ascii="Times New Roman" w:eastAsia="Times New Roman" w:hAnsi="Times New Roman" w:cs="Times New Roman"/>
                <w:color w:val="000000"/>
                <w:spacing w:val="0"/>
                <w:w w:val="100"/>
                <w:position w:val="0"/>
              </w:rPr>
              <w:t xml:space="preserve">[2008] </w:t>
            </w:r>
            <w:r>
              <w:rPr>
                <w:rFonts w:ascii="Times New Roman" w:eastAsia="Times New Roman" w:hAnsi="Times New Roman" w:cs="Times New Roman"/>
                <w:color w:val="000000"/>
                <w:spacing w:val="0"/>
                <w:w w:val="100"/>
                <w:position w:val="0"/>
              </w:rPr>
              <w:t>11</w:t>
            </w:r>
            <w:r>
              <w:rPr>
                <w:color w:val="000000"/>
                <w:spacing w:val="0"/>
                <w:w w:val="100"/>
                <w:position w:val="0"/>
              </w:rPr>
              <w:t>号</w:t>
            </w:r>
            <w:r>
              <w:rPr>
                <w:color w:val="000000"/>
                <w:spacing w:val="0"/>
                <w:w w:val="100"/>
                <w:position w:val="0"/>
              </w:rPr>
              <w:t>）</w:t>
            </w:r>
            <w:r>
              <w:rPr>
                <w:color w:val="000000"/>
                <w:spacing w:val="0"/>
                <w:w w:val="100"/>
                <w:position w:val="0"/>
              </w:rPr>
              <w:t>中关于</w:t>
            </w:r>
            <w:r>
              <w:rPr>
                <w:rFonts w:ascii="Times New Roman" w:eastAsia="Times New Roman" w:hAnsi="Times New Roman" w:cs="Times New Roman"/>
                <w:color w:val="000000"/>
                <w:spacing w:val="0"/>
                <w:w w:val="100"/>
                <w:position w:val="0"/>
              </w:rPr>
              <w:t>“</w:t>
            </w:r>
            <w:r>
              <w:rPr>
                <w:color w:val="000000"/>
                <w:spacing w:val="0"/>
                <w:w w:val="100"/>
                <w:position w:val="0"/>
              </w:rPr>
              <w:t>五、企业采用建设经营移交方式</w:t>
            </w:r>
            <w:r>
              <w:rPr>
                <w:rFonts w:ascii="Times New Roman" w:eastAsia="Times New Roman" w:hAnsi="Times New Roman" w:cs="Times New Roman"/>
                <w:color w:val="000000"/>
                <w:spacing w:val="0"/>
                <w:w w:val="100"/>
                <w:position w:val="0"/>
              </w:rPr>
              <w:t>（BOT）</w:t>
            </w:r>
            <w:r>
              <w:rPr>
                <w:color w:val="000000"/>
                <w:spacing w:val="0"/>
                <w:w w:val="100"/>
                <w:position w:val="0"/>
              </w:rPr>
              <w:t>参与公共基础设施 建设业务应当如何处理</w:t>
            </w:r>
            <w:r>
              <w:rPr>
                <w:rFonts w:ascii="Times New Roman" w:eastAsia="Times New Roman" w:hAnsi="Times New Roman" w:cs="Times New Roman"/>
                <w:color w:val="000000"/>
                <w:spacing w:val="0"/>
                <w:w w:val="100"/>
                <w:position w:val="0"/>
              </w:rPr>
              <w:t>”</w:t>
            </w:r>
            <w:r>
              <w:rPr>
                <w:color w:val="000000"/>
                <w:spacing w:val="0"/>
                <w:w w:val="100"/>
                <w:position w:val="0"/>
              </w:rPr>
              <w:t>的内容同时废止。本集团对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日前开始实 施且至施行日尚未完成的以及</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日至施行日新增的有关</w:t>
            </w:r>
            <w:r>
              <w:rPr>
                <w:rFonts w:ascii="Times New Roman" w:eastAsia="Times New Roman" w:hAnsi="Times New Roman" w:cs="Times New Roman"/>
                <w:color w:val="000000"/>
                <w:spacing w:val="0"/>
                <w:w w:val="100"/>
                <w:position w:val="0"/>
              </w:rPr>
              <w:t>PPP</w:t>
            </w:r>
            <w:r>
              <w:rPr>
                <w:color w:val="000000"/>
                <w:spacing w:val="0"/>
                <w:w w:val="100"/>
                <w:position w:val="0"/>
              </w:rPr>
              <w:t>项目合 同进行追溯调整，将累计影响数调整</w:t>
            </w:r>
            <w:r>
              <w:rPr>
                <w:rFonts w:ascii="Times New Roman" w:eastAsia="Times New Roman" w:hAnsi="Times New Roman" w:cs="Times New Roman"/>
                <w:color w:val="000000"/>
                <w:spacing w:val="0"/>
                <w:w w:val="100"/>
                <w:position w:val="0"/>
              </w:rPr>
              <w:t>2021</w:t>
            </w:r>
            <w:r>
              <w:rPr>
                <w:color w:val="000000"/>
                <w:spacing w:val="0"/>
                <w:w w:val="100"/>
                <w:position w:val="0"/>
              </w:rPr>
              <w:t>年度的年初留存收益及财务报表其他 相关项目金额，对可比期间信息不予调整。采用该解释未对本集团的财务状况及 经营成果产生重大影响。</w:t>
            </w:r>
            <w:r>
              <w:rPr>
                <w:color w:val="000000"/>
                <w:spacing w:val="0"/>
                <w:w w:val="100"/>
                <w:position w:val="0"/>
              </w:rPr>
              <w:t>（</w:t>
            </w:r>
            <w:r>
              <w:rPr>
                <w:rFonts w:ascii="Times New Roman" w:eastAsia="Times New Roman" w:hAnsi="Times New Roman" w:cs="Times New Roman"/>
                <w:color w:val="000000"/>
                <w:spacing w:val="0"/>
                <w:w w:val="100"/>
                <w:position w:val="0"/>
              </w:rPr>
              <w:t>ii）</w:t>
              <w:tab/>
            </w:r>
            <w:r>
              <w:rPr>
                <w:color w:val="000000"/>
                <w:spacing w:val="0"/>
                <w:w w:val="100"/>
                <w:position w:val="0"/>
              </w:rPr>
              <w:t>基准利率改革。解释第</w:t>
            </w:r>
            <w:r>
              <w:rPr>
                <w:rFonts w:ascii="Times New Roman" w:eastAsia="Times New Roman" w:hAnsi="Times New Roman" w:cs="Times New Roman"/>
                <w:color w:val="000000"/>
                <w:spacing w:val="0"/>
                <w:w w:val="100"/>
                <w:position w:val="0"/>
              </w:rPr>
              <w:t>14</w:t>
            </w:r>
            <w:r>
              <w:rPr>
                <w:color w:val="000000"/>
                <w:spacing w:val="0"/>
                <w:w w:val="100"/>
                <w:position w:val="0"/>
              </w:rPr>
              <w:t>号规定了基准利率改</w:t>
            </w:r>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革导致的有关金融工具和租赁负债的修改的相关会计处理和披露要求。本集团对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6384"/>
        <w:gridCol w:w="1843"/>
        <w:gridCol w:w="1354"/>
      </w:tblGrid>
      <w:tr>
        <w:trPr>
          <w:trHeight w:val="13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日前发生的以及</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日至施行日新增的有关基准利率 改革相关业务进行追溯调整，将累计影响数调整</w:t>
            </w:r>
            <w:r>
              <w:rPr>
                <w:rFonts w:ascii="Times New Roman" w:eastAsia="Times New Roman" w:hAnsi="Times New Roman" w:cs="Times New Roman"/>
                <w:color w:val="000000"/>
                <w:spacing w:val="0"/>
                <w:w w:val="100"/>
                <w:position w:val="0"/>
              </w:rPr>
              <w:t>2021</w:t>
            </w:r>
            <w:r>
              <w:rPr>
                <w:color w:val="000000"/>
                <w:spacing w:val="0"/>
                <w:w w:val="100"/>
                <w:position w:val="0"/>
              </w:rPr>
              <w:t>年度的年初留存收益或其 他综合收益，无需调整前期比较财务报表数据。采用该解释未对本集团的财务状 况及经营成果产生重大影响。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解释第</w:t>
            </w:r>
            <w:r>
              <w:rPr>
                <w:rFonts w:ascii="Times New Roman" w:eastAsia="Times New Roman" w:hAnsi="Times New Roman" w:cs="Times New Roman"/>
                <w:color w:val="000000"/>
                <w:spacing w:val="0"/>
                <w:w w:val="100"/>
                <w:position w:val="0"/>
              </w:rPr>
              <w:t>15</w:t>
            </w:r>
            <w:r>
              <w:rPr>
                <w:color w:val="000000"/>
                <w:spacing w:val="0"/>
                <w:w w:val="100"/>
                <w:position w:val="0"/>
              </w:rPr>
              <w:t>号中</w:t>
            </w:r>
            <w:r>
              <w:rPr>
                <w:rFonts w:ascii="Times New Roman" w:eastAsia="Times New Roman" w:hAnsi="Times New Roman" w:cs="Times New Roman"/>
                <w:color w:val="000000"/>
                <w:spacing w:val="0"/>
                <w:w w:val="100"/>
                <w:position w:val="0"/>
              </w:rPr>
              <w:t>“</w:t>
            </w:r>
            <w:r>
              <w:rPr>
                <w:color w:val="000000"/>
                <w:spacing w:val="0"/>
                <w:w w:val="100"/>
                <w:position w:val="0"/>
              </w:rPr>
              <w:t>关于资金集中管理相关列报</w:t>
            </w:r>
            <w:r>
              <w:rPr>
                <w:rFonts w:ascii="Times New Roman" w:eastAsia="Times New Roman" w:hAnsi="Times New Roman" w:cs="Times New Roman"/>
                <w:color w:val="000000"/>
                <w:spacing w:val="0"/>
                <w:w w:val="100"/>
                <w:position w:val="0"/>
              </w:rPr>
              <w:t>”</w:t>
            </w:r>
            <w:r>
              <w:rPr>
                <w:color w:val="000000"/>
                <w:spacing w:val="0"/>
                <w:w w:val="100"/>
                <w:position w:val="0"/>
              </w:rPr>
              <w:t>的规定。解释第</w:t>
            </w:r>
            <w:r>
              <w:rPr>
                <w:rFonts w:ascii="Times New Roman" w:eastAsia="Times New Roman" w:hAnsi="Times New Roman" w:cs="Times New Roman"/>
                <w:color w:val="000000"/>
                <w:spacing w:val="0"/>
                <w:w w:val="100"/>
                <w:position w:val="0"/>
              </w:rPr>
              <w:t>15</w:t>
            </w:r>
            <w:r>
              <w:rPr>
                <w:color w:val="000000"/>
                <w:spacing w:val="0"/>
                <w:w w:val="100"/>
                <w:position w:val="0"/>
              </w:rPr>
              <w:t>号中</w:t>
            </w:r>
            <w:r>
              <w:rPr>
                <w:rFonts w:ascii="Times New Roman" w:eastAsia="Times New Roman" w:hAnsi="Times New Roman" w:cs="Times New Roman"/>
                <w:color w:val="000000"/>
                <w:spacing w:val="0"/>
                <w:w w:val="100"/>
                <w:position w:val="0"/>
              </w:rPr>
              <w:t>“</w:t>
            </w:r>
            <w:r>
              <w:rPr>
                <w:color w:val="000000"/>
                <w:spacing w:val="0"/>
                <w:w w:val="100"/>
                <w:position w:val="0"/>
              </w:rPr>
              <w:t>关于资金 集中管理相关列报</w:t>
            </w:r>
            <w:r>
              <w:rPr>
                <w:rFonts w:ascii="Times New Roman" w:eastAsia="Times New Roman" w:hAnsi="Times New Roman" w:cs="Times New Roman"/>
                <w:color w:val="000000"/>
                <w:spacing w:val="0"/>
                <w:w w:val="100"/>
                <w:position w:val="0"/>
              </w:rPr>
              <w:t>”</w:t>
            </w:r>
            <w:r>
              <w:rPr>
                <w:color w:val="000000"/>
                <w:spacing w:val="0"/>
                <w:w w:val="100"/>
                <w:position w:val="0"/>
              </w:rPr>
              <w:t>的规定自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日起施行。本集团依据上述规定对 于本集团根据相关法规制度，通过内部结算中心、财务公司等实行集中统一管理 的资金进行列报，并采用追溯调整法对可比期间的财务报表数据进行相应调 整。采用该解释未对本集团的财务状况及经营成果产生重大影响。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注：</w:t>
      </w:r>
    </w:p>
    <w:p>
      <w:pPr>
        <w:pStyle w:val="Style2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本集团作为承租人</w:t>
      </w:r>
    </w:p>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原租赁准则下，本集团根据租赁是否实质上将与资产所有权有关的全部风险和报酬转移给本集团，将租赁分为融资租赁和经 营租赁。</w:t>
      </w:r>
    </w:p>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新租赁准则下，本集团不再区分融资租赁与经营租赁。本集团对所有租赁</w:t>
      </w:r>
      <w:r>
        <w:rPr>
          <w:color w:val="000000"/>
          <w:spacing w:val="0"/>
          <w:w w:val="100"/>
          <w:position w:val="0"/>
        </w:rPr>
        <w:t>（</w:t>
      </w:r>
      <w:r>
        <w:rPr>
          <w:color w:val="000000"/>
          <w:spacing w:val="0"/>
          <w:w w:val="100"/>
          <w:position w:val="0"/>
        </w:rPr>
        <w:t>选择简化处理方法的短期租赁和低价值资产租赁 除外</w:t>
      </w:r>
      <w:r>
        <w:rPr>
          <w:color w:val="000000"/>
          <w:spacing w:val="0"/>
          <w:w w:val="100"/>
          <w:position w:val="0"/>
        </w:rPr>
        <w:t>）</w:t>
      </w:r>
      <w:r>
        <w:rPr>
          <w:color w:val="000000"/>
          <w:spacing w:val="0"/>
          <w:w w:val="100"/>
          <w:position w:val="0"/>
        </w:rPr>
        <w:t>确认使用权资产和租赁负债。</w:t>
      </w:r>
    </w:p>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在分拆合同包含的租赁和非租赁部分时，本集团按照各租赁部分单独价格及非租赁部分的单独价格之和的相对比例分摊合 同对价。</w:t>
      </w:r>
    </w:p>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本集团选择根据首次执行新租赁准则的累积影响数，调整首次执行新租赁准则当年年初留存收益及财务报表其他相关项目 金额，不调整可比期间信息。</w:t>
      </w:r>
    </w:p>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对于首次执行日前的经营租赁，本集团在首次执行日根据剩余租赁付款额按首次执行日本集团增量借款利率折现的现值计 量租赁负债，并按照以下方法计量使用权资产：</w:t>
      </w:r>
    </w:p>
    <w:p>
      <w:pPr>
        <w:pStyle w:val="Style2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与租赁负债相等的金额，并根据预付租金及预提应付租金进行必要调整。本集团对所有租赁采用此方法。</w:t>
      </w:r>
    </w:p>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对于首次执行日前的经营租赁，本集团在应用上述方法时同时采用了如下简化处理：</w:t>
      </w:r>
    </w:p>
    <w:p>
      <w:pPr>
        <w:pStyle w:val="Style2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对将于首次执行日后</w:t>
      </w:r>
      <w:r>
        <w:rPr>
          <w:rFonts w:ascii="Times New Roman" w:eastAsia="Times New Roman" w:hAnsi="Times New Roman" w:cs="Times New Roman"/>
          <w:color w:val="000000"/>
          <w:spacing w:val="0"/>
          <w:w w:val="100"/>
          <w:position w:val="0"/>
        </w:rPr>
        <w:t>12</w:t>
      </w:r>
      <w:r>
        <w:rPr>
          <w:color w:val="000000"/>
          <w:spacing w:val="0"/>
          <w:w w:val="100"/>
          <w:position w:val="0"/>
        </w:rPr>
        <w:t>个月内完成的租赁作为短期租赁处理；</w:t>
      </w:r>
    </w:p>
    <w:p>
      <w:pPr>
        <w:pStyle w:val="Style2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计量租赁负债时，对具有相似特征的租赁采用同一折现率；</w:t>
      </w:r>
    </w:p>
    <w:p>
      <w:pPr>
        <w:pStyle w:val="Style2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使用权资产的计量不包含初始直接费用；</w:t>
      </w:r>
    </w:p>
    <w:p>
      <w:pPr>
        <w:pStyle w:val="Style2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存在续租选择权或终止租赁选择权的，根据首次执行日前选择权的实际行使及其他最新情况确定租赁期；</w:t>
      </w:r>
    </w:p>
    <w:p>
      <w:pPr>
        <w:pStyle w:val="Style2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作为使用权资产减值测试的替代，根据首次执行日前按照《企业会计准则第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号——或有事项》计入资产负债表的亏损合 同的亏损准备金额调整使用权资产；</w:t>
      </w:r>
    </w:p>
    <w:p>
      <w:pPr>
        <w:pStyle w:val="Style2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对首次执行新租赁准则当年年初之前发生的租赁变更，不进行追溯调整，根据租赁变更的最终安排，按照新租赁准则进行 会计处理。</w:t>
      </w:r>
    </w:p>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对于首次执行日前的融资租赁，本集团在首次执行日按照融资租入资产和应付融资租赁款的原账面价值，分别计量使用权资 产和租赁负债。</w:t>
      </w:r>
    </w:p>
    <w:p>
      <w:pPr>
        <w:pStyle w:val="Style2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本集团作为出租人</w:t>
      </w:r>
    </w:p>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在新租赁准则下，本集团作为转租出租人应基于原租赁产生的使用权资产，而不是原租赁的标的资产，对转租赁进行分类。 对于首次执行日前划分为经营租赁且在首次执行日后仍存续的转租赁，本集团在首次执行日基于原租赁和转租赁的剩余合 同期限和条款进行重新评估，并按照新租赁准则的规定进行分类。重分类为融资租赁的，本集团将其作为一项新的融资租赁 进行会计处理。</w:t>
      </w:r>
    </w:p>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本集团无需对其作为出租人的租赁调整首次执行新租赁准则当年年初留存收益及财务报表其他相关项目金额。本集团自首 次执行日起按照新租赁准则进行会计处理。</w:t>
      </w:r>
    </w:p>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在新租赁准则下，本集团根据新收入准则关于交易价格分摊的规定将合同对价在每个租赁组成部分和非租赁组成部分之间 进行分摊。</w:t>
      </w:r>
      <w:r>
        <w:br w:type="page"/>
      </w:r>
    </w:p>
    <w:p>
      <w:pPr>
        <w:pStyle w:val="Style20"/>
        <w:keepNext w:val="0"/>
        <w:keepLines w:val="0"/>
        <w:widowControl w:val="0"/>
        <w:numPr>
          <w:ilvl w:val="0"/>
          <w:numId w:val="69"/>
        </w:numPr>
        <w:pBdr>
          <w:top w:val="single" w:sz="4" w:space="0" w:color="auto"/>
        </w:pBdr>
        <w:shd w:val="clear" w:color="auto" w:fill="auto"/>
        <w:tabs>
          <w:tab w:pos="445" w:val="left"/>
        </w:tabs>
        <w:bidi w:val="0"/>
        <w:spacing w:before="0" w:after="380" w:line="240" w:lineRule="auto"/>
        <w:ind w:left="0" w:right="0" w:firstLine="0"/>
        <w:jc w:val="left"/>
      </w:pPr>
      <w:bookmarkStart w:id="656" w:name="bookmark656"/>
      <w:bookmarkEnd w:id="656"/>
      <w:r>
        <w:rPr>
          <w:color w:val="000000"/>
          <w:spacing w:val="0"/>
          <w:w w:val="100"/>
          <w:position w:val="0"/>
        </w:rPr>
        <w:t>重要会计估计变更</w:t>
      </w:r>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numPr>
          <w:ilvl w:val="0"/>
          <w:numId w:val="69"/>
        </w:numPr>
        <w:shd w:val="clear" w:color="auto" w:fill="auto"/>
        <w:tabs>
          <w:tab w:pos="445" w:val="left"/>
        </w:tabs>
        <w:bidi w:val="0"/>
        <w:spacing w:before="0" w:after="380" w:line="240" w:lineRule="auto"/>
        <w:ind w:left="0" w:right="0" w:firstLine="0"/>
        <w:jc w:val="left"/>
      </w:pPr>
      <w:bookmarkStart w:id="657" w:name="bookmark657"/>
      <w:bookmarkEnd w:id="657"/>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是否需要调整年初资产负债表科目</w:t>
      </w:r>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合并资产负债表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03"/>
        <w:gridCol w:w="2270"/>
        <w:gridCol w:w="2126"/>
        <w:gridCol w:w="1781"/>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291,165,712.09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291,165,712.09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10,579,339.38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10,579,339.38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322,491,461.71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322,491,461.71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6,766,408.80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6,072,477.47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-693,931.33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11,590,145.53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11,590,145.53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102,552.40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102,552.40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72,479,031.74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72,479,031.74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13,137,036.12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13,137,036.12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728,321,687.77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727,627,756.44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-693,931.33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3,610,696.80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3,610,696.80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109,460,063.66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109,460,063.66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331,186,836.96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331,186,836.96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47,916,987.14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47,916,987.14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91,136,825.05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91,136,825.05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21,569,514.26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21,376,180.95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-193,333.31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21,259,522.57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21,259,522.57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3,417,486.09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3,417,486.09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581,640,945.39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629,364,599.22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47,723,653.83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1,309,962,633.16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1,356,992,355.66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47,029,722.50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110,099,944.44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110,099,944.44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03"/>
        <w:gridCol w:w="2270"/>
        <w:gridCol w:w="2126"/>
        <w:gridCol w:w="1781"/>
      </w:tblGrid>
      <w:tr>
        <w:trPr>
          <w:trHeight w:val="4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214,364,677.43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208,796,199.05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-5,568,478.38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2,448,493.70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2,448,493.70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23,250,047.76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23,250,047.76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49,255,825.02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49,255,825.02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13,169,228.51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13,169,228.51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66,269,232.78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66,269,232.78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294,027.78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21,205,804.37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20,911,776.59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22,490,942.38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22,490,942.38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501,642,419.80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516,985,718.01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15,343,298.21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228,000,000.00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228,000,000.00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31,686,424.29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31,686,424.29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53,201,555.40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53,201,555.40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321,952.36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321,952.36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281,523,507.76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313,209,932.05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31,686,424.29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783,165,927.56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830,195,650.06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47,029,722.50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146,666,700.00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146,666,700.00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127,541,353.92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127,541,353.92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18,896,111.68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18,896,111.68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210,437,746.91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210,437,746.91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503,541,912.51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503,541,912.51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23,254,793.09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23,254,793.09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526,796,705.60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526,796,705.60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1,309,962,633.16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1,356,992,355.66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47,029,722.50</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03"/>
        <w:gridCol w:w="2270"/>
        <w:gridCol w:w="2126"/>
        <w:gridCol w:w="1781"/>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206,987,328.37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206,987,328.37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8,902,831.38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8,902,831.38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328,025,837.26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328,025,837.26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4,690,563.01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4,571,522.59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-119,040.42</w:t>
            </w:r>
          </w:p>
        </w:tc>
      </w:tr>
    </w:tbl>
    <w:p>
      <w:pPr>
        <w:widowControl w:val="0"/>
        <w:spacing w:line="1" w:lineRule="exact"/>
      </w:pPr>
      <w:r>
        <w:br w:type="page"/>
      </w:r>
    </w:p>
    <w:tbl>
      <w:tblPr>
        <w:tblOverlap w:val="never"/>
        <w:jc w:val="center"/>
        <w:tblLayout w:type="fixed"/>
      </w:tblPr>
      <w:tblGrid>
        <w:gridCol w:w="3403"/>
        <w:gridCol w:w="2270"/>
        <w:gridCol w:w="2126"/>
        <w:gridCol w:w="1781"/>
      </w:tblGrid>
      <w:tr>
        <w:trPr>
          <w:trHeight w:val="4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12,282,630.54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12,282,630.54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9,300.00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70,465,974.90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70,465,974.90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10,473,839.02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10,473,839.02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641,838,304.48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641,719,264.06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-119,040.42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69,180,178.06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69,180,178.06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68,711,682.68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68,711,682.68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331,783,910.61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331,783,910.61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30,586,812.05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30,586,812.05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83,019,153.37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83,019,153.37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18,831,455.19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18,831,455.19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17,338,695.72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17,338,695.72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780,542.40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780,542.40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589,645,618.03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620,232,430.08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30,586,812.05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1,231,483,922.51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1,261,951,694.14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30,467,771.63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100,099,944.44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100,099,944.44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229,965,752.78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224,397,274.40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-5,568,478.38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274,203.70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274,203.70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9,629,977.27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9,629,977.27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30,490,422.49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30,490,422.49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7,712,103.02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7,712,103.02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124,402,672.20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124,402,672.20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294,027.78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15,503,685.63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15,209,657.85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17,666,123.24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17,666,123.24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520,535,226.92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530,176,406.39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9,641,179.47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228,000,000.00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228,000,000.00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20,826,592.16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20,826,592.16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46,795,587.25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46,795,587.25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274,795,587.25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295,622,179.41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20,826,592.16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795,330,814.17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825,798,585.80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30,467,771.63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03"/>
        <w:gridCol w:w="2270"/>
        <w:gridCol w:w="2126"/>
        <w:gridCol w:w="1781"/>
      </w:tblGrid>
      <w:tr>
        <w:trPr>
          <w:trHeight w:val="4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146,666,700.00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146,666,700.00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128,053,280.71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128,053,280.71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18,842,607.01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18,842,607.01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142,590,520.62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142,590,520.62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436,153,108.34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436,153,108.34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1,231,483,922.51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1,261,951,694.14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30,467,771.63</w:t>
            </w:r>
          </w:p>
        </w:tc>
      </w:tr>
    </w:tbl>
    <w:p>
      <w:pPr>
        <w:widowControl w:val="0"/>
        <w:spacing w:after="679" w:line="1" w:lineRule="exact"/>
      </w:pPr>
    </w:p>
    <w:p>
      <w:pPr>
        <w:pStyle w:val="Style20"/>
        <w:keepNext w:val="0"/>
        <w:keepLines w:val="0"/>
        <w:widowControl w:val="0"/>
        <w:shd w:val="clear" w:color="auto" w:fill="auto"/>
        <w:tabs>
          <w:tab w:pos="445" w:val="left"/>
        </w:tabs>
        <w:bidi w:val="0"/>
        <w:spacing w:before="0" w:after="360" w:line="240" w:lineRule="auto"/>
        <w:ind w:left="0" w:right="0" w:firstLine="0"/>
        <w:jc w:val="left"/>
      </w:pPr>
      <w:bookmarkStart w:id="658" w:name="bookmark658"/>
      <w:r>
        <w:rPr>
          <w:color w:val="000000"/>
          <w:spacing w:val="0"/>
          <w:w w:val="100"/>
          <w:position w:val="0"/>
          <w:shd w:val="clear" w:color="auto" w:fill="FFFFFF"/>
        </w:rPr>
        <w:t>（</w:t>
      </w:r>
      <w:bookmarkEnd w:id="658"/>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bookmarkStart w:id="659" w:name="bookmark659"/>
      <w:r>
        <w:rPr>
          <w:color w:val="000000"/>
          <w:spacing w:val="0"/>
          <w:w w:val="100"/>
          <w:position w:val="0"/>
          <w:sz w:val="24"/>
          <w:szCs w:val="24"/>
        </w:rPr>
        <w:t>六</w:t>
      </w:r>
      <w:bookmarkEnd w:id="659"/>
      <w:r>
        <w:rPr>
          <w:color w:val="000000"/>
          <w:spacing w:val="0"/>
          <w:w w:val="100"/>
          <w:position w:val="0"/>
          <w:sz w:val="24"/>
          <w:szCs w:val="24"/>
        </w:rPr>
        <w:t>、税项</w:t>
      </w:r>
    </w:p>
    <w:p>
      <w:pPr>
        <w:pStyle w:val="Style31"/>
        <w:keepNext/>
        <w:keepLines/>
        <w:widowControl w:val="0"/>
        <w:shd w:val="clear" w:color="auto" w:fill="auto"/>
        <w:bidi w:val="0"/>
        <w:spacing w:before="0" w:after="300" w:line="240" w:lineRule="auto"/>
        <w:ind w:left="0" w:right="0" w:firstLine="0"/>
        <w:jc w:val="left"/>
      </w:pPr>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660"/>
      <w:bookmarkEnd w:id="661"/>
      <w:bookmarkEnd w:id="662"/>
    </w:p>
    <w:tbl>
      <w:tblPr>
        <w:tblOverlap w:val="never"/>
        <w:jc w:val="center"/>
        <w:tblLayout w:type="fixed"/>
      </w:tblPr>
      <w:tblGrid>
        <w:gridCol w:w="1848"/>
        <w:gridCol w:w="5242"/>
        <w:gridCol w:w="2491"/>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按税法规定计算的销售货物和应税劳务收入为基础计算销项税 额，在扣除当期允许抵扣的进项税额后，差额部分为应交增值税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按实际缴纳的增值税计征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按实际缴纳的增值税计征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按实际缴纳的增值税计征</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5674"/>
        <w:gridCol w:w="390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北京艾科城工程技术有限公司</w:t>
            </w:r>
            <w:r>
              <w:rPr>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color w:val="000000"/>
                <w:spacing w:val="0"/>
                <w:w w:val="100"/>
                <w:position w:val="0"/>
              </w:rPr>
              <w:t>北京艾科城</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深圳市市政工程咨询中心有限公司（简称</w:t>
            </w:r>
            <w:r>
              <w:rPr>
                <w:rFonts w:ascii="Times New Roman" w:eastAsia="Times New Roman" w:hAnsi="Times New Roman" w:cs="Times New Roman"/>
                <w:color w:val="000000"/>
                <w:spacing w:val="0"/>
                <w:w w:val="100"/>
                <w:position w:val="0"/>
              </w:rPr>
              <w:t>“</w:t>
            </w:r>
            <w:r>
              <w:rPr>
                <w:color w:val="000000"/>
                <w:spacing w:val="0"/>
                <w:w w:val="100"/>
                <w:position w:val="0"/>
              </w:rPr>
              <w:t>市政中心</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深圳市建研检测有限公司</w:t>
            </w:r>
            <w:r>
              <w:rPr>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color w:val="000000"/>
                <w:spacing w:val="0"/>
                <w:w w:val="100"/>
                <w:position w:val="0"/>
              </w:rPr>
              <w:t>建研检测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雄安绿研检验认证有限公司</w:t>
            </w:r>
            <w:r>
              <w:rPr>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color w:val="000000"/>
                <w:spacing w:val="0"/>
                <w:w w:val="100"/>
                <w:position w:val="0"/>
              </w:rPr>
              <w:t>绿研检验</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深圳艾科筑业工程技术有限公司</w:t>
            </w:r>
            <w:r>
              <w:rPr>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color w:val="000000"/>
                <w:spacing w:val="0"/>
                <w:w w:val="100"/>
                <w:position w:val="0"/>
              </w:rPr>
              <w:t>艾科筑业</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深圳艾科城工程技术有限公司</w:t>
            </w:r>
            <w:r>
              <w:rPr>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color w:val="000000"/>
                <w:spacing w:val="0"/>
                <w:w w:val="100"/>
                <w:position w:val="0"/>
              </w:rPr>
              <w:t>深圳艾科城</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深圳玖伊绿色运营管理有限公司</w:t>
            </w:r>
            <w:r>
              <w:rPr>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color w:val="000000"/>
                <w:spacing w:val="0"/>
                <w:w w:val="100"/>
                <w:position w:val="0"/>
              </w:rPr>
              <w:t>深圳玖伊</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河北雄安玖壹生态科技有限公司</w:t>
            </w:r>
            <w:r>
              <w:rPr>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color w:val="000000"/>
                <w:spacing w:val="0"/>
                <w:w w:val="100"/>
                <w:position w:val="0"/>
              </w:rPr>
              <w:t>雄安玖壹</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深圳市建信筑和科技有限公司</w:t>
            </w:r>
            <w:r>
              <w:rPr>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color w:val="000000"/>
                <w:spacing w:val="0"/>
                <w:w w:val="100"/>
                <w:position w:val="0"/>
              </w:rPr>
              <w:t>建信筑和</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常州市城建艾科绿色技术有限公司</w:t>
            </w:r>
            <w:r>
              <w:rPr>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color w:val="000000"/>
                <w:spacing w:val="0"/>
                <w:w w:val="100"/>
                <w:position w:val="0"/>
              </w:rPr>
              <w:t>常州城建艾科</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2.5-10%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深圳市迪赛恩科技有限公司</w:t>
            </w:r>
            <w:r>
              <w:rPr>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color w:val="000000"/>
                <w:spacing w:val="0"/>
                <w:w w:val="100"/>
                <w:position w:val="0"/>
              </w:rPr>
              <w:t>迪赛恩</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2.5-10%</w:t>
            </w:r>
          </w:p>
        </w:tc>
      </w:tr>
    </w:tbl>
    <w:p>
      <w:pPr>
        <w:widowControl w:val="0"/>
        <w:spacing w:line="1" w:lineRule="exact"/>
      </w:pPr>
    </w:p>
    <w:tbl>
      <w:tblPr>
        <w:tblOverlap w:val="never"/>
        <w:jc w:val="center"/>
        <w:tblLayout w:type="fixed"/>
      </w:tblPr>
      <w:tblGrid>
        <w:gridCol w:w="5674"/>
        <w:gridCol w:w="3907"/>
      </w:tblGrid>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上海市爱轲城生态科技有限公司</w:t>
            </w:r>
            <w:r>
              <w:rPr>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color w:val="000000"/>
                <w:spacing w:val="0"/>
                <w:w w:val="100"/>
                <w:position w:val="0"/>
              </w:rPr>
              <w:t>上海爱轲</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2.5-10%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湖北建胜工程技术咨询有限公司</w:t>
            </w:r>
            <w:r>
              <w:rPr>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color w:val="000000"/>
                <w:spacing w:val="0"/>
                <w:w w:val="100"/>
                <w:position w:val="0"/>
              </w:rPr>
              <w:t>湖北建胜</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2.5-10%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湖北丰天工程技术服务有限公司</w:t>
            </w:r>
            <w:r>
              <w:rPr>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color w:val="000000"/>
                <w:spacing w:val="0"/>
                <w:w w:val="100"/>
                <w:position w:val="0"/>
              </w:rPr>
              <w:t>丰天工程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2.5-10%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湖北图强建设工程施工图咨询有限公司</w:t>
            </w:r>
            <w:r>
              <w:rPr>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color w:val="000000"/>
                <w:spacing w:val="0"/>
                <w:w w:val="100"/>
                <w:position w:val="0"/>
              </w:rPr>
              <w:t>图强建设</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2.5-10%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湖北精兴建设工程质量检测有限公司</w:t>
            </w:r>
            <w:r>
              <w:rPr>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color w:val="000000"/>
                <w:spacing w:val="0"/>
                <w:w w:val="100"/>
                <w:position w:val="0"/>
              </w:rPr>
              <w:t>精兴建设</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2.5-10%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荆门市领航职业技能培训有限公司</w:t>
            </w:r>
            <w:r>
              <w:rPr>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color w:val="000000"/>
                <w:spacing w:val="0"/>
                <w:w w:val="100"/>
                <w:position w:val="0"/>
              </w:rPr>
              <w:t>领航培训</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2.5-10%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湾区</w:t>
            </w:r>
            <w:r>
              <w:rPr>
                <w:color w:val="000000"/>
                <w:spacing w:val="0"/>
                <w:w w:val="100"/>
                <w:position w:val="0"/>
              </w:rPr>
              <w:t>（</w:t>
            </w:r>
            <w:r>
              <w:rPr>
                <w:color w:val="000000"/>
                <w:spacing w:val="0"/>
                <w:w w:val="100"/>
                <w:position w:val="0"/>
              </w:rPr>
              <w:t>深圳</w:t>
            </w:r>
            <w:r>
              <w:rPr>
                <w:color w:val="000000"/>
                <w:spacing w:val="0"/>
                <w:w w:val="100"/>
                <w:position w:val="0"/>
              </w:rPr>
              <w:t>）</w:t>
            </w:r>
            <w:r>
              <w:rPr>
                <w:color w:val="000000"/>
                <w:spacing w:val="0"/>
                <w:w w:val="100"/>
                <w:position w:val="0"/>
              </w:rPr>
              <w:t>城市规划设计有限公司</w:t>
            </w:r>
            <w:r>
              <w:rPr>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color w:val="000000"/>
                <w:spacing w:val="0"/>
                <w:w w:val="100"/>
                <w:position w:val="0"/>
              </w:rPr>
              <w:t>湾区规划设计</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2.5-10%</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湾区</w:t>
            </w:r>
            <w:r>
              <w:rPr>
                <w:color w:val="000000"/>
                <w:spacing w:val="0"/>
                <w:w w:val="100"/>
                <w:position w:val="0"/>
              </w:rPr>
              <w:t>（</w:t>
            </w:r>
            <w:r>
              <w:rPr>
                <w:color w:val="000000"/>
                <w:spacing w:val="0"/>
                <w:w w:val="100"/>
                <w:position w:val="0"/>
              </w:rPr>
              <w:t>深圳</w:t>
            </w:r>
            <w:r>
              <w:rPr>
                <w:color w:val="000000"/>
                <w:spacing w:val="0"/>
                <w:w w:val="100"/>
                <w:position w:val="0"/>
              </w:rPr>
              <w:t>）</w:t>
            </w:r>
            <w:r>
              <w:rPr>
                <w:color w:val="000000"/>
                <w:spacing w:val="0"/>
                <w:w w:val="100"/>
                <w:position w:val="0"/>
              </w:rPr>
              <w:t>绿色技术有限公司</w:t>
            </w:r>
            <w:r>
              <w:rPr>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color w:val="000000"/>
                <w:spacing w:val="0"/>
                <w:w w:val="100"/>
                <w:position w:val="0"/>
              </w:rPr>
              <w:t>湾区绿色技术</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2.5-10%</w:t>
            </w:r>
          </w:p>
        </w:tc>
      </w:tr>
    </w:tbl>
    <w:p>
      <w:pPr>
        <w:widowControl w:val="0"/>
        <w:spacing w:after="339" w:line="1" w:lineRule="exact"/>
      </w:pPr>
    </w:p>
    <w:p>
      <w:pPr>
        <w:pStyle w:val="Style31"/>
        <w:keepNext/>
        <w:keepLines/>
        <w:widowControl w:val="0"/>
        <w:shd w:val="clear" w:color="auto" w:fill="auto"/>
        <w:bidi w:val="0"/>
        <w:spacing w:before="0" w:after="260" w:line="240" w:lineRule="auto"/>
        <w:ind w:left="0" w:right="0" w:firstLine="0"/>
        <w:jc w:val="both"/>
      </w:pPr>
      <w:bookmarkStart w:id="663" w:name="bookmark663"/>
      <w:bookmarkStart w:id="664" w:name="bookmark664"/>
      <w:bookmarkStart w:id="665" w:name="bookmark665"/>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663"/>
      <w:bookmarkEnd w:id="664"/>
      <w:bookmarkEnd w:id="665"/>
    </w:p>
    <w:p>
      <w:pPr>
        <w:pStyle w:val="Style20"/>
        <w:keepNext w:val="0"/>
        <w:keepLines w:val="0"/>
        <w:widowControl w:val="0"/>
        <w:shd w:val="clear" w:color="auto" w:fill="auto"/>
        <w:tabs>
          <w:tab w:pos="388" w:val="left"/>
        </w:tabs>
        <w:bidi w:val="0"/>
        <w:spacing w:before="0" w:after="0" w:line="317" w:lineRule="exact"/>
        <w:ind w:left="0" w:right="0" w:firstLine="0"/>
        <w:jc w:val="both"/>
      </w:pPr>
      <w:bookmarkStart w:id="666" w:name="bookmark666"/>
      <w:r>
        <w:rPr>
          <w:rFonts w:ascii="Times New Roman" w:eastAsia="Times New Roman" w:hAnsi="Times New Roman" w:cs="Times New Roman"/>
          <w:color w:val="000000"/>
          <w:spacing w:val="0"/>
          <w:w w:val="100"/>
          <w:position w:val="0"/>
        </w:rPr>
        <w:t>（</w:t>
      </w:r>
      <w:bookmarkEnd w:id="666"/>
      <w:r>
        <w:rPr>
          <w:rFonts w:ascii="Times New Roman" w:eastAsia="Times New Roman" w:hAnsi="Times New Roman" w:cs="Times New Roman"/>
          <w:color w:val="000000"/>
          <w:spacing w:val="0"/>
          <w:w w:val="100"/>
          <w:position w:val="0"/>
        </w:rPr>
        <w:t>1）</w:t>
        <w:tab/>
        <w:t>2020</w:t>
      </w:r>
      <w:r>
        <w:rPr>
          <w:color w:val="000000"/>
          <w:spacing w:val="0"/>
          <w:w w:val="100"/>
          <w:position w:val="0"/>
        </w:rPr>
        <w:t>年</w:t>
      </w:r>
      <w:r>
        <w:rPr>
          <w:rFonts w:ascii="Times New Roman" w:eastAsia="Times New Roman" w:hAnsi="Times New Roman" w:cs="Times New Roman"/>
          <w:i/>
          <w:iCs/>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日，本公司到期续申国家高新技术企业，证书编号：</w:t>
      </w:r>
      <w:r>
        <w:rPr>
          <w:rFonts w:ascii="Times New Roman" w:eastAsia="Times New Roman" w:hAnsi="Times New Roman" w:cs="Times New Roman"/>
          <w:color w:val="000000"/>
          <w:spacing w:val="0"/>
          <w:w w:val="100"/>
          <w:position w:val="0"/>
        </w:rPr>
        <w:t>GR202044204344</w:t>
      </w:r>
      <w:r>
        <w:rPr>
          <w:color w:val="000000"/>
          <w:spacing w:val="0"/>
          <w:w w:val="100"/>
          <w:position w:val="0"/>
        </w:rPr>
        <w:t>，</w:t>
      </w:r>
      <w:r>
        <w:rPr>
          <w:color w:val="000000"/>
          <w:spacing w:val="0"/>
          <w:w w:val="100"/>
          <w:position w:val="0"/>
        </w:rPr>
        <w:t>有效期为</w:t>
      </w:r>
      <w:r>
        <w:rPr>
          <w:rFonts w:ascii="Times New Roman" w:eastAsia="Times New Roman" w:hAnsi="Times New Roman" w:cs="Times New Roman"/>
          <w:color w:val="000000"/>
          <w:spacing w:val="0"/>
          <w:w w:val="100"/>
          <w:position w:val="0"/>
        </w:rPr>
        <w:t>2020</w:t>
      </w:r>
      <w:r>
        <w:rPr>
          <w:color w:val="000000"/>
          <w:spacing w:val="0"/>
          <w:w w:val="100"/>
          <w:position w:val="0"/>
        </w:rPr>
        <w:t>至</w:t>
      </w:r>
      <w:r>
        <w:rPr>
          <w:rFonts w:ascii="Times New Roman" w:eastAsia="Times New Roman" w:hAnsi="Times New Roman" w:cs="Times New Roman"/>
          <w:color w:val="000000"/>
          <w:spacing w:val="0"/>
          <w:w w:val="100"/>
          <w:position w:val="0"/>
        </w:rPr>
        <w:t>2022</w:t>
      </w:r>
      <w:r>
        <w:rPr>
          <w:color w:val="000000"/>
          <w:spacing w:val="0"/>
          <w:w w:val="100"/>
          <w:position w:val="0"/>
        </w:rPr>
        <w:t>年度，企 业所得税税率为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20"/>
        <w:keepNext w:val="0"/>
        <w:keepLines w:val="0"/>
        <w:widowControl w:val="0"/>
        <w:shd w:val="clear" w:color="auto" w:fill="auto"/>
        <w:tabs>
          <w:tab w:pos="388" w:val="left"/>
        </w:tabs>
        <w:bidi w:val="0"/>
        <w:spacing w:before="0" w:after="0" w:line="317" w:lineRule="exact"/>
        <w:ind w:left="0" w:right="0" w:firstLine="0"/>
        <w:jc w:val="both"/>
      </w:pPr>
      <w:bookmarkStart w:id="667" w:name="bookmark667"/>
      <w:r>
        <w:rPr>
          <w:rFonts w:ascii="Times New Roman" w:eastAsia="Times New Roman" w:hAnsi="Times New Roman" w:cs="Times New Roman"/>
          <w:color w:val="000000"/>
          <w:spacing w:val="0"/>
          <w:w w:val="100"/>
          <w:position w:val="0"/>
        </w:rPr>
        <w:t>（</w:t>
      </w:r>
      <w:bookmarkEnd w:id="667"/>
      <w:r>
        <w:rPr>
          <w:rFonts w:ascii="Times New Roman" w:eastAsia="Times New Roman" w:hAnsi="Times New Roman" w:cs="Times New Roman"/>
          <w:color w:val="000000"/>
          <w:spacing w:val="0"/>
          <w:w w:val="100"/>
          <w:position w:val="0"/>
        </w:rPr>
        <w:t>2）</w:t>
        <w:tab/>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日，北京艾科城续申国家高新技术企业，证书编号：</w:t>
      </w:r>
      <w:r>
        <w:rPr>
          <w:rFonts w:ascii="Times New Roman" w:eastAsia="Times New Roman" w:hAnsi="Times New Roman" w:cs="Times New Roman"/>
          <w:color w:val="000000"/>
          <w:spacing w:val="0"/>
          <w:w w:val="100"/>
          <w:position w:val="0"/>
        </w:rPr>
        <w:t>GR202011007515</w:t>
      </w:r>
      <w:r>
        <w:rPr>
          <w:color w:val="000000"/>
          <w:spacing w:val="0"/>
          <w:w w:val="100"/>
          <w:position w:val="0"/>
        </w:rPr>
        <w:t>，</w:t>
      </w:r>
      <w:r>
        <w:rPr>
          <w:color w:val="000000"/>
          <w:spacing w:val="0"/>
          <w:w w:val="100"/>
          <w:position w:val="0"/>
        </w:rPr>
        <w:t>有效期为</w:t>
      </w:r>
      <w:r>
        <w:rPr>
          <w:rFonts w:ascii="Times New Roman" w:eastAsia="Times New Roman" w:hAnsi="Times New Roman" w:cs="Times New Roman"/>
          <w:color w:val="000000"/>
          <w:spacing w:val="0"/>
          <w:w w:val="100"/>
          <w:position w:val="0"/>
        </w:rPr>
        <w:t>2020</w:t>
      </w:r>
      <w:r>
        <w:rPr>
          <w:color w:val="000000"/>
          <w:spacing w:val="0"/>
          <w:w w:val="100"/>
          <w:position w:val="0"/>
        </w:rPr>
        <w:t>至</w:t>
      </w:r>
      <w:r>
        <w:rPr>
          <w:rFonts w:ascii="Times New Roman" w:eastAsia="Times New Roman" w:hAnsi="Times New Roman" w:cs="Times New Roman"/>
          <w:color w:val="000000"/>
          <w:spacing w:val="0"/>
          <w:w w:val="100"/>
          <w:position w:val="0"/>
        </w:rPr>
        <w:t>2022</w:t>
      </w:r>
      <w:r>
        <w:rPr>
          <w:color w:val="000000"/>
          <w:spacing w:val="0"/>
          <w:w w:val="100"/>
          <w:position w:val="0"/>
        </w:rPr>
        <w:t>年度，企 业所得税税率为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20"/>
        <w:keepNext w:val="0"/>
        <w:keepLines w:val="0"/>
        <w:widowControl w:val="0"/>
        <w:shd w:val="clear" w:color="auto" w:fill="auto"/>
        <w:tabs>
          <w:tab w:pos="388" w:val="left"/>
        </w:tabs>
        <w:bidi w:val="0"/>
        <w:spacing w:before="0" w:after="0" w:line="317" w:lineRule="exact"/>
        <w:ind w:left="0" w:right="0" w:firstLine="0"/>
        <w:jc w:val="both"/>
      </w:pPr>
      <w:bookmarkStart w:id="668" w:name="bookmark668"/>
      <w:r>
        <w:rPr>
          <w:rFonts w:ascii="Times New Roman" w:eastAsia="Times New Roman" w:hAnsi="Times New Roman" w:cs="Times New Roman"/>
          <w:color w:val="000000"/>
          <w:spacing w:val="0"/>
          <w:w w:val="100"/>
          <w:position w:val="0"/>
        </w:rPr>
        <w:t>（</w:t>
      </w:r>
      <w:bookmarkEnd w:id="668"/>
      <w:r>
        <w:rPr>
          <w:rFonts w:ascii="Times New Roman" w:eastAsia="Times New Roman" w:hAnsi="Times New Roman" w:cs="Times New Roman"/>
          <w:color w:val="000000"/>
          <w:spacing w:val="0"/>
          <w:w w:val="100"/>
          <w:position w:val="0"/>
        </w:rPr>
        <w:t>3）</w:t>
        <w:tab/>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日，市政中心续申国家高新技术企业，证书编号：</w:t>
      </w:r>
      <w:r>
        <w:rPr>
          <w:rFonts w:ascii="Times New Roman" w:eastAsia="Times New Roman" w:hAnsi="Times New Roman" w:cs="Times New Roman"/>
          <w:color w:val="000000"/>
          <w:spacing w:val="0"/>
          <w:w w:val="100"/>
          <w:position w:val="0"/>
        </w:rPr>
        <w:t>GR202044201076</w:t>
      </w:r>
      <w:r>
        <w:rPr>
          <w:color w:val="000000"/>
          <w:spacing w:val="0"/>
          <w:w w:val="100"/>
          <w:position w:val="0"/>
        </w:rPr>
        <w:t>，有效期为</w:t>
      </w:r>
      <w:r>
        <w:rPr>
          <w:rFonts w:ascii="Times New Roman" w:eastAsia="Times New Roman" w:hAnsi="Times New Roman" w:cs="Times New Roman"/>
          <w:color w:val="000000"/>
          <w:spacing w:val="0"/>
          <w:w w:val="100"/>
          <w:position w:val="0"/>
        </w:rPr>
        <w:t>2020</w:t>
      </w:r>
      <w:r>
        <w:rPr>
          <w:color w:val="000000"/>
          <w:spacing w:val="0"/>
          <w:w w:val="100"/>
          <w:position w:val="0"/>
        </w:rPr>
        <w:t>至</w:t>
      </w:r>
      <w:r>
        <w:rPr>
          <w:rFonts w:ascii="Times New Roman" w:eastAsia="Times New Roman" w:hAnsi="Times New Roman" w:cs="Times New Roman"/>
          <w:color w:val="000000"/>
          <w:spacing w:val="0"/>
          <w:w w:val="100"/>
          <w:position w:val="0"/>
        </w:rPr>
        <w:t>2022</w:t>
      </w:r>
      <w:r>
        <w:rPr>
          <w:color w:val="000000"/>
          <w:spacing w:val="0"/>
          <w:w w:val="100"/>
          <w:position w:val="0"/>
        </w:rPr>
        <w:t>年度，企 业所得税税率为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20"/>
        <w:keepNext w:val="0"/>
        <w:keepLines w:val="0"/>
        <w:widowControl w:val="0"/>
        <w:shd w:val="clear" w:color="auto" w:fill="auto"/>
        <w:tabs>
          <w:tab w:pos="388" w:val="left"/>
        </w:tabs>
        <w:bidi w:val="0"/>
        <w:spacing w:before="0" w:after="0" w:line="317" w:lineRule="exact"/>
        <w:ind w:left="0" w:right="0" w:firstLine="0"/>
        <w:jc w:val="both"/>
      </w:pPr>
      <w:bookmarkStart w:id="669" w:name="bookmark669"/>
      <w:r>
        <w:rPr>
          <w:rFonts w:ascii="Times New Roman" w:eastAsia="Times New Roman" w:hAnsi="Times New Roman" w:cs="Times New Roman"/>
          <w:color w:val="000000"/>
          <w:spacing w:val="0"/>
          <w:w w:val="100"/>
          <w:position w:val="0"/>
        </w:rPr>
        <w:t>（</w:t>
      </w:r>
      <w:bookmarkEnd w:id="669"/>
      <w:r>
        <w:rPr>
          <w:rFonts w:ascii="Times New Roman" w:eastAsia="Times New Roman" w:hAnsi="Times New Roman" w:cs="Times New Roman"/>
          <w:color w:val="000000"/>
          <w:spacing w:val="0"/>
          <w:w w:val="100"/>
          <w:position w:val="0"/>
        </w:rPr>
        <w:t>4）</w:t>
        <w:tab/>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日，建研检测被认定为国家高新技术企业，证书编号：</w:t>
      </w:r>
      <w:r>
        <w:rPr>
          <w:rFonts w:ascii="Times New Roman" w:eastAsia="Times New Roman" w:hAnsi="Times New Roman" w:cs="Times New Roman"/>
          <w:color w:val="000000"/>
          <w:spacing w:val="0"/>
          <w:w w:val="100"/>
          <w:position w:val="0"/>
        </w:rPr>
        <w:t>GR201944205532</w:t>
      </w:r>
      <w:r>
        <w:rPr>
          <w:color w:val="000000"/>
          <w:spacing w:val="0"/>
          <w:w w:val="100"/>
          <w:position w:val="0"/>
        </w:rPr>
        <w:t>，有效期为</w:t>
      </w:r>
      <w:r>
        <w:rPr>
          <w:rFonts w:ascii="Times New Roman" w:eastAsia="Times New Roman" w:hAnsi="Times New Roman" w:cs="Times New Roman"/>
          <w:color w:val="000000"/>
          <w:spacing w:val="0"/>
          <w:w w:val="100"/>
          <w:position w:val="0"/>
        </w:rPr>
        <w:t>2019</w:t>
      </w:r>
      <w:r>
        <w:rPr>
          <w:color w:val="000000"/>
          <w:spacing w:val="0"/>
          <w:w w:val="100"/>
          <w:position w:val="0"/>
        </w:rPr>
        <w:t>至</w:t>
      </w:r>
      <w:r>
        <w:rPr>
          <w:rFonts w:ascii="Times New Roman" w:eastAsia="Times New Roman" w:hAnsi="Times New Roman" w:cs="Times New Roman"/>
          <w:color w:val="000000"/>
          <w:spacing w:val="0"/>
          <w:w w:val="100"/>
          <w:position w:val="0"/>
        </w:rPr>
        <w:t>2021</w:t>
      </w:r>
      <w:r>
        <w:rPr>
          <w:color w:val="000000"/>
          <w:spacing w:val="0"/>
          <w:w w:val="100"/>
          <w:position w:val="0"/>
        </w:rPr>
        <w:t>年度， 企业所得税税率为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20"/>
        <w:keepNext w:val="0"/>
        <w:keepLines w:val="0"/>
        <w:widowControl w:val="0"/>
        <w:shd w:val="clear" w:color="auto" w:fill="auto"/>
        <w:tabs>
          <w:tab w:pos="388" w:val="left"/>
        </w:tabs>
        <w:bidi w:val="0"/>
        <w:spacing w:before="0" w:after="0" w:line="317" w:lineRule="exact"/>
        <w:ind w:left="0" w:right="0" w:firstLine="0"/>
        <w:jc w:val="both"/>
      </w:pPr>
      <w:bookmarkStart w:id="670" w:name="bookmark670"/>
      <w:r>
        <w:rPr>
          <w:rFonts w:ascii="Times New Roman" w:eastAsia="Times New Roman" w:hAnsi="Times New Roman" w:cs="Times New Roman"/>
          <w:color w:val="000000"/>
          <w:spacing w:val="0"/>
          <w:w w:val="100"/>
          <w:position w:val="0"/>
        </w:rPr>
        <w:t>（</w:t>
      </w:r>
      <w:bookmarkEnd w:id="670"/>
      <w:r>
        <w:rPr>
          <w:rFonts w:ascii="Times New Roman" w:eastAsia="Times New Roman" w:hAnsi="Times New Roman" w:cs="Times New Roman"/>
          <w:color w:val="000000"/>
          <w:spacing w:val="0"/>
          <w:w w:val="100"/>
          <w:position w:val="0"/>
        </w:rPr>
        <w:t>5）</w:t>
        <w:tab/>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日，绿研检验被认定为国家高新技术企业，证书编号：</w:t>
      </w:r>
      <w:r>
        <w:rPr>
          <w:rFonts w:ascii="Times New Roman" w:eastAsia="Times New Roman" w:hAnsi="Times New Roman" w:cs="Times New Roman"/>
          <w:color w:val="000000"/>
          <w:spacing w:val="0"/>
          <w:w w:val="100"/>
          <w:position w:val="0"/>
        </w:rPr>
        <w:t>GR201913002794</w:t>
      </w:r>
      <w:r>
        <w:rPr>
          <w:color w:val="000000"/>
          <w:spacing w:val="0"/>
          <w:w w:val="100"/>
          <w:position w:val="0"/>
        </w:rPr>
        <w:t>，有效期为</w:t>
      </w:r>
      <w:r>
        <w:rPr>
          <w:rFonts w:ascii="Times New Roman" w:eastAsia="Times New Roman" w:hAnsi="Times New Roman" w:cs="Times New Roman"/>
          <w:color w:val="000000"/>
          <w:spacing w:val="0"/>
          <w:w w:val="100"/>
          <w:position w:val="0"/>
        </w:rPr>
        <w:t>2019</w:t>
      </w:r>
      <w:r>
        <w:rPr>
          <w:color w:val="000000"/>
          <w:spacing w:val="0"/>
          <w:w w:val="100"/>
          <w:position w:val="0"/>
        </w:rPr>
        <w:t>至</w:t>
      </w:r>
      <w:r>
        <w:rPr>
          <w:rFonts w:ascii="Times New Roman" w:eastAsia="Times New Roman" w:hAnsi="Times New Roman" w:cs="Times New Roman"/>
          <w:color w:val="000000"/>
          <w:spacing w:val="0"/>
          <w:w w:val="100"/>
          <w:position w:val="0"/>
        </w:rPr>
        <w:t>2021</w:t>
      </w:r>
      <w:r>
        <w:rPr>
          <w:color w:val="000000"/>
          <w:spacing w:val="0"/>
          <w:w w:val="100"/>
          <w:position w:val="0"/>
        </w:rPr>
        <w:t>年度， 企业所得税税率为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20"/>
        <w:keepNext w:val="0"/>
        <w:keepLines w:val="0"/>
        <w:widowControl w:val="0"/>
        <w:shd w:val="clear" w:color="auto" w:fill="auto"/>
        <w:tabs>
          <w:tab w:pos="388" w:val="left"/>
        </w:tabs>
        <w:bidi w:val="0"/>
        <w:spacing w:before="0" w:after="0" w:line="312" w:lineRule="exact"/>
        <w:ind w:left="0" w:right="0" w:firstLine="0"/>
        <w:jc w:val="both"/>
      </w:pPr>
      <w:bookmarkStart w:id="671" w:name="bookmark671"/>
      <w:r>
        <w:rPr>
          <w:rFonts w:ascii="Times New Roman" w:eastAsia="Times New Roman" w:hAnsi="Times New Roman" w:cs="Times New Roman"/>
          <w:color w:val="000000"/>
          <w:spacing w:val="0"/>
          <w:w w:val="100"/>
          <w:position w:val="0"/>
        </w:rPr>
        <w:t>（</w:t>
      </w:r>
      <w:bookmarkEnd w:id="671"/>
      <w:r>
        <w:rPr>
          <w:rFonts w:ascii="Times New Roman" w:eastAsia="Times New Roman" w:hAnsi="Times New Roman" w:cs="Times New Roman"/>
          <w:color w:val="000000"/>
          <w:spacing w:val="0"/>
          <w:w w:val="100"/>
          <w:position w:val="0"/>
        </w:rPr>
        <w:t>6）</w:t>
        <w:tab/>
      </w:r>
      <w:r>
        <w:rPr>
          <w:color w:val="000000"/>
          <w:spacing w:val="0"/>
          <w:w w:val="100"/>
          <w:position w:val="0"/>
        </w:rPr>
        <w:t>本公司之子公司常州城建艾科、迪赛恩、上海爱轲、湾区规划设计、湾区绿色技术和湖北建胜及其下属子公司</w:t>
      </w:r>
      <w:r>
        <w:rPr>
          <w:color w:val="000000"/>
          <w:spacing w:val="0"/>
          <w:w w:val="100"/>
          <w:position w:val="0"/>
        </w:rPr>
        <w:t>（</w:t>
      </w:r>
      <w:r>
        <w:rPr>
          <w:color w:val="000000"/>
          <w:spacing w:val="0"/>
          <w:w w:val="100"/>
          <w:position w:val="0"/>
        </w:rPr>
        <w:t>丰天工程、 图强建设、精兴建设、领航培训</w:t>
      </w:r>
      <w:r>
        <w:rPr>
          <w:color w:val="000000"/>
          <w:spacing w:val="0"/>
          <w:w w:val="100"/>
          <w:position w:val="0"/>
        </w:rPr>
        <w:t>）</w:t>
      </w:r>
      <w:r>
        <w:rPr>
          <w:color w:val="000000"/>
          <w:spacing w:val="0"/>
          <w:w w:val="100"/>
          <w:position w:val="0"/>
        </w:rPr>
        <w:t>符合财政部和国家税务总局发布的</w:t>
      </w:r>
      <w:r>
        <w:rPr>
          <w:rFonts w:ascii="Times New Roman" w:eastAsia="Times New Roman" w:hAnsi="Times New Roman" w:cs="Times New Roman"/>
          <w:color w:val="000000"/>
          <w:spacing w:val="0"/>
          <w:w w:val="100"/>
          <w:position w:val="0"/>
        </w:rPr>
        <w:t>2021</w:t>
      </w:r>
      <w:r>
        <w:rPr>
          <w:color w:val="000000"/>
          <w:spacing w:val="0"/>
          <w:w w:val="100"/>
          <w:position w:val="0"/>
        </w:rPr>
        <w:t>年第</w:t>
      </w:r>
      <w:r>
        <w:rPr>
          <w:rFonts w:ascii="Times New Roman" w:eastAsia="Times New Roman" w:hAnsi="Times New Roman" w:cs="Times New Roman"/>
          <w:color w:val="000000"/>
          <w:spacing w:val="0"/>
          <w:w w:val="100"/>
          <w:position w:val="0"/>
        </w:rPr>
        <w:t>12</w:t>
      </w:r>
      <w:r>
        <w:rPr>
          <w:color w:val="000000"/>
          <w:spacing w:val="0"/>
          <w:w w:val="100"/>
          <w:position w:val="0"/>
        </w:rPr>
        <w:t>号《财政部税务总局关于实施小微企业和 个体工商户所得税优惠政策的公告》</w:t>
      </w:r>
      <w:r>
        <w:rPr>
          <w:color w:val="000000"/>
          <w:spacing w:val="0"/>
          <w:w w:val="100"/>
          <w:position w:val="0"/>
        </w:rPr>
        <w:t>（</w:t>
      </w:r>
      <w:r>
        <w:rPr>
          <w:color w:val="000000"/>
          <w:spacing w:val="0"/>
          <w:w w:val="100"/>
          <w:position w:val="0"/>
        </w:rPr>
        <w:t>有效期：</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color w:val="000000"/>
          <w:spacing w:val="0"/>
          <w:w w:val="100"/>
          <w:position w:val="0"/>
        </w:rPr>
        <w:t>）</w:t>
      </w:r>
      <w:r>
        <w:rPr>
          <w:color w:val="000000"/>
          <w:spacing w:val="0"/>
          <w:w w:val="100"/>
          <w:position w:val="0"/>
        </w:rPr>
        <w:t>中的相关条件，执行：当年应纳税所 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10%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万 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w:t>
      </w:r>
    </w:p>
    <w:p>
      <w:pPr>
        <w:pStyle w:val="Style20"/>
        <w:keepNext w:val="0"/>
        <w:keepLines w:val="0"/>
        <w:widowControl w:val="0"/>
        <w:shd w:val="clear" w:color="auto" w:fill="auto"/>
        <w:tabs>
          <w:tab w:pos="388" w:val="left"/>
          <w:tab w:pos="3983" w:val="left"/>
        </w:tabs>
        <w:bidi w:val="0"/>
        <w:spacing w:before="0" w:after="720" w:line="317" w:lineRule="exact"/>
        <w:ind w:left="0" w:right="0" w:firstLine="0"/>
        <w:jc w:val="both"/>
      </w:pPr>
      <w:bookmarkStart w:id="672" w:name="bookmark672"/>
      <w:r>
        <w:rPr>
          <w:rFonts w:ascii="Times New Roman" w:eastAsia="Times New Roman" w:hAnsi="Times New Roman" w:cs="Times New Roman"/>
          <w:color w:val="000000"/>
          <w:spacing w:val="0"/>
          <w:w w:val="100"/>
          <w:position w:val="0"/>
        </w:rPr>
        <w:t>（</w:t>
      </w:r>
      <w:bookmarkEnd w:id="672"/>
      <w:r>
        <w:rPr>
          <w:rFonts w:ascii="Times New Roman" w:eastAsia="Times New Roman" w:hAnsi="Times New Roman" w:cs="Times New Roman"/>
          <w:color w:val="000000"/>
          <w:spacing w:val="0"/>
          <w:w w:val="100"/>
          <w:position w:val="0"/>
        </w:rPr>
        <w:t>7）</w:t>
        <w:tab/>
      </w:r>
      <w:r>
        <w:rPr>
          <w:color w:val="000000"/>
          <w:spacing w:val="0"/>
          <w:w w:val="100"/>
          <w:position w:val="0"/>
        </w:rPr>
        <w:t>其他子公司适用法定企业所得税率</w:t>
      </w:r>
      <w:r>
        <w:rPr>
          <w:rFonts w:ascii="Times New Roman" w:eastAsia="Times New Roman" w:hAnsi="Times New Roman" w:cs="Times New Roman"/>
          <w:color w:val="000000"/>
          <w:spacing w:val="0"/>
          <w:w w:val="100"/>
          <w:position w:val="0"/>
        </w:rPr>
        <w:t xml:space="preserve">25% （2020 </w:t>
      </w:r>
      <w:r>
        <w:rPr>
          <w:color w:val="000000"/>
          <w:spacing w:val="0"/>
          <w:w w:val="100"/>
          <w:position w:val="0"/>
        </w:rPr>
        <w:t>：</w:t>
        <w:tab/>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26"/>
        <w:keepNext w:val="0"/>
        <w:keepLines w:val="0"/>
        <w:widowControl w:val="0"/>
        <w:shd w:val="clear" w:color="auto" w:fill="auto"/>
        <w:bidi w:val="0"/>
        <w:spacing w:before="0" w:after="340" w:line="240" w:lineRule="auto"/>
        <w:ind w:left="0" w:right="0" w:firstLine="0"/>
        <w:jc w:val="both"/>
      </w:pPr>
      <w:bookmarkStart w:id="673" w:name="bookmark673"/>
      <w:r>
        <w:rPr>
          <w:color w:val="000000"/>
          <w:spacing w:val="0"/>
          <w:w w:val="100"/>
          <w:position w:val="0"/>
          <w:sz w:val="24"/>
          <w:szCs w:val="24"/>
        </w:rPr>
        <w:t>七</w:t>
      </w:r>
      <w:bookmarkEnd w:id="673"/>
      <w:r>
        <w:rPr>
          <w:color w:val="000000"/>
          <w:spacing w:val="0"/>
          <w:w w:val="100"/>
          <w:position w:val="0"/>
          <w:sz w:val="24"/>
          <w:szCs w:val="24"/>
        </w:rPr>
        <w:t>、合并财务报表项目注释</w:t>
      </w:r>
    </w:p>
    <w:p>
      <w:pPr>
        <w:pStyle w:val="Style31"/>
        <w:keepNext/>
        <w:keepLines/>
        <w:widowControl w:val="0"/>
        <w:shd w:val="clear" w:color="auto" w:fill="auto"/>
        <w:bidi w:val="0"/>
        <w:spacing w:before="0" w:after="340" w:line="240" w:lineRule="auto"/>
        <w:ind w:left="0" w:right="0" w:firstLine="0"/>
        <w:jc w:val="both"/>
      </w:pPr>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674"/>
      <w:bookmarkEnd w:id="675"/>
      <w:bookmarkEnd w:id="67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170,287.39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91,167.39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208,644,105.40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241,269,045.44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15,584,867.20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49,805,499.26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224,399,259.99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291,165,712.09</w:t>
            </w:r>
          </w:p>
        </w:tc>
      </w:tr>
    </w:tbl>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其中其他货币资金明细如下:</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2,946,297.59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2,297,968.43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代建户监管资金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12,638,569.61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47,507,530.83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15,584,867.20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49,805,499.26</w:t>
            </w:r>
          </w:p>
        </w:tc>
      </w:tr>
    </w:tbl>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i/>
          <w:iCs/>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日，保函保证金共人民币</w:t>
      </w:r>
      <w:r>
        <w:rPr>
          <w:rFonts w:ascii="Times New Roman" w:eastAsia="Times New Roman" w:hAnsi="Times New Roman" w:cs="Times New Roman"/>
          <w:color w:val="000000"/>
          <w:spacing w:val="0"/>
          <w:w w:val="100"/>
          <w:position w:val="0"/>
        </w:rPr>
        <w:t>2,946,297.59</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i/>
          <w:iCs/>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日：人民币</w:t>
      </w:r>
      <w:r>
        <w:rPr>
          <w:rFonts w:ascii="Times New Roman" w:eastAsia="Times New Roman" w:hAnsi="Times New Roman" w:cs="Times New Roman"/>
          <w:color w:val="000000"/>
          <w:spacing w:val="0"/>
          <w:w w:val="100"/>
          <w:position w:val="0"/>
        </w:rPr>
        <w:t>2,297,968.43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，为本集团向 银行申请开具无条件、不可撤销的担保函所存入的保证金存款，其使用受到限制。</w:t>
      </w:r>
    </w:p>
    <w:p>
      <w:pPr>
        <w:pStyle w:val="Style20"/>
        <w:keepNext w:val="0"/>
        <w:keepLines w:val="0"/>
        <w:widowControl w:val="0"/>
        <w:shd w:val="clear" w:color="auto" w:fill="auto"/>
        <w:bidi w:val="0"/>
        <w:spacing w:before="0" w:after="360" w:line="319"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日，代建户监管资金共人民币</w:t>
      </w:r>
      <w:r>
        <w:rPr>
          <w:rFonts w:ascii="Times New Roman" w:eastAsia="Times New Roman" w:hAnsi="Times New Roman" w:cs="Times New Roman"/>
          <w:color w:val="000000"/>
          <w:spacing w:val="0"/>
          <w:w w:val="100"/>
          <w:position w:val="0"/>
        </w:rPr>
        <w:t>12,638,569.61</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日：人民币</w:t>
      </w:r>
      <w:r>
        <w:rPr>
          <w:rFonts w:ascii="Times New Roman" w:eastAsia="Times New Roman" w:hAnsi="Times New Roman" w:cs="Times New Roman"/>
          <w:color w:val="000000"/>
          <w:spacing w:val="0"/>
          <w:w w:val="100"/>
          <w:position w:val="0"/>
        </w:rPr>
        <w:t>47,507,530.83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，为以 本集团名义在银行开立的三方监管账户余额，根据有关的《三方监管协议》，这些监管账户的资金仅可用于代建项目工程建 设资金的支付，其使用受到限制。</w:t>
      </w:r>
    </w:p>
    <w:p>
      <w:pPr>
        <w:pStyle w:val="Style31"/>
        <w:keepNext/>
        <w:keepLines/>
        <w:widowControl w:val="0"/>
        <w:shd w:val="clear" w:color="auto" w:fill="auto"/>
        <w:bidi w:val="0"/>
        <w:spacing w:before="0" w:line="240" w:lineRule="auto"/>
        <w:ind w:left="0" w:right="0" w:firstLine="0"/>
        <w:jc w:val="both"/>
      </w:pPr>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677"/>
      <w:bookmarkEnd w:id="678"/>
      <w:bookmarkEnd w:id="679"/>
    </w:p>
    <w:p>
      <w:pPr>
        <w:pStyle w:val="Style31"/>
        <w:keepNext/>
        <w:keepLines/>
        <w:widowControl w:val="0"/>
        <w:shd w:val="clear" w:color="auto" w:fill="auto"/>
        <w:bidi w:val="0"/>
        <w:spacing w:before="0" w:line="240" w:lineRule="auto"/>
        <w:ind w:left="0" w:right="0" w:firstLine="0"/>
        <w:jc w:val="both"/>
      </w:pPr>
      <w:bookmarkStart w:id="677" w:name="bookmark677"/>
      <w:bookmarkStart w:id="678" w:name="bookmark678"/>
      <w:bookmarkStart w:id="680" w:name="bookmark680"/>
      <w:bookmarkStart w:id="681" w:name="bookmark681"/>
      <w:r>
        <w:rPr>
          <w:color w:val="000000"/>
          <w:spacing w:val="0"/>
          <w:w w:val="100"/>
          <w:position w:val="0"/>
        </w:rPr>
        <w:t>（</w:t>
      </w:r>
      <w:bookmarkEnd w:id="680"/>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677"/>
      <w:bookmarkEnd w:id="678"/>
      <w:bookmarkEnd w:id="68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10,496,839.38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894,394.32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1,294,394.32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10,579,339.38</w:t>
            </w:r>
          </w:p>
        </w:tc>
      </w:tr>
    </w:tbl>
    <w:p>
      <w:pPr>
        <w:widowControl w:val="0"/>
        <w:spacing w:after="119" w:line="1" w:lineRule="exact"/>
      </w:pP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说明：</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上述应收票据均为一年内到期。</w:t>
      </w:r>
    </w:p>
    <w:p>
      <w:pPr>
        <w:pStyle w:val="Style20"/>
        <w:keepNext w:val="0"/>
        <w:keepLines w:val="0"/>
        <w:widowControl w:val="0"/>
        <w:shd w:val="clear" w:color="auto" w:fill="auto"/>
        <w:bidi w:val="0"/>
        <w:spacing w:before="0" w:after="480" w:line="240" w:lineRule="auto"/>
        <w:ind w:left="0" w:right="0" w:firstLine="0"/>
        <w:jc w:val="both"/>
      </w:pPr>
      <w:r>
        <w:rPr>
          <w:color w:val="000000"/>
          <w:spacing w:val="0"/>
          <w:w w:val="100"/>
          <w:position w:val="0"/>
        </w:rPr>
        <w:t>年末本集团不存在已质押的应收票据。</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如是按照预期信用损失一般模型计提应收票据坏账准备，请参照其他应收款的披露方式披露坏账准备的相关信息:</w:t>
      </w:r>
    </w:p>
    <w:p>
      <w:pPr>
        <w:pStyle w:val="Style2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both"/>
      </w:pPr>
      <w:bookmarkStart w:id="682" w:name="bookmark682"/>
      <w:bookmarkStart w:id="683" w:name="bookmark683"/>
      <w:bookmarkStart w:id="684" w:name="bookmark684"/>
      <w:bookmarkStart w:id="685" w:name="bookmark685"/>
      <w:r>
        <w:rPr>
          <w:color w:val="000000"/>
          <w:spacing w:val="0"/>
          <w:w w:val="100"/>
          <w:position w:val="0"/>
        </w:rPr>
        <w:t>（</w:t>
      </w:r>
      <w:bookmarkEnd w:id="684"/>
      <w:r>
        <w:rPr>
          <w:rFonts w:ascii="Times New Roman" w:eastAsia="Times New Roman" w:hAnsi="Times New Roman" w:cs="Times New Roman"/>
          <w:color w:val="000000"/>
          <w:spacing w:val="0"/>
          <w:w w:val="100"/>
          <w:position w:val="0"/>
        </w:rPr>
        <w:t>2</w:t>
      </w:r>
      <w:r>
        <w:rPr>
          <w:color w:val="000000"/>
          <w:spacing w:val="0"/>
          <w:w w:val="100"/>
          <w:position w:val="0"/>
        </w:rPr>
        <w:t>）期末公司已背书或贴现且在资产负债表日尚未到期的应收票据</w:t>
      </w:r>
      <w:bookmarkEnd w:id="682"/>
      <w:bookmarkEnd w:id="683"/>
      <w:bookmarkEnd w:id="68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38,599,771.94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38,599,771.94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both"/>
      </w:pPr>
      <w:bookmarkStart w:id="686" w:name="bookmark686"/>
      <w:bookmarkStart w:id="687" w:name="bookmark687"/>
      <w:bookmarkStart w:id="688" w:name="bookmark688"/>
      <w:bookmarkStart w:id="689" w:name="bookmark689"/>
      <w:r>
        <w:rPr>
          <w:color w:val="000000"/>
          <w:spacing w:val="0"/>
          <w:w w:val="100"/>
          <w:position w:val="0"/>
        </w:rPr>
        <w:t>（</w:t>
      </w:r>
      <w:bookmarkEnd w:id="688"/>
      <w:r>
        <w:rPr>
          <w:rFonts w:ascii="Times New Roman" w:eastAsia="Times New Roman" w:hAnsi="Times New Roman" w:cs="Times New Roman"/>
          <w:color w:val="000000"/>
          <w:spacing w:val="0"/>
          <w:w w:val="100"/>
          <w:position w:val="0"/>
        </w:rPr>
        <w:t>3</w:t>
      </w:r>
      <w:r>
        <w:rPr>
          <w:color w:val="000000"/>
          <w:spacing w:val="0"/>
          <w:w w:val="100"/>
          <w:position w:val="0"/>
        </w:rPr>
        <w:t>）期末公司因出票人未履约而将其转应收账款的票据</w:t>
      </w:r>
      <w:bookmarkEnd w:id="686"/>
      <w:bookmarkEnd w:id="687"/>
      <w:bookmarkEnd w:id="689"/>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年末本集团无因出票人未履约而将其转应收账款的票据。</w:t>
      </w:r>
      <w:r>
        <w:br w:type="page"/>
      </w:r>
    </w:p>
    <w:p>
      <w:pPr>
        <w:pStyle w:val="Style31"/>
        <w:keepNext/>
        <w:keepLines/>
        <w:widowControl w:val="0"/>
        <w:pBdr>
          <w:top w:val="single" w:sz="4" w:space="0" w:color="auto"/>
        </w:pBdr>
        <w:shd w:val="clear" w:color="auto" w:fill="auto"/>
        <w:bidi w:val="0"/>
        <w:spacing w:before="0" w:line="240" w:lineRule="auto"/>
        <w:ind w:left="0" w:right="0" w:firstLine="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3</w:t>
      </w:r>
      <w:bookmarkEnd w:id="692"/>
      <w:r>
        <w:rPr>
          <w:color w:val="000000"/>
          <w:spacing w:val="0"/>
          <w:w w:val="100"/>
          <w:position w:val="0"/>
        </w:rPr>
        <w:t>、应收账款</w:t>
      </w:r>
      <w:bookmarkEnd w:id="690"/>
      <w:bookmarkEnd w:id="691"/>
      <w:bookmarkEnd w:id="693"/>
    </w:p>
    <w:p>
      <w:pPr>
        <w:pStyle w:val="Style31"/>
        <w:keepNext/>
        <w:keepLines/>
        <w:widowControl w:val="0"/>
        <w:shd w:val="clear" w:color="auto" w:fill="auto"/>
        <w:bidi w:val="0"/>
        <w:spacing w:before="0" w:line="240" w:lineRule="auto"/>
        <w:ind w:left="0" w:right="0" w:firstLine="0"/>
        <w:jc w:val="left"/>
      </w:pPr>
      <w:bookmarkStart w:id="690" w:name="bookmark690"/>
      <w:bookmarkStart w:id="691" w:name="bookmark691"/>
      <w:bookmarkStart w:id="694" w:name="bookmark694"/>
      <w:bookmarkStart w:id="695" w:name="bookmark695"/>
      <w:r>
        <w:rPr>
          <w:color w:val="000000"/>
          <w:spacing w:val="0"/>
          <w:w w:val="100"/>
          <w:position w:val="0"/>
        </w:rPr>
        <w:t>（</w:t>
      </w:r>
      <w:bookmarkEnd w:id="694"/>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690"/>
      <w:bookmarkEnd w:id="691"/>
      <w:bookmarkEnd w:id="69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按单项计提坏账准</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8,445,12</w:t>
            </w:r>
          </w:p>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1,435,02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7,010,097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9,779,904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586,794.2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9,193,110.2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个别政府单位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7,410,33</w:t>
            </w:r>
          </w:p>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400,239.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7,010,097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9,779,904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586,794.2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9,193,110.2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个别房地产开发商</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1,034,79</w:t>
            </w:r>
          </w:p>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1,034,79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397,316,</w:t>
            </w:r>
          </w:p>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996.20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97.90%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76,312,6</w:t>
            </w:r>
          </w:p>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68.79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321,004,3</w:t>
            </w:r>
          </w:p>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27.41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385,170,2</w:t>
            </w:r>
          </w:p>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31.95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97.52%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71,871,88</w:t>
            </w:r>
          </w:p>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313,298,35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345,100,</w:t>
            </w:r>
          </w:p>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302.33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64,245,1</w:t>
            </w:r>
          </w:p>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28.39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280,855,1</w:t>
            </w:r>
          </w:p>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73.94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385,170,2</w:t>
            </w:r>
          </w:p>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31.95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97.52%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71,871,88</w:t>
            </w:r>
          </w:p>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313,298,35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52,216,6</w:t>
            </w:r>
          </w:p>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93.87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12,067,5</w:t>
            </w:r>
          </w:p>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40,149,15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405,762,</w:t>
            </w:r>
          </w:p>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123.18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77,747,6</w:t>
            </w:r>
          </w:p>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98.53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328,014,4</w:t>
            </w:r>
          </w:p>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394,950,1</w:t>
            </w:r>
          </w:p>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36.48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72,458,67</w:t>
            </w:r>
          </w:p>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18.35%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322,491,46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按单项计提坏账准备：单项计提</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1,581,267.95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85,405.80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866,734.00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46,813.14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636,160.09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34,359.62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4,326,174.61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233,660.85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1,034,790.33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1,034,790.33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8,445,126.98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1,435,029.74</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0"/>
        <w:keepNext w:val="0"/>
        <w:keepLines w:val="0"/>
        <w:widowControl w:val="0"/>
        <w:shd w:val="clear" w:color="auto" w:fill="auto"/>
        <w:bidi w:val="0"/>
        <w:spacing w:before="0" w:after="40" w:line="302" w:lineRule="exact"/>
        <w:ind w:left="0" w:right="0" w:firstLine="0"/>
        <w:jc w:val="left"/>
      </w:pPr>
      <w:r>
        <w:rPr>
          <w:color w:val="000000"/>
          <w:spacing w:val="0"/>
          <w:w w:val="100"/>
          <w:position w:val="0"/>
        </w:rPr>
        <w:t>说明：</w:t>
      </w:r>
    </w:p>
    <w:p>
      <w:pPr>
        <w:pStyle w:val="Style20"/>
        <w:keepNext w:val="0"/>
        <w:keepLines w:val="0"/>
        <w:widowControl w:val="0"/>
        <w:shd w:val="clear" w:color="auto" w:fill="auto"/>
        <w:bidi w:val="0"/>
        <w:spacing w:before="0" w:after="240" w:line="302" w:lineRule="exact"/>
        <w:ind w:left="0" w:right="0" w:firstLine="0"/>
        <w:jc w:val="left"/>
      </w:pPr>
      <w:r>
        <w:rPr>
          <w:color w:val="000000"/>
          <w:spacing w:val="0"/>
          <w:w w:val="100"/>
          <w:position w:val="0"/>
        </w:rPr>
        <w:t>个别政府单位合作项目的请款审批流程较长，考虑到这些政府单位的履约能力良好，结合这些政府单位历史回款情况、未 来</w:t>
      </w:r>
      <w:r>
        <w:rPr>
          <w:rFonts w:ascii="Times New Roman" w:eastAsia="Times New Roman" w:hAnsi="Times New Roman" w:cs="Times New Roman"/>
          <w:color w:val="000000"/>
          <w:spacing w:val="0"/>
          <w:w w:val="100"/>
          <w:position w:val="0"/>
        </w:rPr>
        <w:t>12</w:t>
      </w:r>
      <w:r>
        <w:rPr>
          <w:color w:val="000000"/>
          <w:spacing w:val="0"/>
          <w:w w:val="100"/>
          <w:position w:val="0"/>
        </w:rPr>
        <w:t>个月的回款承诺等因素，本集团按照</w:t>
      </w:r>
      <w:r>
        <w:rPr>
          <w:rFonts w:ascii="Times New Roman" w:eastAsia="Times New Roman" w:hAnsi="Times New Roman" w:cs="Times New Roman"/>
          <w:color w:val="000000"/>
          <w:spacing w:val="0"/>
          <w:w w:val="100"/>
          <w:position w:val="0"/>
        </w:rPr>
        <w:t>5%</w:t>
      </w:r>
      <w:r>
        <w:rPr>
          <w:color w:val="000000"/>
          <w:spacing w:val="0"/>
          <w:w w:val="100"/>
          <w:position w:val="0"/>
        </w:rPr>
        <w:t>对其计算预期信用损失。</w:t>
      </w:r>
      <w:r>
        <w:br w:type="page"/>
      </w:r>
    </w:p>
    <w:p>
      <w:pPr>
        <w:pStyle w:val="Style20"/>
        <w:keepNext w:val="0"/>
        <w:keepLines w:val="0"/>
        <w:widowControl w:val="0"/>
        <w:shd w:val="clear" w:color="auto" w:fill="auto"/>
        <w:bidi w:val="0"/>
        <w:spacing w:before="0" w:after="460" w:line="317" w:lineRule="exact"/>
        <w:ind w:left="0" w:right="0" w:firstLine="4940"/>
        <w:jc w:val="left"/>
      </w:pPr>
      <w:r>
        <w:rPr>
          <w:color w:val="000000"/>
          <w:spacing w:val="0"/>
          <w:w w:val="100"/>
          <w:position w:val="0"/>
          <w:u w:val="single"/>
        </w:rPr>
        <w:t>深圳市建筑科学研究院股份有限公司</w:t>
      </w:r>
      <w:r>
        <w:rPr>
          <w:rFonts w:ascii="Times New Roman" w:eastAsia="Times New Roman" w:hAnsi="Times New Roman" w:cs="Times New Roman"/>
          <w:color w:val="000000"/>
          <w:spacing w:val="0"/>
          <w:w w:val="100"/>
          <w:position w:val="0"/>
          <w:u w:val="single"/>
        </w:rPr>
        <w:t>2021</w:t>
      </w:r>
      <w:r>
        <w:rPr>
          <w:color w:val="000000"/>
          <w:spacing w:val="0"/>
          <w:w w:val="100"/>
          <w:position w:val="0"/>
          <w:u w:val="single"/>
        </w:rPr>
        <w:t xml:space="preserve">年年度报告全文 </w:t>
      </w:r>
      <w:r>
        <w:rPr>
          <w:color w:val="000000"/>
          <w:spacing w:val="0"/>
          <w:w w:val="100"/>
          <w:position w:val="0"/>
        </w:rPr>
        <w:t>个别房地产开发商客户存在公开债务违约等负面新闻，本集团按</w:t>
      </w:r>
      <w:r>
        <w:rPr>
          <w:rFonts w:ascii="Times New Roman" w:eastAsia="Times New Roman" w:hAnsi="Times New Roman" w:cs="Times New Roman"/>
          <w:color w:val="000000"/>
          <w:spacing w:val="0"/>
          <w:w w:val="100"/>
          <w:position w:val="0"/>
        </w:rPr>
        <w:t>100%</w:t>
      </w:r>
      <w:r>
        <w:rPr>
          <w:color w:val="000000"/>
          <w:spacing w:val="0"/>
          <w:w w:val="100"/>
          <w:position w:val="0"/>
        </w:rPr>
        <w:t>计提减值准备。</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按组合计提坏账准备：组合一非房地产客户</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未逾期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160,556,847.40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8,207,954.49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逾期一年以内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81,341,806.90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8,300,189.01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rFonts w:ascii="Times New Roman" w:eastAsia="Times New Roman" w:hAnsi="Times New Roman" w:cs="Times New Roman"/>
                <w:color w:val="000000"/>
                <w:spacing w:val="0"/>
                <w:w w:val="100"/>
                <w:position w:val="0"/>
              </w:rPr>
              <w:t>1</w:t>
            </w:r>
            <w:r>
              <w:rPr>
                <w:color w:val="000000"/>
                <w:spacing w:val="0"/>
                <w:w w:val="100"/>
                <w:position w:val="0"/>
              </w:rPr>
              <w:t>到</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29,577,760.25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5,914,986.48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rFonts w:ascii="Times New Roman" w:eastAsia="Times New Roman" w:hAnsi="Times New Roman" w:cs="Times New Roman"/>
                <w:color w:val="000000"/>
                <w:spacing w:val="0"/>
                <w:w w:val="100"/>
                <w:position w:val="0"/>
              </w:rPr>
              <w:t>2</w:t>
            </w:r>
            <w:r>
              <w:rPr>
                <w:color w:val="000000"/>
                <w:spacing w:val="0"/>
                <w:w w:val="100"/>
                <w:position w:val="0"/>
              </w:rPr>
              <w:t>到</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28,395,261.06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8,444,946.45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rFonts w:ascii="Times New Roman" w:eastAsia="Times New Roman" w:hAnsi="Times New Roman" w:cs="Times New Roman"/>
                <w:color w:val="000000"/>
                <w:spacing w:val="0"/>
                <w:w w:val="100"/>
                <w:position w:val="0"/>
              </w:rPr>
              <w:t>3</w:t>
            </w:r>
            <w:r>
              <w:rPr>
                <w:color w:val="000000"/>
                <w:spacing w:val="0"/>
                <w:w w:val="100"/>
                <w:position w:val="0"/>
              </w:rPr>
              <w:t>到</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15,808,523.83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6,495,795.66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rFonts w:ascii="Times New Roman" w:eastAsia="Times New Roman" w:hAnsi="Times New Roman" w:cs="Times New Roman"/>
                <w:color w:val="000000"/>
                <w:spacing w:val="0"/>
                <w:w w:val="100"/>
                <w:position w:val="0"/>
              </w:rPr>
              <w:t>4</w:t>
            </w:r>
            <w:r>
              <w:rPr>
                <w:color w:val="000000"/>
                <w:spacing w:val="0"/>
                <w:w w:val="100"/>
                <w:position w:val="0"/>
              </w:rPr>
              <w:t>到</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7,206,644.19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4,667,797.60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22,213,458.70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22,213,458.70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345,100,302.33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64,245,128.39</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20"/>
        <w:keepNext w:val="0"/>
        <w:keepLines w:val="0"/>
        <w:widowControl w:val="0"/>
        <w:shd w:val="clear" w:color="auto" w:fill="auto"/>
        <w:bidi w:val="0"/>
        <w:spacing w:before="0" w:after="400" w:line="313" w:lineRule="exact"/>
        <w:ind w:left="0" w:right="0" w:firstLine="0"/>
        <w:jc w:val="both"/>
      </w:pPr>
      <w:r>
        <w:rPr>
          <w:color w:val="000000"/>
          <w:spacing w:val="0"/>
          <w:w w:val="100"/>
          <w:position w:val="0"/>
        </w:rPr>
        <w:t>本集团始终按照相当于整个存续期内预期信用损失的金额计量应收账款的减值准备，并以逾期天数与违约损失率对照表为 基础计算其预期信用损失。具有类似信用风险特征的组合，本集团基于历史实际信用损失率计算预期信用损失，并考虑历史 数据收集期间的经济状况、当前的经济状况与未来经济状况预测。由于本年房地产行业风险升高，在根据逾期信息计算减值 准备时，本集团将客户群体区分为组合一</w:t>
      </w:r>
      <w:r>
        <w:rPr>
          <w:color w:val="000000"/>
          <w:spacing w:val="0"/>
          <w:w w:val="100"/>
          <w:position w:val="0"/>
        </w:rPr>
        <w:t>（</w:t>
      </w:r>
      <w:r>
        <w:rPr>
          <w:color w:val="000000"/>
          <w:spacing w:val="0"/>
          <w:w w:val="100"/>
          <w:position w:val="0"/>
        </w:rPr>
        <w:t>非房地产客户</w:t>
      </w:r>
      <w:r>
        <w:rPr>
          <w:color w:val="000000"/>
          <w:spacing w:val="0"/>
          <w:w w:val="100"/>
          <w:position w:val="0"/>
        </w:rPr>
        <w:t>）</w:t>
      </w:r>
      <w:r>
        <w:rPr>
          <w:color w:val="000000"/>
          <w:spacing w:val="0"/>
          <w:w w:val="100"/>
          <w:position w:val="0"/>
        </w:rPr>
        <w:t>和组合二</w:t>
      </w:r>
      <w:r>
        <w:rPr>
          <w:color w:val="000000"/>
          <w:spacing w:val="0"/>
          <w:w w:val="100"/>
          <w:position w:val="0"/>
        </w:rPr>
        <w:t>（</w:t>
      </w:r>
      <w:r>
        <w:rPr>
          <w:color w:val="000000"/>
          <w:spacing w:val="0"/>
          <w:w w:val="100"/>
          <w:position w:val="0"/>
        </w:rPr>
        <w:t>房地产客户</w:t>
      </w:r>
      <w:r>
        <w:rPr>
          <w:rFonts w:ascii="Times New Roman" w:eastAsia="Times New Roman" w:hAnsi="Times New Roman" w:cs="Times New Roman"/>
          <w:color w:val="000000"/>
          <w:spacing w:val="0"/>
          <w:w w:val="100"/>
          <w:position w:val="0"/>
        </w:rPr>
        <w:t>）</w:t>
      </w:r>
      <w:r>
        <w:rPr>
          <w:color w:val="000000"/>
          <w:spacing w:val="0"/>
          <w:w w:val="100"/>
          <w:position w:val="0"/>
        </w:rPr>
        <w:t>，分别适用不同的预期信用损失率。</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年仅有一种组合。</w:t>
      </w:r>
    </w:p>
    <w:p>
      <w:pPr>
        <w:pStyle w:val="Style20"/>
        <w:keepNext w:val="0"/>
        <w:keepLines w:val="0"/>
        <w:widowControl w:val="0"/>
        <w:shd w:val="clear" w:color="auto" w:fill="auto"/>
        <w:bidi w:val="0"/>
        <w:spacing w:before="0" w:after="120" w:line="313" w:lineRule="exact"/>
        <w:ind w:left="0" w:right="0" w:firstLine="0"/>
        <w:jc w:val="both"/>
      </w:pPr>
      <w:r>
        <w:rPr>
          <w:color w:val="000000"/>
          <w:spacing w:val="0"/>
          <w:w w:val="100"/>
          <w:position w:val="0"/>
        </w:rPr>
        <w:t>按组合计提坏账准备：组合二房地产客户</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未逾期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24,223,228.96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1,658,273.91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逾期一年以内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11,977,044.11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1,614,193.76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rFonts w:ascii="Times New Roman" w:eastAsia="Times New Roman" w:hAnsi="Times New Roman" w:cs="Times New Roman"/>
                <w:color w:val="000000"/>
                <w:spacing w:val="0"/>
                <w:w w:val="100"/>
                <w:position w:val="0"/>
              </w:rPr>
              <w:t>1</w:t>
            </w:r>
            <w:r>
              <w:rPr>
                <w:color w:val="000000"/>
                <w:spacing w:val="0"/>
                <w:w w:val="100"/>
                <w:position w:val="0"/>
              </w:rPr>
              <w:t>到</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4,210,357.99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1,112,088.49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rFonts w:ascii="Times New Roman" w:eastAsia="Times New Roman" w:hAnsi="Times New Roman" w:cs="Times New Roman"/>
                <w:color w:val="000000"/>
                <w:spacing w:val="0"/>
                <w:w w:val="100"/>
                <w:position w:val="0"/>
              </w:rPr>
              <w:t>2</w:t>
            </w:r>
            <w:r>
              <w:rPr>
                <w:color w:val="000000"/>
                <w:spacing w:val="0"/>
                <w:w w:val="100"/>
                <w:position w:val="0"/>
              </w:rPr>
              <w:t>到</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6,029,685.40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2,368,522.61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rFonts w:ascii="Times New Roman" w:eastAsia="Times New Roman" w:hAnsi="Times New Roman" w:cs="Times New Roman"/>
                <w:color w:val="000000"/>
                <w:spacing w:val="0"/>
                <w:w w:val="100"/>
                <w:position w:val="0"/>
              </w:rPr>
              <w:t>3</w:t>
            </w:r>
            <w:r>
              <w:rPr>
                <w:color w:val="000000"/>
                <w:spacing w:val="0"/>
                <w:w w:val="100"/>
                <w:position w:val="0"/>
              </w:rPr>
              <w:t>到</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890,557.34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483,320.01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rFonts w:ascii="Times New Roman" w:eastAsia="Times New Roman" w:hAnsi="Times New Roman" w:cs="Times New Roman"/>
                <w:color w:val="000000"/>
                <w:spacing w:val="0"/>
                <w:w w:val="100"/>
                <w:position w:val="0"/>
              </w:rPr>
              <w:t>4</w:t>
            </w:r>
            <w:r>
              <w:rPr>
                <w:color w:val="000000"/>
                <w:spacing w:val="0"/>
                <w:w w:val="100"/>
                <w:position w:val="0"/>
              </w:rPr>
              <w:t>到</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378,350.00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323,671.55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4,507,470.07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4,507,470.07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52,216,693.87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12,067,540.40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widowControl w:val="0"/>
        <w:spacing w:after="3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bl>
      <w:tblPr>
        <w:tblOverlap w:val="never"/>
        <w:jc w:val="center"/>
        <w:tblLayout w:type="fixed"/>
      </w:tblPr>
      <w:tblGrid>
        <w:gridCol w:w="2414"/>
        <w:gridCol w:w="2410"/>
        <w:gridCol w:w="2410"/>
        <w:gridCol w:w="2419"/>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预期信用损失率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年末账面余额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年末减值准备</w:t>
            </w:r>
          </w:p>
        </w:tc>
      </w:tr>
      <w:tr>
        <w:trPr>
          <w:trHeight w:val="33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未逾期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179,497,767.59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10,941,387.49</w:t>
            </w:r>
          </w:p>
        </w:tc>
      </w:tr>
    </w:tbl>
    <w:p>
      <w:pPr>
        <w:widowControl w:val="0"/>
        <w:spacing w:line="1" w:lineRule="exact"/>
      </w:pPr>
      <w:r>
        <w:br w:type="page"/>
      </w:r>
    </w:p>
    <w:tbl>
      <w:tblPr>
        <w:tblOverlap w:val="never"/>
        <w:jc w:val="center"/>
        <w:tblLayout w:type="fixed"/>
      </w:tblPr>
      <w:tblGrid>
        <w:gridCol w:w="2414"/>
        <w:gridCol w:w="2410"/>
        <w:gridCol w:w="2410"/>
        <w:gridCol w:w="2419"/>
      </w:tblGrid>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逾期一年以内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84,741,283.13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8,386,301.62</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逾期</w:t>
            </w:r>
            <w:r>
              <w:rPr>
                <w:rFonts w:ascii="Times New Roman" w:eastAsia="Times New Roman" w:hAnsi="Times New Roman" w:cs="Times New Roman"/>
                <w:color w:val="000000"/>
                <w:spacing w:val="0"/>
                <w:w w:val="100"/>
                <w:position w:val="0"/>
              </w:rPr>
              <w:t>1</w:t>
            </w:r>
            <w:r>
              <w:rPr>
                <w:color w:val="000000"/>
                <w:spacing w:val="0"/>
                <w:w w:val="100"/>
                <w:position w:val="0"/>
              </w:rPr>
              <w:t>到</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56,525,533.70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11,188,875.82</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逾期</w:t>
            </w:r>
            <w:r>
              <w:rPr>
                <w:rFonts w:ascii="Times New Roman" w:eastAsia="Times New Roman" w:hAnsi="Times New Roman" w:cs="Times New Roman"/>
                <w:color w:val="000000"/>
                <w:spacing w:val="0"/>
                <w:w w:val="100"/>
                <w:position w:val="0"/>
              </w:rPr>
              <w:t>2</w:t>
            </w:r>
            <w:r>
              <w:rPr>
                <w:color w:val="000000"/>
                <w:spacing w:val="0"/>
                <w:w w:val="100"/>
                <w:position w:val="0"/>
              </w:rPr>
              <w:t>到</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19,861,045.22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5,880,686.48</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逾期</w:t>
            </w:r>
            <w:r>
              <w:rPr>
                <w:rFonts w:ascii="Times New Roman" w:eastAsia="Times New Roman" w:hAnsi="Times New Roman" w:cs="Times New Roman"/>
                <w:color w:val="000000"/>
                <w:spacing w:val="0"/>
                <w:w w:val="100"/>
                <w:position w:val="0"/>
              </w:rPr>
              <w:t>3</w:t>
            </w:r>
            <w:r>
              <w:rPr>
                <w:color w:val="000000"/>
                <w:spacing w:val="0"/>
                <w:w w:val="100"/>
                <w:position w:val="0"/>
              </w:rPr>
              <w:t>到</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10,927,984.39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4,626,480.43</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逾期</w:t>
            </w:r>
            <w:r>
              <w:rPr>
                <w:rFonts w:ascii="Times New Roman" w:eastAsia="Times New Roman" w:hAnsi="Times New Roman" w:cs="Times New Roman"/>
                <w:color w:val="000000"/>
                <w:spacing w:val="0"/>
                <w:w w:val="100"/>
                <w:position w:val="0"/>
              </w:rPr>
              <w:t>4</w:t>
            </w:r>
            <w:r>
              <w:rPr>
                <w:color w:val="000000"/>
                <w:spacing w:val="0"/>
                <w:w w:val="100"/>
                <w:position w:val="0"/>
              </w:rPr>
              <w:t>到</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600" w:firstLine="0"/>
              <w:jc w:val="right"/>
            </w:pPr>
            <w:r>
              <w:rPr>
                <w:rFonts w:ascii="Times New Roman" w:eastAsia="Times New Roman" w:hAnsi="Times New Roman" w:cs="Times New Roman"/>
                <w:color w:val="000000"/>
                <w:spacing w:val="0"/>
                <w:w w:val="100"/>
                <w:position w:val="0"/>
              </w:rPr>
              <w:t>6,435,752.62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3,667,283.36</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逾期</w:t>
            </w: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27,180,865.30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27,180,865.30</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600" w:firstLine="0"/>
              <w:jc w:val="right"/>
            </w:pPr>
            <w:r>
              <w:rPr>
                <w:rFonts w:ascii="Times New Roman" w:eastAsia="Times New Roman" w:hAnsi="Times New Roman" w:cs="Times New Roman"/>
                <w:color w:val="000000"/>
                <w:spacing w:val="0"/>
                <w:w w:val="100"/>
                <w:position w:val="0"/>
              </w:rPr>
              <w:t>385,170,231.95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71,871,880.50</w:t>
            </w:r>
          </w:p>
        </w:tc>
      </w:tr>
    </w:tbl>
    <w:p>
      <w:pPr>
        <w:widowControl w:val="0"/>
        <w:spacing w:after="41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0"/>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98"/>
        <w:gridCol w:w="2107"/>
        <w:gridCol w:w="2438"/>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1</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220,949,235.85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233,826,956.83</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年至</w:t>
            </w:r>
            <w:r>
              <w:rPr>
                <w:rFonts w:ascii="Times New Roman" w:eastAsia="Times New Roman" w:hAnsi="Times New Roman" w:cs="Times New Roman"/>
                <w:color w:val="000000"/>
                <w:spacing w:val="0"/>
                <w:w w:val="100"/>
                <w:position w:val="0"/>
              </w:rPr>
              <w:t>2</w:t>
            </w:r>
            <w:r>
              <w:rPr>
                <w:color w:val="000000"/>
                <w:spacing w:val="0"/>
                <w:w w:val="100"/>
                <w:position w:val="0"/>
              </w:rPr>
              <w:t>年</w:t>
            </w:r>
            <w:r>
              <w:rPr>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2</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65,200,278.53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64,452,491.41</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年至</w:t>
            </w:r>
            <w:r>
              <w:rPr>
                <w:rFonts w:ascii="Times New Roman" w:eastAsia="Times New Roman" w:hAnsi="Times New Roman" w:cs="Times New Roman"/>
                <w:color w:val="000000"/>
                <w:spacing w:val="0"/>
                <w:w w:val="100"/>
                <w:position w:val="0"/>
              </w:rPr>
              <w:t>3</w:t>
            </w:r>
            <w:r>
              <w:rPr>
                <w:color w:val="000000"/>
                <w:spacing w:val="0"/>
                <w:w w:val="100"/>
                <w:position w:val="0"/>
              </w:rPr>
              <w:t>年</w:t>
            </w:r>
            <w:r>
              <w:rPr>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3</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44,444,512.81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35,084,146.37</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年至</w:t>
            </w:r>
            <w:r>
              <w:rPr>
                <w:rFonts w:ascii="Times New Roman" w:eastAsia="Times New Roman" w:hAnsi="Times New Roman" w:cs="Times New Roman"/>
                <w:color w:val="000000"/>
                <w:spacing w:val="0"/>
                <w:w w:val="100"/>
                <w:position w:val="0"/>
              </w:rPr>
              <w:t>4</w:t>
            </w:r>
            <w:r>
              <w:rPr>
                <w:color w:val="000000"/>
                <w:spacing w:val="0"/>
                <w:w w:val="100"/>
                <w:position w:val="0"/>
              </w:rPr>
              <w:t>年</w:t>
            </w:r>
            <w:r>
              <w:rPr>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4</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28,037,828.81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14,935,548.84</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w:t>
            </w:r>
            <w:r>
              <w:rPr>
                <w:color w:val="000000"/>
                <w:spacing w:val="0"/>
                <w:w w:val="100"/>
                <w:position w:val="0"/>
              </w:rPr>
              <w:t>年至</w:t>
            </w:r>
            <w:r>
              <w:rPr>
                <w:rFonts w:ascii="Times New Roman" w:eastAsia="Times New Roman" w:hAnsi="Times New Roman" w:cs="Times New Roman"/>
                <w:color w:val="000000"/>
                <w:spacing w:val="0"/>
                <w:w w:val="100"/>
                <w:position w:val="0"/>
              </w:rPr>
              <w:t>5</w:t>
            </w:r>
            <w:r>
              <w:rPr>
                <w:color w:val="000000"/>
                <w:spacing w:val="0"/>
                <w:w w:val="100"/>
                <w:position w:val="0"/>
              </w:rPr>
              <w:t>年</w:t>
            </w:r>
            <w:r>
              <w:rPr>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11,786,162.29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13,136,832.33</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35,344,104.89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33,514,160.70</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405,762,123.18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394,950,136.48</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77,747,698.53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72,458,674.77</w:t>
            </w:r>
          </w:p>
        </w:tc>
      </w:tr>
      <w:tr>
        <w:trPr>
          <w:trHeight w:val="33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328,014,424.65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322,491,461.71</w:t>
            </w:r>
          </w:p>
        </w:tc>
      </w:tr>
    </w:tbl>
    <w:p>
      <w:pPr>
        <w:widowControl w:val="0"/>
        <w:spacing w:after="619" w:line="1" w:lineRule="exact"/>
      </w:pPr>
    </w:p>
    <w:p>
      <w:pPr>
        <w:pStyle w:val="Style31"/>
        <w:keepNext/>
        <w:keepLines/>
        <w:widowControl w:val="0"/>
        <w:shd w:val="clear" w:color="auto" w:fill="auto"/>
        <w:bidi w:val="0"/>
        <w:spacing w:before="0" w:after="380" w:line="240" w:lineRule="auto"/>
        <w:ind w:left="0" w:right="0" w:firstLine="0"/>
        <w:jc w:val="left"/>
      </w:pPr>
      <w:bookmarkStart w:id="696" w:name="bookmark696"/>
      <w:bookmarkStart w:id="697" w:name="bookmark697"/>
      <w:bookmarkStart w:id="698" w:name="bookmark698"/>
      <w:bookmarkStart w:id="699" w:name="bookmark699"/>
      <w:r>
        <w:rPr>
          <w:color w:val="000000"/>
          <w:spacing w:val="0"/>
          <w:w w:val="100"/>
          <w:position w:val="0"/>
        </w:rPr>
        <w:t>（</w:t>
      </w:r>
      <w:bookmarkEnd w:id="69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696"/>
      <w:bookmarkEnd w:id="697"/>
      <w:bookmarkEnd w:id="699"/>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218"/>
        <w:gridCol w:w="1987"/>
        <w:gridCol w:w="2443"/>
      </w:tblGrid>
      <w:tr>
        <w:trPr>
          <w:trHeight w:val="37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r>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原收入准则下的余额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65,884,222.06</w:t>
            </w:r>
          </w:p>
        </w:tc>
      </w:tr>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首次执行新收入准则的调整金额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(3,029,059.87)</w:t>
            </w:r>
          </w:p>
        </w:tc>
      </w:tr>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调整后的年初余额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72,458,674.77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62,855,162.19</w:t>
            </w:r>
          </w:p>
        </w:tc>
      </w:tr>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本年计提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38,216,529.18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14,753,508.55</w:t>
            </w:r>
          </w:p>
        </w:tc>
      </w:tr>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本年收回或转回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32,927,505.42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5,149,995.97</w:t>
            </w:r>
          </w:p>
        </w:tc>
      </w:tr>
      <w:tr>
        <w:trPr>
          <w:trHeight w:val="37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年末余额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77,747,698.53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72,458,674.77</w:t>
            </w:r>
          </w:p>
        </w:tc>
      </w:tr>
    </w:tbl>
    <w:p>
      <w:pPr>
        <w:spacing w:lineRule="exact" w:line="1"/>
        <w:rPr>
          <w:sz w:val="2"/>
          <w:szCs w:val="2"/>
        </w:rPr>
      </w:pPr>
      <w:r>
        <w:br w:type="page"/>
      </w:r>
    </w:p>
    <w:p>
      <w:pPr>
        <w:pStyle w:val="Style31"/>
        <w:keepNext/>
        <w:keepLines/>
        <w:widowControl w:val="0"/>
        <w:numPr>
          <w:ilvl w:val="0"/>
          <w:numId w:val="65"/>
        </w:numPr>
        <w:shd w:val="clear" w:color="auto" w:fill="auto"/>
        <w:bidi w:val="0"/>
        <w:spacing w:before="0" w:after="380" w:line="240" w:lineRule="auto"/>
        <w:ind w:left="0" w:right="0" w:firstLine="0"/>
        <w:jc w:val="both"/>
      </w:pPr>
      <w:bookmarkStart w:id="700" w:name="bookmark700"/>
      <w:bookmarkStart w:id="701" w:name="bookmark701"/>
      <w:bookmarkStart w:id="702" w:name="bookmark702"/>
      <w:bookmarkStart w:id="703" w:name="bookmark703"/>
      <w:bookmarkEnd w:id="702"/>
      <w:r>
        <w:rPr>
          <w:color w:val="000000"/>
          <w:spacing w:val="0"/>
          <w:w w:val="100"/>
          <w:position w:val="0"/>
        </w:rPr>
        <w:t>按欠款方归集的期末余额前五名的应收账款情况</w:t>
      </w:r>
      <w:bookmarkEnd w:id="700"/>
      <w:bookmarkEnd w:id="701"/>
      <w:bookmarkEnd w:id="70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2"/>
        <w:gridCol w:w="2530"/>
        <w:gridCol w:w="2530"/>
        <w:gridCol w:w="2539"/>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57,620,443.66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3,063,051.65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12,728,290.07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4,031,538.80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7,832,016.90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639,173.33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7,440,947.50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864,057.98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6,925,074.80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1,854,367.65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92,546,772.93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22.78%</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10,452,189.41</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4</w:t>
      </w:r>
      <w:bookmarkEnd w:id="706"/>
      <w:r>
        <w:rPr>
          <w:color w:val="000000"/>
          <w:spacing w:val="0"/>
          <w:w w:val="100"/>
          <w:position w:val="0"/>
        </w:rPr>
        <w:t>、应收款项融资</w:t>
      </w:r>
      <w:bookmarkEnd w:id="704"/>
      <w:bookmarkEnd w:id="705"/>
      <w:bookmarkEnd w:id="70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r>
              <w:rPr>
                <w:rFonts w:ascii="Times New Roman" w:eastAsia="Times New Roman" w:hAnsi="Times New Roman" w:cs="Times New Roman"/>
                <w:color w:val="000000"/>
                <w:spacing w:val="0"/>
                <w:w w:val="100"/>
                <w:position w:val="0"/>
              </w:rPr>
              <w:t>-</w:t>
            </w:r>
            <w:r>
              <w:rPr>
                <w:color w:val="000000"/>
                <w:spacing w:val="0"/>
                <w:w w:val="100"/>
                <w:position w:val="0"/>
              </w:rPr>
              <w:t>银行承兑汇票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4,640,936.86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pStyle w:val="Style20"/>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应收款项融资本期增减变动及公允价值变动情况</w:t>
      </w:r>
    </w:p>
    <w:p>
      <w:pPr>
        <w:pStyle w:val="Style20"/>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如是按照预期信用损失一般模型计提应收款项融资减值准备，请参照其他应收款的披露方式披露减值准备的相关信息：</w:t>
      </w:r>
    </w:p>
    <w:p>
      <w:pPr>
        <w:pStyle w:val="Style20"/>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其他说明：</w:t>
      </w:r>
    </w:p>
    <w:p>
      <w:pPr>
        <w:pStyle w:val="Style2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本集团根据近期公开信息披露的票据违约情况、《中国银保监会办公厅关于进一步加强企业集团财务公司票据业务监管的 通知》</w:t>
      </w:r>
      <w:r>
        <w:rPr>
          <w:color w:val="000000"/>
          <w:spacing w:val="0"/>
          <w:w w:val="100"/>
          <w:position w:val="0"/>
        </w:rPr>
        <w:t>(</w:t>
      </w:r>
      <w:r>
        <w:rPr>
          <w:color w:val="000000"/>
          <w:spacing w:val="0"/>
          <w:w w:val="100"/>
          <w:position w:val="0"/>
        </w:rPr>
        <w:t>银保监办发</w:t>
      </w:r>
      <w:r>
        <w:rPr>
          <w:rFonts w:ascii="Times New Roman" w:eastAsia="Times New Roman" w:hAnsi="Times New Roman" w:cs="Times New Roman"/>
          <w:color w:val="000000"/>
          <w:spacing w:val="0"/>
          <w:w w:val="100"/>
          <w:position w:val="0"/>
        </w:rPr>
        <w:t>[2019]133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并参考《上市公司执行企业会计准则案例解析</w:t>
      </w:r>
      <w:r>
        <w:rPr>
          <w:rFonts w:ascii="Times New Roman" w:eastAsia="Times New Roman" w:hAnsi="Times New Roman" w:cs="Times New Roman"/>
          <w:color w:val="000000"/>
          <w:spacing w:val="0"/>
          <w:w w:val="100"/>
          <w:position w:val="0"/>
        </w:rPr>
        <w:t>(2019)</w:t>
      </w:r>
      <w:r>
        <w:rPr>
          <w:color w:val="000000"/>
          <w:spacing w:val="0"/>
          <w:w w:val="100"/>
          <w:position w:val="0"/>
        </w:rPr>
        <w:t>》等。将信用等级较高、拥有国资背 景或为上市银行、资金实力雄厚、经营情况良好的由</w:t>
      </w:r>
      <w:r>
        <w:rPr>
          <w:rFonts w:ascii="Times New Roman" w:eastAsia="Times New Roman" w:hAnsi="Times New Roman" w:cs="Times New Roman"/>
          <w:color w:val="000000"/>
          <w:spacing w:val="0"/>
          <w:w w:val="100"/>
          <w:position w:val="0"/>
        </w:rPr>
        <w:t>6</w:t>
      </w:r>
      <w:r>
        <w:rPr>
          <w:color w:val="000000"/>
          <w:spacing w:val="0"/>
          <w:w w:val="100"/>
          <w:position w:val="0"/>
        </w:rPr>
        <w:t>家大型商业银行和</w:t>
      </w:r>
      <w:r>
        <w:rPr>
          <w:rFonts w:ascii="Times New Roman" w:eastAsia="Times New Roman" w:hAnsi="Times New Roman" w:cs="Times New Roman"/>
          <w:color w:val="000000"/>
          <w:spacing w:val="0"/>
          <w:w w:val="100"/>
          <w:position w:val="0"/>
        </w:rPr>
        <w:t>9</w:t>
      </w:r>
      <w:r>
        <w:rPr>
          <w:color w:val="000000"/>
          <w:spacing w:val="0"/>
          <w:w w:val="100"/>
          <w:position w:val="0"/>
        </w:rPr>
        <w:t>家上市股份制商业银行承兑的汇票分类至应收款 项融资科目。</w:t>
      </w:r>
    </w:p>
    <w:p>
      <w:pPr>
        <w:pStyle w:val="Style31"/>
        <w:keepNext/>
        <w:keepLines/>
        <w:widowControl w:val="0"/>
        <w:shd w:val="clear" w:color="auto" w:fill="auto"/>
        <w:bidi w:val="0"/>
        <w:spacing w:before="0" w:after="280" w:line="240" w:lineRule="auto"/>
        <w:ind w:left="0" w:right="0" w:firstLine="0"/>
        <w:jc w:val="both"/>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5</w:t>
      </w:r>
      <w:bookmarkEnd w:id="710"/>
      <w:r>
        <w:rPr>
          <w:color w:val="000000"/>
          <w:spacing w:val="0"/>
          <w:w w:val="100"/>
          <w:position w:val="0"/>
        </w:rPr>
        <w:t>、预付款项</w:t>
      </w:r>
      <w:bookmarkEnd w:id="708"/>
      <w:bookmarkEnd w:id="709"/>
      <w:bookmarkEnd w:id="711"/>
    </w:p>
    <w:p>
      <w:pPr>
        <w:pStyle w:val="Style2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预付款项分类列示如下：</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67"/>
        <w:gridCol w:w="2040"/>
        <w:gridCol w:w="2040"/>
        <w:gridCol w:w="2496"/>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预付办公室租金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534,578.63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115,197.81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809,129.14</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预付技术咨询费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466,551.44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3,906,190.80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3,906,190.80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2,633,942.35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2,051,088.86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2,051,088.86</w:t>
            </w:r>
          </w:p>
        </w:tc>
      </w:tr>
      <w:tr>
        <w:trPr>
          <w:trHeight w:val="33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3,635,072.42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6,072,477.47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6,766,408.80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注：期初数调整为新租赁准则实施的调整。</w:t>
      </w:r>
      <w:r>
        <w:br w:type="page"/>
      </w:r>
    </w:p>
    <w:p>
      <w:pPr>
        <w:pStyle w:val="Style31"/>
        <w:keepNext/>
        <w:keepLines/>
        <w:widowControl w:val="0"/>
        <w:shd w:val="clear" w:color="auto" w:fill="auto"/>
        <w:bidi w:val="0"/>
        <w:spacing w:before="0" w:after="380" w:line="240" w:lineRule="auto"/>
        <w:ind w:left="0" w:right="0" w:firstLine="0"/>
        <w:jc w:val="left"/>
      </w:pPr>
      <w:bookmarkStart w:id="712" w:name="bookmark712"/>
      <w:bookmarkStart w:id="713" w:name="bookmark713"/>
      <w:bookmarkStart w:id="714" w:name="bookmark714"/>
      <w:bookmarkStart w:id="715" w:name="bookmark715"/>
      <w:r>
        <w:rPr>
          <w:color w:val="000000"/>
          <w:spacing w:val="0"/>
          <w:w w:val="100"/>
          <w:position w:val="0"/>
        </w:rPr>
        <w:t>（</w:t>
      </w:r>
      <w:bookmarkEnd w:id="714"/>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712"/>
      <w:bookmarkEnd w:id="713"/>
      <w:bookmarkEnd w:id="71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93"/>
        <w:gridCol w:w="1699"/>
        <w:gridCol w:w="1382"/>
        <w:gridCol w:w="1699"/>
        <w:gridCol w:w="1570"/>
      </w:tblGrid>
      <w:tr>
        <w:trPr>
          <w:trHeight w:val="331"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1</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3,172,607.16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5,934,263.31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88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r>
              <w:rPr>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2</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144,855.36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405,835.01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r>
              <w:rPr>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3</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66,289.46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147,574.92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r>
              <w:rPr>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4</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20,030.00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268,051.80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r>
              <w:rPr>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231,290.44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10,683.76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3,635,072.42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6,766,408.80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100</w:t>
            </w:r>
          </w:p>
        </w:tc>
      </w:tr>
    </w:tbl>
    <w:p>
      <w:pPr>
        <w:widowControl w:val="0"/>
        <w:spacing w:after="299" w:line="1" w:lineRule="exact"/>
      </w:pPr>
    </w:p>
    <w:p>
      <w:pPr>
        <w:pStyle w:val="Style20"/>
        <w:keepNext w:val="0"/>
        <w:keepLines w:val="0"/>
        <w:widowControl w:val="0"/>
        <w:shd w:val="clear" w:color="auto" w:fill="auto"/>
        <w:bidi w:val="0"/>
        <w:spacing w:before="0" w:after="380" w:line="350" w:lineRule="exact"/>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 无。</w:t>
      </w:r>
    </w:p>
    <w:p>
      <w:pPr>
        <w:pStyle w:val="Style31"/>
        <w:keepNext/>
        <w:keepLines/>
        <w:widowControl w:val="0"/>
        <w:shd w:val="clear" w:color="auto" w:fill="auto"/>
        <w:bidi w:val="0"/>
        <w:spacing w:before="0" w:after="380" w:line="240" w:lineRule="auto"/>
        <w:ind w:left="0" w:right="0" w:firstLine="0"/>
        <w:jc w:val="left"/>
      </w:pPr>
      <w:bookmarkStart w:id="716" w:name="bookmark716"/>
      <w:bookmarkStart w:id="717" w:name="bookmark717"/>
      <w:bookmarkStart w:id="718" w:name="bookmark718"/>
      <w:bookmarkStart w:id="719" w:name="bookmark719"/>
      <w:r>
        <w:rPr>
          <w:color w:val="000000"/>
          <w:spacing w:val="0"/>
          <w:w w:val="100"/>
          <w:position w:val="0"/>
        </w:rPr>
        <w:t>（</w:t>
      </w:r>
      <w:bookmarkEnd w:id="718"/>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716"/>
      <w:bookmarkEnd w:id="717"/>
      <w:bookmarkEnd w:id="71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预付对象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占预付款项年末余额合计数的比例</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231,290.44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173,885.06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136,010.20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128,276.26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119,768.00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789,229.96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r>
    </w:tbl>
    <w:p>
      <w:pPr>
        <w:widowControl w:val="0"/>
        <w:spacing w:after="79" w:line="1" w:lineRule="exact"/>
      </w:pP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本集团无账龄超过</w:t>
      </w:r>
      <w:r>
        <w:rPr>
          <w:rFonts w:ascii="Times New Roman" w:eastAsia="Times New Roman" w:hAnsi="Times New Roman" w:cs="Times New Roman"/>
          <w:color w:val="000000"/>
          <w:spacing w:val="0"/>
          <w:w w:val="100"/>
          <w:position w:val="0"/>
        </w:rPr>
        <w:t>1</w:t>
      </w:r>
      <w:r>
        <w:rPr>
          <w:color w:val="000000"/>
          <w:spacing w:val="0"/>
          <w:w w:val="100"/>
          <w:position w:val="0"/>
        </w:rPr>
        <w:t>年的金额重大的预付款项。</w:t>
      </w:r>
    </w:p>
    <w:p>
      <w:pPr>
        <w:pStyle w:val="Style31"/>
        <w:keepNext/>
        <w:keepLines/>
        <w:widowControl w:val="0"/>
        <w:shd w:val="clear" w:color="auto" w:fill="auto"/>
        <w:bidi w:val="0"/>
        <w:spacing w:before="0" w:after="380" w:line="240" w:lineRule="auto"/>
        <w:ind w:left="0" w:right="0" w:firstLine="0"/>
        <w:jc w:val="left"/>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6</w:t>
      </w:r>
      <w:bookmarkEnd w:id="722"/>
      <w:r>
        <w:rPr>
          <w:color w:val="000000"/>
          <w:spacing w:val="0"/>
          <w:w w:val="100"/>
          <w:position w:val="0"/>
        </w:rPr>
        <w:t>、其他应收款</w:t>
      </w:r>
      <w:bookmarkEnd w:id="720"/>
      <w:bookmarkEnd w:id="721"/>
      <w:bookmarkEnd w:id="72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7,023,485.02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11,590,145.53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7,023,485.02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11,590,145.53</w:t>
            </w:r>
          </w:p>
        </w:tc>
      </w:tr>
    </w:tbl>
    <w:p>
      <w:pPr>
        <w:spacing w:lineRule="exact" w:line="1"/>
        <w:rPr>
          <w:sz w:val="2"/>
          <w:szCs w:val="2"/>
        </w:rPr>
      </w:pPr>
      <w:r>
        <w:br w:type="page"/>
      </w:r>
    </w:p>
    <w:p>
      <w:pPr>
        <w:pStyle w:val="Style31"/>
        <w:keepNext/>
        <w:keepLines/>
        <w:widowControl w:val="0"/>
        <w:numPr>
          <w:ilvl w:val="0"/>
          <w:numId w:val="71"/>
        </w:numPr>
        <w:shd w:val="clear" w:color="auto" w:fill="auto"/>
        <w:bidi w:val="0"/>
        <w:spacing w:before="0" w:line="240" w:lineRule="auto"/>
        <w:ind w:left="0" w:right="0" w:firstLine="0"/>
        <w:jc w:val="left"/>
      </w:pPr>
      <w:bookmarkStart w:id="724" w:name="bookmark724"/>
      <w:bookmarkStart w:id="725" w:name="bookmark725"/>
      <w:bookmarkStart w:id="726" w:name="bookmark726"/>
      <w:bookmarkStart w:id="727" w:name="bookmark727"/>
      <w:bookmarkEnd w:id="726"/>
      <w:r>
        <w:rPr>
          <w:color w:val="000000"/>
          <w:spacing w:val="0"/>
          <w:w w:val="100"/>
          <w:position w:val="0"/>
        </w:rPr>
        <w:t>其他应收款</w:t>
      </w:r>
      <w:bookmarkEnd w:id="724"/>
      <w:bookmarkEnd w:id="725"/>
      <w:bookmarkEnd w:id="727"/>
    </w:p>
    <w:p>
      <w:pPr>
        <w:pStyle w:val="Style31"/>
        <w:keepNext/>
        <w:keepLines/>
        <w:widowControl w:val="0"/>
        <w:numPr>
          <w:ilvl w:val="0"/>
          <w:numId w:val="73"/>
        </w:numPr>
        <w:shd w:val="clear" w:color="auto" w:fill="auto"/>
        <w:bidi w:val="0"/>
        <w:spacing w:before="0" w:line="240" w:lineRule="auto"/>
        <w:ind w:left="0" w:right="0" w:firstLine="0"/>
        <w:jc w:val="left"/>
      </w:pPr>
      <w:bookmarkStart w:id="724" w:name="bookmark724"/>
      <w:bookmarkStart w:id="725" w:name="bookmark725"/>
      <w:bookmarkStart w:id="728" w:name="bookmark728"/>
      <w:bookmarkStart w:id="729" w:name="bookmark729"/>
      <w:bookmarkEnd w:id="728"/>
      <w:r>
        <w:rPr>
          <w:color w:val="000000"/>
          <w:spacing w:val="0"/>
          <w:w w:val="100"/>
          <w:position w:val="0"/>
        </w:rPr>
        <w:t>其他应收款按款项性质分类情况</w:t>
      </w:r>
      <w:bookmarkEnd w:id="724"/>
      <w:bookmarkEnd w:id="725"/>
      <w:bookmarkEnd w:id="729"/>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股权收购意向金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4,000,000.00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5,927,763.09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3,789,494.69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584,370.00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1,345,830.00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1,100,547.22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927,626.80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1,073,079.19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3,308,179.09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-1,662,274.48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-1,780,985.05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7,023,485.02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11,590,145.53</w:t>
            </w:r>
          </w:p>
        </w:tc>
      </w:tr>
    </w:tbl>
    <w:p>
      <w:pPr>
        <w:widowControl w:val="0"/>
        <w:spacing w:after="359" w:line="1" w:lineRule="exact"/>
      </w:pPr>
    </w:p>
    <w:p>
      <w:pPr>
        <w:pStyle w:val="Style31"/>
        <w:keepNext/>
        <w:keepLines/>
        <w:widowControl w:val="0"/>
        <w:numPr>
          <w:ilvl w:val="0"/>
          <w:numId w:val="73"/>
        </w:numPr>
        <w:shd w:val="clear" w:color="auto" w:fill="auto"/>
        <w:bidi w:val="0"/>
        <w:spacing w:before="0" w:line="240" w:lineRule="auto"/>
        <w:ind w:left="0" w:right="0" w:firstLine="0"/>
        <w:jc w:val="left"/>
      </w:pPr>
      <w:bookmarkStart w:id="730" w:name="bookmark730"/>
      <w:bookmarkStart w:id="731" w:name="bookmark731"/>
      <w:bookmarkStart w:id="732" w:name="bookmark732"/>
      <w:bookmarkStart w:id="733" w:name="bookmark733"/>
      <w:bookmarkEnd w:id="732"/>
      <w:r>
        <w:rPr>
          <w:color w:val="000000"/>
          <w:spacing w:val="0"/>
          <w:w w:val="100"/>
          <w:position w:val="0"/>
        </w:rPr>
        <w:t>坏账准备计提情况</w:t>
      </w:r>
      <w:bookmarkEnd w:id="730"/>
      <w:bookmarkEnd w:id="731"/>
      <w:bookmarkEnd w:id="733"/>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06"/>
        <w:gridCol w:w="341"/>
        <w:gridCol w:w="936"/>
        <w:gridCol w:w="936"/>
        <w:gridCol w:w="936"/>
        <w:gridCol w:w="931"/>
        <w:gridCol w:w="998"/>
        <w:gridCol w:w="1133"/>
        <w:gridCol w:w="994"/>
        <w:gridCol w:w="1003"/>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坏账准备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注</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5"/>
                <w:szCs w:val="15"/>
              </w:rPr>
              <w:t>年</w:t>
            </w:r>
          </w:p>
        </w:tc>
        <w:tc>
          <w:tcPr>
            <w:gridSpan w:val="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2020 </w:t>
            </w:r>
            <w:r>
              <w:rPr>
                <w:color w:val="000000"/>
                <w:spacing w:val="0"/>
                <w:w w:val="100"/>
                <w:position w:val="0"/>
                <w:sz w:val="15"/>
                <w:szCs w:val="15"/>
              </w:rPr>
              <w:t>年</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第一阶段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第二阶段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第三阶段</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第一阶段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第二阶段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第三阶段</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right"/>
              <w:rPr>
                <w:sz w:val="15"/>
                <w:szCs w:val="15"/>
              </w:rPr>
            </w:pPr>
            <w:r>
              <w:rPr>
                <w:color w:val="000000"/>
                <w:spacing w:val="0"/>
                <w:w w:val="100"/>
                <w:position w:val="0"/>
                <w:sz w:val="15"/>
                <w:szCs w:val="15"/>
              </w:rPr>
              <w:t>合计</w:t>
            </w:r>
          </w:p>
        </w:tc>
      </w:tr>
      <w:tr>
        <w:trPr>
          <w:trHeight w:val="118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未来</w:t>
            </w:r>
          </w:p>
          <w:p>
            <w:pPr>
              <w:pStyle w:val="Style23"/>
              <w:keepNext w:val="0"/>
              <w:keepLines w:val="0"/>
              <w:widowControl w:val="0"/>
              <w:shd w:val="clear" w:color="auto" w:fill="auto"/>
              <w:bidi w:val="0"/>
              <w:spacing w:before="0" w:after="0" w:line="211" w:lineRule="exact"/>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个月 预期信用</w:t>
            </w:r>
          </w:p>
          <w:p>
            <w:pPr>
              <w:pStyle w:val="Style23"/>
              <w:keepNext w:val="0"/>
              <w:keepLines w:val="0"/>
              <w:widowControl w:val="0"/>
              <w:shd w:val="clear" w:color="auto" w:fill="auto"/>
              <w:bidi w:val="0"/>
              <w:spacing w:before="0" w:after="0" w:line="211" w:lineRule="exact"/>
              <w:ind w:left="0" w:right="0" w:firstLine="480"/>
              <w:jc w:val="left"/>
              <w:rPr>
                <w:sz w:val="15"/>
                <w:szCs w:val="15"/>
              </w:rPr>
            </w:pPr>
            <w:r>
              <w:rPr>
                <w:color w:val="000000"/>
                <w:spacing w:val="0"/>
                <w:w w:val="100"/>
                <w:position w:val="0"/>
                <w:sz w:val="15"/>
                <w:szCs w:val="15"/>
              </w:rPr>
              <w:t>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8" w:lineRule="exact"/>
              <w:ind w:left="0" w:right="0" w:firstLine="0"/>
              <w:jc w:val="center"/>
              <w:rPr>
                <w:sz w:val="15"/>
                <w:szCs w:val="15"/>
              </w:rPr>
            </w:pPr>
            <w:r>
              <w:rPr>
                <w:color w:val="000000"/>
                <w:spacing w:val="0"/>
                <w:w w:val="100"/>
                <w:position w:val="0"/>
                <w:sz w:val="15"/>
                <w:szCs w:val="15"/>
              </w:rPr>
              <w:t>整个存续期 预期信用 损失</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未发 生</w:t>
            </w:r>
          </w:p>
          <w:p>
            <w:pPr>
              <w:pStyle w:val="Style23"/>
              <w:keepNext w:val="0"/>
              <w:keepLines w:val="0"/>
              <w:widowControl w:val="0"/>
              <w:shd w:val="clear" w:color="auto" w:fill="auto"/>
              <w:bidi w:val="0"/>
              <w:spacing w:before="0" w:after="0" w:line="218" w:lineRule="exact"/>
              <w:ind w:left="0" w:right="0" w:firstLine="180"/>
              <w:jc w:val="left"/>
              <w:rPr>
                <w:sz w:val="15"/>
                <w:szCs w:val="15"/>
              </w:rPr>
            </w:pPr>
            <w:r>
              <w:rPr>
                <w:color w:val="000000"/>
                <w:spacing w:val="0"/>
                <w:w w:val="100"/>
                <w:position w:val="0"/>
                <w:sz w:val="15"/>
                <w:szCs w:val="15"/>
              </w:rPr>
              <w:t>信用减值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5" w:lineRule="exact"/>
              <w:ind w:left="0" w:right="0" w:firstLine="0"/>
              <w:jc w:val="center"/>
              <w:rPr>
                <w:sz w:val="15"/>
                <w:szCs w:val="15"/>
              </w:rPr>
            </w:pPr>
            <w:r>
              <w:rPr>
                <w:color w:val="000000"/>
                <w:spacing w:val="0"/>
                <w:w w:val="100"/>
                <w:position w:val="0"/>
                <w:sz w:val="15"/>
                <w:szCs w:val="15"/>
              </w:rPr>
              <w:t>整个存续期 预期信用 损失</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已发 生 信用减值</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197" w:lineRule="exact"/>
              <w:ind w:left="0" w:right="360" w:firstLine="0"/>
              <w:jc w:val="right"/>
              <w:rPr>
                <w:sz w:val="15"/>
                <w:szCs w:val="15"/>
              </w:rPr>
            </w:pPr>
            <w:r>
              <w:rPr>
                <w:color w:val="000000"/>
                <w:spacing w:val="0"/>
                <w:w w:val="100"/>
                <w:position w:val="0"/>
                <w:sz w:val="15"/>
                <w:szCs w:val="15"/>
              </w:rPr>
              <w:t>未来</w:t>
            </w:r>
          </w:p>
          <w:p>
            <w:pPr>
              <w:pStyle w:val="Style23"/>
              <w:keepNext w:val="0"/>
              <w:keepLines w:val="0"/>
              <w:widowControl w:val="0"/>
              <w:shd w:val="clear" w:color="auto" w:fill="auto"/>
              <w:bidi w:val="0"/>
              <w:spacing w:before="0" w:after="40" w:line="197" w:lineRule="exact"/>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个月 预期信用</w:t>
            </w:r>
          </w:p>
          <w:p>
            <w:pPr>
              <w:pStyle w:val="Style23"/>
              <w:keepNext w:val="0"/>
              <w:keepLines w:val="0"/>
              <w:widowControl w:val="0"/>
              <w:shd w:val="clear" w:color="auto" w:fill="auto"/>
              <w:bidi w:val="0"/>
              <w:spacing w:before="0" w:after="40" w:line="197" w:lineRule="exact"/>
              <w:ind w:left="0" w:right="180" w:firstLine="0"/>
              <w:jc w:val="right"/>
              <w:rPr>
                <w:sz w:val="15"/>
                <w:szCs w:val="15"/>
              </w:rPr>
            </w:pPr>
            <w:r>
              <w:rPr>
                <w:color w:val="000000"/>
                <w:spacing w:val="0"/>
                <w:w w:val="100"/>
                <w:position w:val="0"/>
                <w:sz w:val="15"/>
                <w:szCs w:val="15"/>
              </w:rPr>
              <w:t>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1" w:lineRule="exact"/>
              <w:ind w:left="0" w:right="0" w:firstLine="0"/>
              <w:jc w:val="center"/>
              <w:rPr>
                <w:sz w:val="15"/>
                <w:szCs w:val="15"/>
              </w:rPr>
            </w:pPr>
            <w:r>
              <w:rPr>
                <w:color w:val="000000"/>
                <w:spacing w:val="0"/>
                <w:w w:val="100"/>
                <w:position w:val="0"/>
                <w:sz w:val="15"/>
                <w:szCs w:val="15"/>
              </w:rPr>
              <w:t xml:space="preserve">整个存续期 预期信用 损失 </w:t>
            </w:r>
            <w:r>
              <w:rPr>
                <w:rFonts w:ascii="Times New Roman" w:eastAsia="Times New Roman" w:hAnsi="Times New Roman" w:cs="Times New Roman"/>
                <w:color w:val="000000"/>
                <w:spacing w:val="0"/>
                <w:w w:val="100"/>
                <w:position w:val="0"/>
                <w:sz w:val="15"/>
                <w:szCs w:val="15"/>
              </w:rPr>
              <w:t xml:space="preserve">- </w:t>
            </w:r>
            <w:r>
              <w:rPr>
                <w:color w:val="000000"/>
                <w:spacing w:val="0"/>
                <w:w w:val="100"/>
                <w:position w:val="0"/>
                <w:sz w:val="15"/>
                <w:szCs w:val="15"/>
              </w:rPr>
              <w:t>未发生 信用减值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5" w:lineRule="exact"/>
              <w:ind w:left="0" w:right="0" w:firstLine="0"/>
              <w:jc w:val="center"/>
              <w:rPr>
                <w:sz w:val="15"/>
                <w:szCs w:val="15"/>
              </w:rPr>
            </w:pPr>
            <w:r>
              <w:rPr>
                <w:color w:val="000000"/>
                <w:spacing w:val="0"/>
                <w:w w:val="100"/>
                <w:position w:val="0"/>
                <w:sz w:val="15"/>
                <w:szCs w:val="15"/>
              </w:rPr>
              <w:t>整个存续期 预期信用 损失</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已发 生 信用减值</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816,883.54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964,101.51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1,780,985.05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430,357.35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704,247.15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1,134,604.50</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-118,700.84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118,700.84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-140,559.67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140,559.67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本年计提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475,408.74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165,960.19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641,368.93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796,252.98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180,214.95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976,467.93</w:t>
            </w:r>
          </w:p>
        </w:tc>
      </w:tr>
      <w:tr>
        <w:trPr>
          <w:trHeight w:val="48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300" w:right="0" w:hanging="160"/>
              <w:jc w:val="left"/>
              <w:rPr>
                <w:sz w:val="15"/>
                <w:szCs w:val="15"/>
              </w:rPr>
            </w:pPr>
            <w:r>
              <w:rPr>
                <w:color w:val="000000"/>
                <w:spacing w:val="0"/>
                <w:w w:val="100"/>
                <w:position w:val="0"/>
                <w:sz w:val="15"/>
                <w:szCs w:val="15"/>
              </w:rPr>
              <w:t>本年收回或转 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563,401.83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196,677.67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760,079.50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269,167.12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60,920.26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330,087.38</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本年核销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(ii)</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年末余额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610,189.61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1,052,084.87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1,662,274.48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816,883.54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964,101.51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1,780,985.05</w:t>
            </w:r>
          </w:p>
        </w:tc>
      </w:tr>
    </w:tbl>
    <w:p>
      <w:pPr>
        <w:widowControl w:val="0"/>
        <w:spacing w:after="79" w:line="1" w:lineRule="exact"/>
      </w:pPr>
    </w:p>
    <w:p>
      <w:pPr>
        <w:pStyle w:val="Style20"/>
        <w:keepNext w:val="0"/>
        <w:keepLines w:val="0"/>
        <w:widowControl w:val="0"/>
        <w:numPr>
          <w:ilvl w:val="0"/>
          <w:numId w:val="75"/>
        </w:numPr>
        <w:shd w:val="clear" w:color="auto" w:fill="auto"/>
        <w:tabs>
          <w:tab w:pos="430" w:val="left"/>
        </w:tabs>
        <w:bidi w:val="0"/>
        <w:spacing w:before="0" w:after="120" w:line="240" w:lineRule="auto"/>
        <w:ind w:left="0" w:right="0" w:firstLine="0"/>
        <w:jc w:val="left"/>
      </w:pPr>
      <w:bookmarkStart w:id="734" w:name="bookmark734"/>
      <w:bookmarkEnd w:id="734"/>
      <w:r>
        <w:rPr>
          <w:color w:val="000000"/>
          <w:spacing w:val="0"/>
          <w:w w:val="100"/>
          <w:position w:val="0"/>
        </w:rPr>
        <w:t>本年无金额重大的其他应收款坏账准备收回或转回。</w:t>
      </w:r>
    </w:p>
    <w:p>
      <w:pPr>
        <w:pStyle w:val="Style20"/>
        <w:keepNext w:val="0"/>
        <w:keepLines w:val="0"/>
        <w:widowControl w:val="0"/>
        <w:numPr>
          <w:ilvl w:val="0"/>
          <w:numId w:val="75"/>
        </w:numPr>
        <w:shd w:val="clear" w:color="auto" w:fill="auto"/>
        <w:tabs>
          <w:tab w:pos="430" w:val="left"/>
        </w:tabs>
        <w:bidi w:val="0"/>
        <w:spacing w:before="0" w:after="480" w:line="240" w:lineRule="auto"/>
        <w:ind w:left="0" w:right="0" w:firstLine="0"/>
        <w:jc w:val="left"/>
      </w:pPr>
      <w:bookmarkStart w:id="735" w:name="bookmark735"/>
      <w:bookmarkEnd w:id="735"/>
      <w:r>
        <w:rPr>
          <w:color w:val="000000"/>
          <w:spacing w:val="0"/>
          <w:w w:val="100"/>
          <w:position w:val="0"/>
        </w:rPr>
        <w:t>本年无金额重大的其他应收款核销。</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114"/>
        <w:gridCol w:w="2693"/>
        <w:gridCol w:w="2707"/>
      </w:tblGrid>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r>
      <w:tr>
        <w:trPr>
          <w:trHeight w:val="38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1</w:t>
            </w:r>
            <w:r>
              <w:rPr>
                <w:color w:val="000000"/>
                <w:spacing w:val="0"/>
                <w:w w:val="100"/>
                <w:position w:val="0"/>
              </w:rPr>
              <w:t>年</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3,742,612.16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3,373,452.00</w:t>
            </w:r>
          </w:p>
        </w:tc>
      </w:tr>
    </w:tbl>
    <w:p>
      <w:pPr>
        <w:widowControl w:val="0"/>
        <w:spacing w:line="1" w:lineRule="exact"/>
      </w:pPr>
      <w:r>
        <w:br w:type="page"/>
      </w:r>
    </w:p>
    <w:tbl>
      <w:tblPr>
        <w:tblOverlap w:val="never"/>
        <w:jc w:val="center"/>
        <w:tblLayout w:type="fixed"/>
      </w:tblPr>
      <w:tblGrid>
        <w:gridCol w:w="4114"/>
        <w:gridCol w:w="2688"/>
        <w:gridCol w:w="2712"/>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年至</w:t>
            </w:r>
            <w:r>
              <w:rPr>
                <w:rFonts w:ascii="Times New Roman" w:eastAsia="Times New Roman" w:hAnsi="Times New Roman" w:cs="Times New Roman"/>
                <w:color w:val="000000"/>
                <w:spacing w:val="0"/>
                <w:w w:val="100"/>
                <w:position w:val="0"/>
              </w:rPr>
              <w:t>2</w:t>
            </w:r>
            <w:r>
              <w:rPr>
                <w:color w:val="000000"/>
                <w:spacing w:val="0"/>
                <w:w w:val="100"/>
                <w:position w:val="0"/>
              </w:rPr>
              <w:t>年</w:t>
            </w:r>
            <w:r>
              <w:rPr>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2</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1,694,119.77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3,033,263.00</w:t>
            </w:r>
          </w:p>
        </w:tc>
      </w:tr>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年至</w:t>
            </w:r>
            <w:r>
              <w:rPr>
                <w:rFonts w:ascii="Times New Roman" w:eastAsia="Times New Roman" w:hAnsi="Times New Roman" w:cs="Times New Roman"/>
                <w:color w:val="000000"/>
                <w:spacing w:val="0"/>
                <w:w w:val="100"/>
                <w:position w:val="0"/>
              </w:rPr>
              <w:t>3</w:t>
            </w:r>
            <w:r>
              <w:rPr>
                <w:color w:val="000000"/>
                <w:spacing w:val="0"/>
                <w:w w:val="100"/>
                <w:position w:val="0"/>
              </w:rPr>
              <w:t>年</w:t>
            </w:r>
            <w:r>
              <w:rPr>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3</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1,088,182.81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5,100,933.38</w:t>
            </w: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年至</w:t>
            </w:r>
            <w:r>
              <w:rPr>
                <w:rFonts w:ascii="Times New Roman" w:eastAsia="Times New Roman" w:hAnsi="Times New Roman" w:cs="Times New Roman"/>
                <w:color w:val="000000"/>
                <w:spacing w:val="0"/>
                <w:w w:val="100"/>
                <w:position w:val="0"/>
              </w:rPr>
              <w:t>4</w:t>
            </w:r>
            <w:r>
              <w:rPr>
                <w:color w:val="000000"/>
                <w:spacing w:val="0"/>
                <w:w w:val="100"/>
                <w:position w:val="0"/>
              </w:rPr>
              <w:t>年</w:t>
            </w:r>
            <w:r>
              <w:rPr>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4</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403,169.45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1,288,532.20</w:t>
            </w:r>
          </w:p>
        </w:tc>
      </w:tr>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年至</w:t>
            </w:r>
            <w:r>
              <w:rPr>
                <w:rFonts w:ascii="Times New Roman" w:eastAsia="Times New Roman" w:hAnsi="Times New Roman" w:cs="Times New Roman"/>
                <w:color w:val="000000"/>
                <w:spacing w:val="0"/>
                <w:w w:val="100"/>
                <w:position w:val="0"/>
              </w:rPr>
              <w:t>5</w:t>
            </w:r>
            <w:r>
              <w:rPr>
                <w:color w:val="000000"/>
                <w:spacing w:val="0"/>
                <w:w w:val="100"/>
                <w:position w:val="0"/>
              </w:rPr>
              <w:t>年</w:t>
            </w:r>
            <w:r>
              <w:rPr>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1,241,028.00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255,500.00</w:t>
            </w: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516,647.31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319,450.00</w:t>
            </w:r>
          </w:p>
        </w:tc>
      </w:tr>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8,685,759.50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13,371,130.58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1,662,274.48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1,780,985.05</w:t>
            </w:r>
          </w:p>
        </w:tc>
      </w:tr>
      <w:tr>
        <w:trPr>
          <w:trHeight w:val="37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7,023,485.02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11,590,145.53</w:t>
            </w:r>
          </w:p>
        </w:tc>
      </w:tr>
    </w:tbl>
    <w:p>
      <w:pPr>
        <w:widowControl w:val="0"/>
        <w:spacing w:after="679" w:line="1" w:lineRule="exact"/>
      </w:pPr>
    </w:p>
    <w:p>
      <w:pPr>
        <w:pStyle w:val="Style31"/>
        <w:keepNext/>
        <w:keepLines/>
        <w:widowControl w:val="0"/>
        <w:shd w:val="clear" w:color="auto" w:fill="auto"/>
        <w:bidi w:val="0"/>
        <w:spacing w:before="0" w:line="240" w:lineRule="auto"/>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3</w:t>
      </w:r>
      <w:bookmarkEnd w:id="738"/>
      <w:r>
        <w:rPr>
          <w:color w:val="000000"/>
          <w:spacing w:val="0"/>
          <w:w w:val="100"/>
          <w:position w:val="0"/>
        </w:rPr>
        <w:t>）按欠款方归集的期末余额前五名的其他应收款情况</w:t>
      </w:r>
      <w:bookmarkEnd w:id="736"/>
      <w:bookmarkEnd w:id="737"/>
      <w:bookmarkEnd w:id="73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押金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1,994,395.00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99,719.75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押金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947,173.65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94,717.37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押金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633,113.00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335,737.90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押金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押金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101,301.31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101,301.31</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3,875,982.96</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691,476.33</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7</w:t>
      </w:r>
      <w:bookmarkEnd w:id="742"/>
      <w:r>
        <w:rPr>
          <w:color w:val="000000"/>
          <w:spacing w:val="0"/>
          <w:w w:val="100"/>
          <w:position w:val="0"/>
        </w:rPr>
        <w:t>、存货</w:t>
      </w:r>
      <w:bookmarkEnd w:id="740"/>
      <w:bookmarkEnd w:id="741"/>
      <w:bookmarkEnd w:id="743"/>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31"/>
        <w:keepNext/>
        <w:keepLines/>
        <w:widowControl w:val="0"/>
        <w:shd w:val="clear" w:color="auto" w:fill="auto"/>
        <w:bidi w:val="0"/>
        <w:spacing w:before="0" w:line="240" w:lineRule="auto"/>
        <w:ind w:left="0" w:right="0" w:firstLine="0"/>
        <w:jc w:val="left"/>
      </w:pPr>
      <w:bookmarkStart w:id="744" w:name="bookmark744"/>
      <w:bookmarkStart w:id="745" w:name="bookmark745"/>
      <w:bookmarkStart w:id="746" w:name="bookmark746"/>
      <w:bookmarkStart w:id="747" w:name="bookmark747"/>
      <w:r>
        <w:rPr>
          <w:color w:val="000000"/>
          <w:spacing w:val="0"/>
          <w:w w:val="100"/>
          <w:position w:val="0"/>
        </w:rPr>
        <w:t>（</w:t>
      </w:r>
      <w:bookmarkEnd w:id="746"/>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744"/>
      <w:bookmarkEnd w:id="745"/>
      <w:bookmarkEnd w:id="74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3"/>
              <w:keepNext w:val="0"/>
              <w:keepLines w:val="0"/>
              <w:widowControl w:val="0"/>
              <w:shd w:val="clear" w:color="auto" w:fill="auto"/>
              <w:bidi w:val="0"/>
              <w:spacing w:before="0" w:after="100" w:line="240" w:lineRule="auto"/>
              <w:ind w:left="0" w:right="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3"/>
              <w:keepNext w:val="0"/>
              <w:keepLines w:val="0"/>
              <w:widowControl w:val="0"/>
              <w:shd w:val="clear" w:color="auto" w:fill="auto"/>
              <w:bidi w:val="0"/>
              <w:spacing w:before="0" w:after="100" w:line="240" w:lineRule="auto"/>
              <w:ind w:left="0" w:right="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103,429.78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103,429.78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102,552.40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102,552.40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103,429.78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103,429.78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102,552.40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102,552.40</w:t>
            </w:r>
          </w:p>
        </w:tc>
      </w:tr>
    </w:tbl>
    <w:p>
      <w:pPr>
        <w:spacing w:lineRule="exact" w:line="1"/>
        <w:rPr>
          <w:sz w:val="2"/>
          <w:szCs w:val="2"/>
        </w:rPr>
      </w:pPr>
      <w:r>
        <w:br w:type="page"/>
      </w:r>
    </w:p>
    <w:p>
      <w:pPr>
        <w:pStyle w:val="Style31"/>
        <w:keepNext/>
        <w:keepLines/>
        <w:widowControl w:val="0"/>
        <w:shd w:val="clear" w:color="auto" w:fill="auto"/>
        <w:bidi w:val="0"/>
        <w:spacing w:before="0" w:line="240" w:lineRule="auto"/>
        <w:ind w:left="0" w:right="0" w:firstLine="0"/>
        <w:jc w:val="both"/>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8</w:t>
      </w:r>
      <w:bookmarkEnd w:id="750"/>
      <w:r>
        <w:rPr>
          <w:color w:val="000000"/>
          <w:spacing w:val="0"/>
          <w:w w:val="100"/>
          <w:position w:val="0"/>
        </w:rPr>
        <w:t>、合同资产</w:t>
      </w:r>
      <w:bookmarkEnd w:id="748"/>
      <w:bookmarkEnd w:id="749"/>
      <w:bookmarkEnd w:id="75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提供服务产生的合同资产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113,447,061.46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5,650,368.06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107,796,693.40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77,105,352.91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4,626,321.17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72,479,031.74</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113,447,061.46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5,650,368.06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107,796,693.40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77,105,352.91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4,626,321.17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72,479,031.74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19" w:line="1" w:lineRule="exact"/>
      </w:pPr>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594"/>
        <w:gridCol w:w="4920"/>
      </w:tblGrid>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变动金额</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年初余额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340" w:right="0" w:firstLine="0"/>
              <w:jc w:val="left"/>
            </w:pPr>
            <w:r>
              <w:rPr>
                <w:rFonts w:ascii="Times New Roman" w:eastAsia="Times New Roman" w:hAnsi="Times New Roman" w:cs="Times New Roman"/>
                <w:color w:val="000000"/>
                <w:spacing w:val="0"/>
                <w:w w:val="100"/>
                <w:position w:val="0"/>
              </w:rPr>
              <w:t>77,105,352.91</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减：从年初确认的合同资产于本年结算并收款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340" w:right="0" w:firstLine="0"/>
              <w:jc w:val="left"/>
            </w:pPr>
            <w:r>
              <w:rPr>
                <w:rFonts w:ascii="Times New Roman" w:eastAsia="Times New Roman" w:hAnsi="Times New Roman" w:cs="Times New Roman"/>
                <w:color w:val="000000"/>
                <w:spacing w:val="0"/>
                <w:w w:val="100"/>
                <w:position w:val="0"/>
              </w:rPr>
              <w:t>12,363,796.66</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加：由于履约进度计量的变化而增加的金额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340" w:right="0" w:firstLine="0"/>
              <w:jc w:val="left"/>
            </w:pPr>
            <w:r>
              <w:rPr>
                <w:rFonts w:ascii="Times New Roman" w:eastAsia="Times New Roman" w:hAnsi="Times New Roman" w:cs="Times New Roman"/>
                <w:color w:val="000000"/>
                <w:spacing w:val="0"/>
                <w:w w:val="100"/>
                <w:position w:val="0"/>
              </w:rPr>
              <w:t>48,705,505.21</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年末金额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540" w:firstLine="0"/>
              <w:jc w:val="right"/>
            </w:pPr>
            <w:r>
              <w:rPr>
                <w:rFonts w:ascii="Times New Roman" w:eastAsia="Times New Roman" w:hAnsi="Times New Roman" w:cs="Times New Roman"/>
                <w:color w:val="000000"/>
                <w:spacing w:val="0"/>
                <w:w w:val="100"/>
                <w:position w:val="0"/>
              </w:rPr>
              <w:t>113,447,061.46</w:t>
            </w:r>
          </w:p>
        </w:tc>
      </w:tr>
    </w:tbl>
    <w:p>
      <w:pPr>
        <w:widowControl w:val="0"/>
        <w:spacing w:after="439" w:line="1" w:lineRule="exact"/>
      </w:pP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如是按照预期信用损失一般模型计提合同资产坏账准备，请参照其他应收款的披露方式披露坏账准备的相关信息:</w:t>
      </w:r>
    </w:p>
    <w:p>
      <w:pPr>
        <w:pStyle w:val="Style2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本期合同资产计提减值准备情况</w:t>
      </w:r>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86"/>
        <w:gridCol w:w="1699"/>
        <w:gridCol w:w="1704"/>
        <w:gridCol w:w="1699"/>
        <w:gridCol w:w="2026"/>
      </w:tblGrid>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本年收回或转回</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年末余额</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提供服务产生的合同资产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4,626,321.17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1,765,874.59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741,827.70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5,650,368.06</w:t>
            </w:r>
          </w:p>
        </w:tc>
      </w:tr>
    </w:tbl>
    <w:p>
      <w:pPr>
        <w:widowControl w:val="0"/>
        <w:spacing w:after="679" w:line="1" w:lineRule="exact"/>
      </w:pPr>
    </w:p>
    <w:p>
      <w:pPr>
        <w:pStyle w:val="Style31"/>
        <w:keepNext/>
        <w:keepLines/>
        <w:widowControl w:val="0"/>
        <w:shd w:val="clear" w:color="auto" w:fill="auto"/>
        <w:bidi w:val="0"/>
        <w:spacing w:before="0" w:line="240" w:lineRule="auto"/>
        <w:ind w:left="0" w:right="0" w:firstLine="0"/>
        <w:jc w:val="both"/>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9</w:t>
      </w:r>
      <w:bookmarkEnd w:id="754"/>
      <w:r>
        <w:rPr>
          <w:color w:val="000000"/>
          <w:spacing w:val="0"/>
          <w:w w:val="100"/>
          <w:position w:val="0"/>
        </w:rPr>
        <w:t>、其他流动资产</w:t>
      </w:r>
      <w:bookmarkEnd w:id="752"/>
      <w:bookmarkEnd w:id="753"/>
      <w:bookmarkEnd w:id="75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2,093,013.87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9,427,105.34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2,736,299.44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3,709,930.78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4,829,313.31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13,137,036.12</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both"/>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1</w:t>
      </w:r>
      <w:bookmarkEnd w:id="758"/>
      <w:r>
        <w:rPr>
          <w:rFonts w:ascii="Times New Roman" w:eastAsia="Times New Roman" w:hAnsi="Times New Roman" w:cs="Times New Roman"/>
          <w:color w:val="000000"/>
          <w:spacing w:val="0"/>
          <w:w w:val="100"/>
          <w:position w:val="0"/>
        </w:rPr>
        <w:t>0</w:t>
      </w:r>
      <w:r>
        <w:rPr>
          <w:color w:val="000000"/>
          <w:spacing w:val="0"/>
          <w:w w:val="100"/>
          <w:position w:val="0"/>
        </w:rPr>
        <w:t>、长期股权投资</w:t>
      </w:r>
      <w:bookmarkEnd w:id="756"/>
      <w:bookmarkEnd w:id="757"/>
      <w:bookmarkEnd w:id="759"/>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长期股权投资分类如下:</w:t>
      </w:r>
    </w:p>
    <w:tbl>
      <w:tblPr>
        <w:tblOverlap w:val="never"/>
        <w:jc w:val="center"/>
        <w:tblLayout w:type="fixed"/>
      </w:tblPr>
      <w:tblGrid>
        <w:gridCol w:w="5222"/>
        <w:gridCol w:w="1982"/>
        <w:gridCol w:w="2304"/>
      </w:tblGrid>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对联营企业的投资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3,430,264.03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3,610,696.80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w:t>
            </w:r>
          </w:p>
        </w:tc>
      </w:tr>
      <w:tr>
        <w:trPr>
          <w:trHeight w:val="33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3,430,264.03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3,610,696.80</w:t>
            </w:r>
          </w:p>
        </w:tc>
      </w:tr>
    </w:tbl>
    <w:p>
      <w:pPr>
        <w:spacing w:lineRule="exact" w:line="1"/>
        <w:rPr>
          <w:sz w:val="2"/>
          <w:szCs w:val="2"/>
        </w:rPr>
      </w:pPr>
      <w:r>
        <w:br w:type="page"/>
      </w:r>
    </w:p>
    <w:p>
      <w:pPr>
        <w:pStyle w:val="Style20"/>
        <w:keepNext w:val="0"/>
        <w:keepLines w:val="0"/>
        <w:widowControl w:val="0"/>
        <w:pBdr>
          <w:top w:val="single" w:sz="4" w:space="0" w:color="auto"/>
        </w:pBdr>
        <w:shd w:val="clear" w:color="auto" w:fill="auto"/>
        <w:bidi w:val="0"/>
        <w:spacing w:before="0" w:after="120" w:line="240" w:lineRule="auto"/>
        <w:ind w:left="0" w:right="0" w:firstLine="0"/>
        <w:jc w:val="left"/>
      </w:pPr>
      <w:r>
        <w:rPr>
          <w:color w:val="000000"/>
          <w:spacing w:val="0"/>
          <w:w w:val="100"/>
          <w:position w:val="0"/>
        </w:rPr>
        <w:t>长期股权投资本年变动情况分析如下:</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133"/>
        <w:gridCol w:w="427"/>
        <w:gridCol w:w="422"/>
        <w:gridCol w:w="994"/>
        <w:gridCol w:w="706"/>
        <w:gridCol w:w="571"/>
        <w:gridCol w:w="850"/>
        <w:gridCol w:w="422"/>
        <w:gridCol w:w="283"/>
        <w:gridCol w:w="1138"/>
        <w:gridCol w:w="509"/>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gridSpan w:val="8"/>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减值 准备 期末 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追加</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权益法下确</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认的投资损</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其他综</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合收益</w:t>
            </w:r>
          </w:p>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宣告发放</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现金股利</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或利润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计提</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减值</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荆门玖伊园科技有限公司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1,052,006.89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66,044.88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1,118,051.77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雄安绿研智库有限公司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2,139,661.97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172,550.29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2,312,212.26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六邻科技</w:t>
            </w:r>
            <w:r>
              <w:rPr>
                <w:color w:val="000000"/>
                <w:spacing w:val="0"/>
                <w:w w:val="100"/>
                <w:position w:val="0"/>
              </w:rPr>
              <w:t>（</w:t>
            </w:r>
            <w:r>
              <w:rPr>
                <w:color w:val="000000"/>
                <w:spacing w:val="0"/>
                <w:w w:val="100"/>
                <w:position w:val="0"/>
              </w:rPr>
              <w:t>北京</w:t>
            </w:r>
            <w:r>
              <w:rPr>
                <w:color w:val="000000"/>
                <w:spacing w:val="0"/>
                <w:w w:val="100"/>
                <w:position w:val="0"/>
              </w:rPr>
              <w:t>）</w:t>
            </w:r>
            <w:r>
              <w:rPr>
                <w:color w:val="000000"/>
                <w:spacing w:val="0"/>
                <w:w w:val="100"/>
                <w:position w:val="0"/>
              </w:rPr>
              <w:t>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419,027.94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-419,027.94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湖北荆广建土地评估咨询 有限公司</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3,610,696.80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-180,432.77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3,430,264.03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3,610,696.80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-180,432.77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3,430,264.03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w:t>
      </w:r>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该公司为湖北建胜持股</w:t>
      </w:r>
      <w:r>
        <w:rPr>
          <w:rFonts w:ascii="Times New Roman" w:eastAsia="Times New Roman" w:hAnsi="Times New Roman" w:cs="Times New Roman"/>
          <w:color w:val="000000"/>
          <w:spacing w:val="0"/>
          <w:w w:val="100"/>
          <w:position w:val="0"/>
        </w:rPr>
        <w:t>49%</w:t>
      </w:r>
      <w:r>
        <w:rPr>
          <w:color w:val="000000"/>
          <w:spacing w:val="0"/>
          <w:w w:val="100"/>
          <w:position w:val="0"/>
        </w:rPr>
        <w:t>的联营企业，截至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日，本集团未对其出资，该公司尚未开展任何业务。</w:t>
      </w:r>
    </w:p>
    <w:p>
      <w:pPr>
        <w:pStyle w:val="Style31"/>
        <w:keepNext/>
        <w:keepLines/>
        <w:widowControl w:val="0"/>
        <w:shd w:val="clear" w:color="auto" w:fill="auto"/>
        <w:bidi w:val="0"/>
        <w:spacing w:before="0" w:line="240"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1</w:t>
      </w:r>
      <w:bookmarkEnd w:id="762"/>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760"/>
      <w:bookmarkEnd w:id="761"/>
      <w:bookmarkEnd w:id="76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105,683,693.68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109,460,063.66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105,683,693.68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109,460,063.66</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764" w:name="bookmark764"/>
      <w:bookmarkStart w:id="765" w:name="bookmark765"/>
      <w:bookmarkStart w:id="766" w:name="bookmark766"/>
      <w:bookmarkStart w:id="767" w:name="bookmark767"/>
      <w:r>
        <w:rPr>
          <w:color w:val="000000"/>
          <w:spacing w:val="0"/>
          <w:w w:val="100"/>
          <w:position w:val="0"/>
        </w:rPr>
        <w:t>（</w:t>
      </w:r>
      <w:bookmarkEnd w:id="766"/>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764"/>
      <w:bookmarkEnd w:id="765"/>
      <w:bookmarkEnd w:id="76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238"/>
        <w:gridCol w:w="1238"/>
        <w:gridCol w:w="1243"/>
        <w:gridCol w:w="1238"/>
        <w:gridCol w:w="1138"/>
        <w:gridCol w:w="1354"/>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办公设备及 其他</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105,747,668.32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74,477,947.70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2,597,231.31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23,384,867.67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28,266,104.10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234,473,819.10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4,857,451.85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378,380.53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11,538,171.38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505,493.87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17,279,497.63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89" w:right="1018" w:bottom="1171" w:left="1038" w:header="0" w:footer="3" w:gutter="0"/>
          <w:cols w:space="720"/>
          <w:noEndnote/>
          <w:rtlGutter w:val="0"/>
          <w:docGrid w:linePitch="360"/>
        </w:sectPr>
      </w:pPr>
    </w:p>
    <w:tbl>
      <w:tblPr>
        <w:tblOverlap w:val="never"/>
        <w:jc w:val="center"/>
        <w:tblLayout w:type="fixed"/>
      </w:tblPr>
      <w:tblGrid>
        <w:gridCol w:w="2131"/>
        <w:gridCol w:w="1238"/>
        <w:gridCol w:w="1238"/>
        <w:gridCol w:w="1238"/>
        <w:gridCol w:w="1243"/>
        <w:gridCol w:w="1138"/>
        <w:gridCol w:w="1354"/>
      </w:tblGrid>
      <w:tr>
        <w:trPr>
          <w:trHeight w:val="4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45,538.47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1,754,530.49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3,035,068.96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105,747,668.32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79,289,861.08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1,740,611.84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34,923,039.05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27,017,067.48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248,718,247.77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40,955,858.69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52,066,608.51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1,196,548.69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6,929,427.08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23,865,312.47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125,013,755.44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4,268,956.32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8,648,307.89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215,644.91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6,146,452.44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1,727,003.62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21,006,365.18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45,538.47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1,186,525.00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1,753,503.06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2,985,566.53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45,224,815.01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60,669,377.93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225,668.60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13,075,879.52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23,838,813.03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143,034,554.09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60,522,853.31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18,620,483.15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1,514,943.24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21,847,159.53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3,178,254.45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105,683,693.68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64,791,809.63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22,411,339.19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1,400,682.62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16,455,440.59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4,400,791.63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109,460,063.66</w:t>
            </w:r>
          </w:p>
        </w:tc>
      </w:tr>
    </w:tbl>
    <w:p>
      <w:pPr>
        <w:widowControl w:val="0"/>
        <w:spacing w:after="59" w:line="1" w:lineRule="exact"/>
      </w:pPr>
    </w:p>
    <w:p>
      <w:pPr>
        <w:pStyle w:val="Style20"/>
        <w:keepNext w:val="0"/>
        <w:keepLines w:val="0"/>
        <w:widowControl w:val="0"/>
        <w:numPr>
          <w:ilvl w:val="0"/>
          <w:numId w:val="77"/>
        </w:numPr>
        <w:shd w:val="clear" w:color="auto" w:fill="auto"/>
        <w:tabs>
          <w:tab w:pos="428" w:val="left"/>
        </w:tabs>
        <w:bidi w:val="0"/>
        <w:spacing w:before="0" w:after="120" w:line="240" w:lineRule="auto"/>
        <w:ind w:left="0" w:right="0" w:firstLine="0"/>
        <w:jc w:val="left"/>
      </w:pPr>
      <w:bookmarkStart w:id="768" w:name="bookmark768"/>
      <w:bookmarkEnd w:id="768"/>
      <w:r>
        <w:rPr>
          <w:color w:val="000000"/>
          <w:spacing w:val="0"/>
          <w:w w:val="100"/>
          <w:position w:val="0"/>
        </w:rPr>
        <w:t>本报告期无暂时闲置的固定资产。</w:t>
      </w:r>
    </w:p>
    <w:p>
      <w:pPr>
        <w:pStyle w:val="Style20"/>
        <w:keepNext w:val="0"/>
        <w:keepLines w:val="0"/>
        <w:widowControl w:val="0"/>
        <w:numPr>
          <w:ilvl w:val="0"/>
          <w:numId w:val="77"/>
        </w:numPr>
        <w:shd w:val="clear" w:color="auto" w:fill="auto"/>
        <w:tabs>
          <w:tab w:pos="428" w:val="left"/>
        </w:tabs>
        <w:bidi w:val="0"/>
        <w:spacing w:before="0" w:after="120" w:line="240" w:lineRule="auto"/>
        <w:ind w:left="0" w:right="0" w:firstLine="0"/>
        <w:jc w:val="left"/>
      </w:pPr>
      <w:bookmarkStart w:id="769" w:name="bookmark769"/>
      <w:bookmarkEnd w:id="769"/>
      <w:r>
        <w:rPr>
          <w:color w:val="000000"/>
          <w:spacing w:val="0"/>
          <w:w w:val="100"/>
          <w:position w:val="0"/>
        </w:rPr>
        <w:t>本报告期无通过融资租赁租入的固定资产。</w:t>
      </w:r>
    </w:p>
    <w:p>
      <w:pPr>
        <w:pStyle w:val="Style20"/>
        <w:keepNext w:val="0"/>
        <w:keepLines w:val="0"/>
        <w:widowControl w:val="0"/>
        <w:numPr>
          <w:ilvl w:val="0"/>
          <w:numId w:val="77"/>
        </w:numPr>
        <w:shd w:val="clear" w:color="auto" w:fill="auto"/>
        <w:tabs>
          <w:tab w:pos="428" w:val="left"/>
        </w:tabs>
        <w:bidi w:val="0"/>
        <w:spacing w:before="0" w:after="120" w:line="240" w:lineRule="auto"/>
        <w:ind w:left="0" w:right="0" w:firstLine="0"/>
        <w:jc w:val="left"/>
      </w:pPr>
      <w:bookmarkStart w:id="770" w:name="bookmark770"/>
      <w:bookmarkEnd w:id="770"/>
      <w:r>
        <w:rPr>
          <w:color w:val="000000"/>
          <w:spacing w:val="0"/>
          <w:w w:val="100"/>
          <w:position w:val="0"/>
        </w:rPr>
        <w:t>通过经营租赁租出的固定资产</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本报告期本集团的房屋及建筑物有少部分闲置面积暂时用于对外出租。</w:t>
      </w:r>
    </w:p>
    <w:p>
      <w:pPr>
        <w:pStyle w:val="Style20"/>
        <w:keepNext w:val="0"/>
        <w:keepLines w:val="0"/>
        <w:widowControl w:val="0"/>
        <w:numPr>
          <w:ilvl w:val="0"/>
          <w:numId w:val="77"/>
        </w:numPr>
        <w:shd w:val="clear" w:color="auto" w:fill="auto"/>
        <w:tabs>
          <w:tab w:pos="428" w:val="left"/>
        </w:tabs>
        <w:bidi w:val="0"/>
        <w:spacing w:before="0" w:after="120" w:line="240" w:lineRule="auto"/>
        <w:ind w:left="0" w:right="0" w:firstLine="0"/>
        <w:jc w:val="left"/>
      </w:pPr>
      <w:bookmarkStart w:id="771" w:name="bookmark771"/>
      <w:bookmarkEnd w:id="771"/>
      <w:r>
        <w:rPr>
          <w:color w:val="000000"/>
          <w:spacing w:val="0"/>
          <w:w w:val="100"/>
          <w:position w:val="0"/>
        </w:rPr>
        <w:t>本报告期无未办妥产权证书的固定资产。</w:t>
      </w:r>
    </w:p>
    <w:p>
      <w:pPr>
        <w:pStyle w:val="Style20"/>
        <w:keepNext w:val="0"/>
        <w:keepLines w:val="0"/>
        <w:widowControl w:val="0"/>
        <w:numPr>
          <w:ilvl w:val="0"/>
          <w:numId w:val="77"/>
        </w:numPr>
        <w:shd w:val="clear" w:color="auto" w:fill="auto"/>
        <w:tabs>
          <w:tab w:pos="428" w:val="left"/>
        </w:tabs>
        <w:bidi w:val="0"/>
        <w:spacing w:before="0" w:after="340" w:line="240" w:lineRule="auto"/>
        <w:ind w:left="0" w:right="0" w:firstLine="0"/>
        <w:jc w:val="left"/>
      </w:pPr>
      <w:bookmarkStart w:id="772" w:name="bookmark772"/>
      <w:bookmarkEnd w:id="772"/>
      <w:r>
        <w:rPr>
          <w:color w:val="000000"/>
          <w:spacing w:val="0"/>
          <w:w w:val="100"/>
          <w:position w:val="0"/>
        </w:rPr>
        <w:t>本报告期末无用于抵押的固定资产。</w:t>
      </w:r>
    </w:p>
    <w:p>
      <w:pPr>
        <w:pStyle w:val="Style31"/>
        <w:keepNext/>
        <w:keepLines/>
        <w:widowControl w:val="0"/>
        <w:shd w:val="clear" w:color="auto" w:fill="auto"/>
        <w:bidi w:val="0"/>
        <w:spacing w:before="0" w:after="340" w:line="240" w:lineRule="auto"/>
        <w:ind w:left="0" w:right="0" w:firstLine="0"/>
        <w:jc w:val="left"/>
      </w:pPr>
      <w:bookmarkStart w:id="773" w:name="bookmark773"/>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1</w:t>
      </w:r>
      <w:bookmarkEnd w:id="775"/>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773"/>
      <w:bookmarkEnd w:id="774"/>
      <w:bookmarkEnd w:id="77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394,651,249.73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331,186,836.96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394,651,249.73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331,186,836.96</w:t>
            </w:r>
          </w:p>
        </w:tc>
      </w:tr>
    </w:tbl>
    <w:p>
      <w:pPr>
        <w:widowControl w:val="0"/>
        <w:spacing w:after="339" w:line="1" w:lineRule="exact"/>
      </w:pPr>
    </w:p>
    <w:p>
      <w:pPr>
        <w:pStyle w:val="Style31"/>
        <w:keepNext/>
        <w:keepLines/>
        <w:widowControl w:val="0"/>
        <w:numPr>
          <w:ilvl w:val="0"/>
          <w:numId w:val="79"/>
        </w:numPr>
        <w:shd w:val="clear" w:color="auto" w:fill="auto"/>
        <w:bidi w:val="0"/>
        <w:spacing w:before="0" w:after="340" w:line="240" w:lineRule="auto"/>
        <w:ind w:left="0" w:right="0" w:firstLine="0"/>
        <w:jc w:val="left"/>
      </w:pPr>
      <w:bookmarkStart w:id="777" w:name="bookmark777"/>
      <w:bookmarkStart w:id="778" w:name="bookmark778"/>
      <w:bookmarkStart w:id="779" w:name="bookmark779"/>
      <w:bookmarkStart w:id="780" w:name="bookmark780"/>
      <w:bookmarkEnd w:id="779"/>
      <w:r>
        <w:rPr>
          <w:color w:val="000000"/>
          <w:spacing w:val="0"/>
          <w:w w:val="100"/>
          <w:position w:val="0"/>
        </w:rPr>
        <w:t>在建工程情况</w:t>
      </w:r>
      <w:bookmarkEnd w:id="777"/>
      <w:bookmarkEnd w:id="778"/>
      <w:bookmarkEnd w:id="78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未来大厦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394,651,249.73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394,651,249.73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331,186,836.96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331,186,836.96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394,651,249.73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394,651,249.73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331,186,836.96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331,186,836.96</w:t>
            </w:r>
          </w:p>
        </w:tc>
      </w:tr>
    </w:tbl>
    <w:p>
      <w:pPr>
        <w:widowControl w:val="0"/>
        <w:spacing w:after="339" w:line="1" w:lineRule="exact"/>
      </w:pPr>
    </w:p>
    <w:p>
      <w:pPr>
        <w:pStyle w:val="Style31"/>
        <w:keepNext/>
        <w:keepLines/>
        <w:widowControl w:val="0"/>
        <w:numPr>
          <w:ilvl w:val="0"/>
          <w:numId w:val="79"/>
        </w:numPr>
        <w:shd w:val="clear" w:color="auto" w:fill="auto"/>
        <w:bidi w:val="0"/>
        <w:spacing w:before="0" w:after="240" w:line="240" w:lineRule="auto"/>
        <w:ind w:left="0" w:right="0" w:firstLine="0"/>
        <w:jc w:val="left"/>
        <w:sectPr>
          <w:footnotePr>
            <w:pos w:val="pageBottom"/>
            <w:numFmt w:val="decimal"/>
            <w:numRestart w:val="continuous"/>
          </w:footnotePr>
          <w:pgSz w:w="11900" w:h="16840"/>
          <w:pgMar w:top="1436" w:right="1109" w:bottom="1686" w:left="1104" w:header="0" w:footer="3" w:gutter="0"/>
          <w:cols w:space="720"/>
          <w:noEndnote/>
          <w:rtlGutter w:val="0"/>
          <w:docGrid w:linePitch="360"/>
        </w:sectPr>
      </w:pPr>
      <w:bookmarkStart w:id="781" w:name="bookmark781"/>
      <w:bookmarkStart w:id="782" w:name="bookmark782"/>
      <w:bookmarkStart w:id="783" w:name="bookmark783"/>
      <w:bookmarkStart w:id="784" w:name="bookmark784"/>
      <w:bookmarkEnd w:id="783"/>
      <w:r>
        <w:rPr>
          <w:color w:val="000000"/>
          <w:spacing w:val="0"/>
          <w:w w:val="100"/>
          <w:position w:val="0"/>
        </w:rPr>
        <w:t>重要在建工程项目本期变动情况</w:t>
      </w:r>
      <w:bookmarkEnd w:id="781"/>
      <w:bookmarkEnd w:id="782"/>
      <w:bookmarkEnd w:id="784"/>
    </w:p>
    <w:tbl>
      <w:tblPr>
        <w:tblOverlap w:val="never"/>
        <w:jc w:val="center"/>
        <w:tblLayout w:type="fixed"/>
      </w:tblPr>
      <w:tblGrid>
        <w:gridCol w:w="571"/>
        <w:gridCol w:w="898"/>
        <w:gridCol w:w="739"/>
        <w:gridCol w:w="734"/>
        <w:gridCol w:w="734"/>
        <w:gridCol w:w="739"/>
        <w:gridCol w:w="734"/>
        <w:gridCol w:w="734"/>
        <w:gridCol w:w="739"/>
        <w:gridCol w:w="734"/>
        <w:gridCol w:w="734"/>
        <w:gridCol w:w="754"/>
        <w:gridCol w:w="730"/>
      </w:tblGrid>
      <w:tr>
        <w:trPr>
          <w:trHeight w:val="135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预算数</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（含税）</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期初余 额（不 含税）</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加金额</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（不含</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本期其</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他减少</w:t>
            </w:r>
          </w:p>
          <w:p>
            <w:pPr>
              <w:pStyle w:val="Style2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额（不 含税）</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其中：</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本期利</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息资本</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化金额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本期利</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息资本</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化率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575,158,30</w:t>
            </w:r>
          </w:p>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331,186,</w:t>
            </w:r>
          </w:p>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836.96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63,464,4</w:t>
            </w:r>
          </w:p>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394,651,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30,713,8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11,493,5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金及银</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行借款</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575,158,30</w:t>
            </w:r>
          </w:p>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331,186,</w:t>
            </w:r>
          </w:p>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836.96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63,464,4</w:t>
            </w:r>
          </w:p>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394,651,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249.73</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30,713,8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11,493,5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w:t>
      </w:r>
    </w:p>
    <w:p>
      <w:pPr>
        <w:pStyle w:val="Style20"/>
        <w:keepNext w:val="0"/>
        <w:keepLines w:val="0"/>
        <w:widowControl w:val="0"/>
        <w:shd w:val="clear" w:color="auto" w:fill="auto"/>
        <w:tabs>
          <w:tab w:pos="339" w:val="left"/>
        </w:tabs>
        <w:bidi w:val="0"/>
        <w:spacing w:before="0" w:after="0" w:line="317" w:lineRule="exact"/>
        <w:ind w:left="0" w:right="0" w:firstLine="0"/>
        <w:jc w:val="left"/>
      </w:pPr>
      <w:bookmarkStart w:id="785" w:name="bookmark785"/>
      <w:r>
        <w:rPr>
          <w:rFonts w:ascii="Times New Roman" w:eastAsia="Times New Roman" w:hAnsi="Times New Roman" w:cs="Times New Roman"/>
          <w:color w:val="000000"/>
          <w:spacing w:val="0"/>
          <w:w w:val="100"/>
          <w:position w:val="0"/>
        </w:rPr>
        <w:t>1</w:t>
      </w:r>
      <w:bookmarkEnd w:id="785"/>
      <w:r>
        <w:rPr>
          <w:rFonts w:ascii="Times New Roman" w:eastAsia="Times New Roman" w:hAnsi="Times New Roman" w:cs="Times New Roman"/>
          <w:color w:val="000000"/>
          <w:spacing w:val="0"/>
          <w:w w:val="100"/>
          <w:position w:val="0"/>
        </w:rPr>
        <w:t>）</w:t>
        <w:tab/>
      </w:r>
      <w:r>
        <w:rPr>
          <w:color w:val="000000"/>
          <w:spacing w:val="0"/>
          <w:w w:val="100"/>
          <w:position w:val="0"/>
        </w:rPr>
        <w:t>建科院未来大厦原名</w:t>
      </w:r>
      <w:r>
        <w:rPr>
          <w:rFonts w:ascii="Times New Roman" w:eastAsia="Times New Roman" w:hAnsi="Times New Roman" w:cs="Times New Roman"/>
          <w:color w:val="000000"/>
          <w:spacing w:val="0"/>
          <w:w w:val="100"/>
          <w:position w:val="0"/>
        </w:rPr>
        <w:t>“</w:t>
      </w:r>
      <w:r>
        <w:rPr>
          <w:color w:val="000000"/>
          <w:spacing w:val="0"/>
          <w:w w:val="100"/>
          <w:position w:val="0"/>
        </w:rPr>
        <w:t>中美低碳建筑与社区创新实验中心</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号取得深地名许字</w:t>
      </w:r>
      <w:r>
        <w:rPr>
          <w:rFonts w:ascii="Times New Roman" w:eastAsia="Times New Roman" w:hAnsi="Times New Roman" w:cs="Times New Roman"/>
          <w:color w:val="000000"/>
          <w:spacing w:val="0"/>
          <w:w w:val="100"/>
          <w:position w:val="0"/>
        </w:rPr>
        <w:t>LG201710399</w:t>
      </w:r>
      <w:r>
        <w:rPr>
          <w:color w:val="000000"/>
          <w:spacing w:val="0"/>
          <w:w w:val="100"/>
          <w:position w:val="0"/>
        </w:rPr>
        <w:t>号深圳市建筑 物命名批复书。</w:t>
      </w:r>
    </w:p>
    <w:p>
      <w:pPr>
        <w:pStyle w:val="Style20"/>
        <w:keepNext w:val="0"/>
        <w:keepLines w:val="0"/>
        <w:widowControl w:val="0"/>
        <w:shd w:val="clear" w:color="auto" w:fill="auto"/>
        <w:tabs>
          <w:tab w:pos="349" w:val="left"/>
        </w:tabs>
        <w:bidi w:val="0"/>
        <w:spacing w:before="0" w:after="0" w:line="312" w:lineRule="exact"/>
        <w:ind w:left="0" w:right="0" w:firstLine="0"/>
        <w:jc w:val="left"/>
      </w:pPr>
      <w:bookmarkStart w:id="786" w:name="bookmark786"/>
      <w:r>
        <w:rPr>
          <w:rFonts w:ascii="Times New Roman" w:eastAsia="Times New Roman" w:hAnsi="Times New Roman" w:cs="Times New Roman"/>
          <w:color w:val="000000"/>
          <w:spacing w:val="0"/>
          <w:w w:val="100"/>
          <w:position w:val="0"/>
        </w:rPr>
        <w:t>2</w:t>
      </w:r>
      <w:bookmarkEnd w:id="786"/>
      <w:r>
        <w:rPr>
          <w:rFonts w:ascii="Times New Roman" w:eastAsia="Times New Roman" w:hAnsi="Times New Roman" w:cs="Times New Roman"/>
          <w:color w:val="000000"/>
          <w:spacing w:val="0"/>
          <w:w w:val="100"/>
          <w:position w:val="0"/>
        </w:rPr>
        <w:t>）</w:t>
        <w:tab/>
      </w:r>
      <w:r>
        <w:rPr>
          <w:color w:val="000000"/>
          <w:spacing w:val="0"/>
          <w:w w:val="100"/>
          <w:position w:val="0"/>
        </w:rPr>
        <w:t>未来大厦于</w:t>
      </w:r>
      <w:r>
        <w:rPr>
          <w:rFonts w:ascii="Times New Roman" w:eastAsia="Times New Roman" w:hAnsi="Times New Roman" w:cs="Times New Roman"/>
          <w:color w:val="000000"/>
          <w:spacing w:val="0"/>
          <w:w w:val="100"/>
          <w:position w:val="0"/>
        </w:rPr>
        <w:t>2021</w:t>
      </w:r>
      <w:r>
        <w:rPr>
          <w:color w:val="000000"/>
          <w:spacing w:val="0"/>
          <w:w w:val="100"/>
          <w:position w:val="0"/>
        </w:rPr>
        <w:t>年年中完成可研修编，预算总投资额从人民币</w:t>
      </w:r>
      <w:r>
        <w:rPr>
          <w:rFonts w:ascii="Times New Roman" w:eastAsia="Times New Roman" w:hAnsi="Times New Roman" w:cs="Times New Roman"/>
          <w:color w:val="000000"/>
          <w:spacing w:val="0"/>
          <w:w w:val="100"/>
          <w:position w:val="0"/>
        </w:rPr>
        <w:t>4.79</w:t>
      </w:r>
      <w:r>
        <w:rPr>
          <w:color w:val="000000"/>
          <w:spacing w:val="0"/>
          <w:w w:val="100"/>
          <w:position w:val="0"/>
        </w:rPr>
        <w:t>亿元调至人民币</w:t>
      </w:r>
      <w:r>
        <w:rPr>
          <w:rFonts w:ascii="Times New Roman" w:eastAsia="Times New Roman" w:hAnsi="Times New Roman" w:cs="Times New Roman"/>
          <w:color w:val="000000"/>
          <w:spacing w:val="0"/>
          <w:w w:val="100"/>
          <w:position w:val="0"/>
        </w:rPr>
        <w:t>5.75</w:t>
      </w:r>
      <w:r>
        <w:rPr>
          <w:color w:val="000000"/>
          <w:spacing w:val="0"/>
          <w:w w:val="100"/>
          <w:position w:val="0"/>
        </w:rPr>
        <w:t>亿元，详情请参见本集团编号 为</w:t>
      </w:r>
      <w:r>
        <w:rPr>
          <w:rFonts w:ascii="Times New Roman" w:eastAsia="Times New Roman" w:hAnsi="Times New Roman" w:cs="Times New Roman"/>
          <w:color w:val="000000"/>
          <w:spacing w:val="0"/>
          <w:w w:val="100"/>
          <w:position w:val="0"/>
        </w:rPr>
        <w:t>2021-025</w:t>
      </w:r>
      <w:r>
        <w:rPr>
          <w:color w:val="000000"/>
          <w:spacing w:val="0"/>
          <w:w w:val="100"/>
          <w:position w:val="0"/>
        </w:rPr>
        <w:t>的公告。</w:t>
      </w:r>
    </w:p>
    <w:p>
      <w:pPr>
        <w:pStyle w:val="Style20"/>
        <w:keepNext w:val="0"/>
        <w:keepLines w:val="0"/>
        <w:widowControl w:val="0"/>
        <w:shd w:val="clear" w:color="auto" w:fill="auto"/>
        <w:tabs>
          <w:tab w:pos="349" w:val="left"/>
        </w:tabs>
        <w:bidi w:val="0"/>
        <w:spacing w:before="0" w:after="0" w:line="322" w:lineRule="exact"/>
        <w:ind w:left="0" w:right="0" w:firstLine="0"/>
        <w:jc w:val="left"/>
      </w:pPr>
      <w:bookmarkStart w:id="787" w:name="bookmark787"/>
      <w:r>
        <w:rPr>
          <w:rFonts w:ascii="Times New Roman" w:eastAsia="Times New Roman" w:hAnsi="Times New Roman" w:cs="Times New Roman"/>
          <w:color w:val="000000"/>
          <w:spacing w:val="0"/>
          <w:w w:val="100"/>
          <w:position w:val="0"/>
        </w:rPr>
        <w:t>3</w:t>
      </w:r>
      <w:bookmarkEnd w:id="787"/>
      <w:r>
        <w:rPr>
          <w:rFonts w:ascii="Times New Roman" w:eastAsia="Times New Roman" w:hAnsi="Times New Roman" w:cs="Times New Roman"/>
          <w:color w:val="000000"/>
          <w:spacing w:val="0"/>
          <w:w w:val="100"/>
          <w:position w:val="0"/>
        </w:rPr>
        <w:t>）</w:t>
        <w:tab/>
      </w:r>
      <w:r>
        <w:rPr>
          <w:color w:val="000000"/>
          <w:spacing w:val="0"/>
          <w:w w:val="100"/>
          <w:position w:val="0"/>
        </w:rPr>
        <w:t>未来大厦的预算数人民币</w:t>
      </w:r>
      <w:r>
        <w:rPr>
          <w:rFonts w:ascii="Times New Roman" w:eastAsia="Times New Roman" w:hAnsi="Times New Roman" w:cs="Times New Roman"/>
          <w:color w:val="000000"/>
          <w:spacing w:val="0"/>
          <w:w w:val="100"/>
          <w:position w:val="0"/>
        </w:rPr>
        <w:t>5.75</w:t>
      </w:r>
      <w:r>
        <w:rPr>
          <w:color w:val="000000"/>
          <w:spacing w:val="0"/>
          <w:w w:val="100"/>
          <w:position w:val="0"/>
        </w:rPr>
        <w:t>亿元包含土地使用权取得成本，工程累计投入占预算比例是由在建工程累计余额</w:t>
      </w:r>
      <w:r>
        <w:rPr>
          <w:color w:val="000000"/>
          <w:spacing w:val="0"/>
          <w:w w:val="100"/>
          <w:position w:val="0"/>
        </w:rPr>
        <w:t>（</w:t>
      </w:r>
      <w:r>
        <w:rPr>
          <w:color w:val="000000"/>
          <w:spacing w:val="0"/>
          <w:w w:val="100"/>
          <w:position w:val="0"/>
        </w:rPr>
        <w:t>含税</w:t>
      </w:r>
      <w:r>
        <w:rPr>
          <w:color w:val="000000"/>
          <w:spacing w:val="0"/>
          <w:w w:val="100"/>
          <w:position w:val="0"/>
        </w:rPr>
        <w:t>）</w:t>
      </w:r>
      <w:r>
        <w:rPr>
          <w:color w:val="000000"/>
          <w:spacing w:val="0"/>
          <w:w w:val="100"/>
          <w:position w:val="0"/>
        </w:rPr>
        <w:t>及 土地使用权取得成本</w:t>
      </w:r>
      <w:r>
        <w:rPr>
          <w:color w:val="000000"/>
          <w:spacing w:val="0"/>
          <w:w w:val="100"/>
          <w:position w:val="0"/>
        </w:rPr>
        <w:t>（</w:t>
      </w:r>
      <w:r>
        <w:rPr>
          <w:color w:val="000000"/>
          <w:spacing w:val="0"/>
          <w:w w:val="100"/>
          <w:position w:val="0"/>
        </w:rPr>
        <w:t>含税</w:t>
      </w:r>
      <w:r>
        <w:rPr>
          <w:color w:val="000000"/>
          <w:spacing w:val="0"/>
          <w:w w:val="100"/>
          <w:position w:val="0"/>
        </w:rPr>
        <w:t>）</w:t>
      </w:r>
      <w:r>
        <w:rPr>
          <w:color w:val="000000"/>
          <w:spacing w:val="0"/>
          <w:w w:val="100"/>
          <w:position w:val="0"/>
        </w:rPr>
        <w:t>之和，占预算总投资</w:t>
      </w:r>
      <w:r>
        <w:rPr>
          <w:color w:val="000000"/>
          <w:spacing w:val="0"/>
          <w:w w:val="100"/>
          <w:position w:val="0"/>
        </w:rPr>
        <w:t>（</w:t>
      </w:r>
      <w:r>
        <w:rPr>
          <w:color w:val="000000"/>
          <w:spacing w:val="0"/>
          <w:w w:val="100"/>
          <w:position w:val="0"/>
        </w:rPr>
        <w:t>含税</w:t>
      </w:r>
      <w:r>
        <w:rPr>
          <w:color w:val="000000"/>
          <w:spacing w:val="0"/>
          <w:w w:val="100"/>
          <w:position w:val="0"/>
        </w:rPr>
        <w:t>）</w:t>
      </w:r>
      <w:r>
        <w:rPr>
          <w:color w:val="000000"/>
          <w:spacing w:val="0"/>
          <w:w w:val="100"/>
          <w:position w:val="0"/>
        </w:rPr>
        <w:t>的比例计算得出。</w:t>
      </w:r>
    </w:p>
    <w:p>
      <w:pPr>
        <w:pStyle w:val="Style20"/>
        <w:keepNext w:val="0"/>
        <w:keepLines w:val="0"/>
        <w:widowControl w:val="0"/>
        <w:shd w:val="clear" w:color="auto" w:fill="auto"/>
        <w:tabs>
          <w:tab w:pos="368" w:val="left"/>
        </w:tabs>
        <w:bidi w:val="0"/>
        <w:spacing w:before="0" w:after="380" w:line="317" w:lineRule="exact"/>
        <w:ind w:left="0" w:right="0" w:firstLine="0"/>
        <w:jc w:val="left"/>
      </w:pPr>
      <w:bookmarkStart w:id="788" w:name="bookmark788"/>
      <w:r>
        <w:rPr>
          <w:rFonts w:ascii="Times New Roman" w:eastAsia="Times New Roman" w:hAnsi="Times New Roman" w:cs="Times New Roman"/>
          <w:color w:val="000000"/>
          <w:spacing w:val="0"/>
          <w:w w:val="100"/>
          <w:position w:val="0"/>
        </w:rPr>
        <w:t>4</w:t>
      </w:r>
      <w:bookmarkEnd w:id="788"/>
      <w:r>
        <w:rPr>
          <w:color w:val="000000"/>
          <w:spacing w:val="0"/>
          <w:w w:val="100"/>
          <w:position w:val="0"/>
        </w:rPr>
        <w:t>）</w:t>
        <w:tab/>
        <w:t>本报告期末在建工程抵押用于取得长期借款，详见附注七、</w:t>
      </w:r>
      <w:r>
        <w:rPr>
          <w:rFonts w:ascii="Times New Roman" w:eastAsia="Times New Roman" w:hAnsi="Times New Roman" w:cs="Times New Roman"/>
          <w:color w:val="000000"/>
          <w:spacing w:val="0"/>
          <w:w w:val="100"/>
          <w:position w:val="0"/>
        </w:rPr>
        <w:t>28</w:t>
      </w:r>
      <w:r>
        <w:rPr>
          <w:color w:val="000000"/>
          <w:spacing w:val="0"/>
          <w:w w:val="100"/>
          <w:position w:val="0"/>
        </w:rPr>
        <w:t>长期借款。</w:t>
      </w:r>
    </w:p>
    <w:p>
      <w:pPr>
        <w:pStyle w:val="Style31"/>
        <w:keepNext/>
        <w:keepLines/>
        <w:widowControl w:val="0"/>
        <w:shd w:val="clear" w:color="auto" w:fill="auto"/>
        <w:tabs>
          <w:tab w:pos="493" w:val="left"/>
        </w:tabs>
        <w:bidi w:val="0"/>
        <w:spacing w:before="0" w:after="280" w:line="240" w:lineRule="auto"/>
        <w:ind w:left="0" w:right="0" w:firstLine="0"/>
        <w:jc w:val="left"/>
      </w:pPr>
      <w:bookmarkStart w:id="789" w:name="bookmark789"/>
      <w:bookmarkStart w:id="790" w:name="bookmark790"/>
      <w:bookmarkStart w:id="791" w:name="bookmark791"/>
      <w:bookmarkStart w:id="792" w:name="bookmark792"/>
      <w:r>
        <w:rPr>
          <w:color w:val="000000"/>
          <w:spacing w:val="0"/>
          <w:w w:val="100"/>
          <w:position w:val="0"/>
        </w:rPr>
        <w:t>（</w:t>
      </w:r>
      <w:bookmarkEnd w:id="791"/>
      <w:r>
        <w:rPr>
          <w:rFonts w:ascii="Times New Roman" w:eastAsia="Times New Roman" w:hAnsi="Times New Roman" w:cs="Times New Roman"/>
          <w:color w:val="000000"/>
          <w:spacing w:val="0"/>
          <w:w w:val="100"/>
          <w:position w:val="0"/>
        </w:rPr>
        <w:t>3</w:t>
      </w:r>
      <w:r>
        <w:rPr>
          <w:color w:val="000000"/>
          <w:spacing w:val="0"/>
          <w:w w:val="100"/>
          <w:position w:val="0"/>
        </w:rPr>
        <w:t>）</w:t>
        <w:tab/>
        <w:t>本期计提在建工程减值准备情况</w:t>
      </w:r>
      <w:bookmarkEnd w:id="789"/>
      <w:bookmarkEnd w:id="790"/>
      <w:bookmarkEnd w:id="792"/>
    </w:p>
    <w:p>
      <w:pPr>
        <w:pStyle w:val="Style20"/>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280" w:line="240" w:lineRule="auto"/>
        <w:ind w:left="0" w:right="0" w:firstLine="0"/>
        <w:jc w:val="left"/>
      </w:pPr>
      <w:bookmarkStart w:id="793" w:name="bookmark793"/>
      <w:bookmarkStart w:id="794" w:name="bookmark794"/>
      <w:bookmarkStart w:id="795" w:name="bookmark795"/>
      <w:bookmarkStart w:id="796" w:name="bookmark796"/>
      <w:r>
        <w:rPr>
          <w:color w:val="000000"/>
          <w:spacing w:val="0"/>
          <w:w w:val="100"/>
          <w:position w:val="0"/>
        </w:rPr>
        <w:t>（</w:t>
      </w:r>
      <w:bookmarkEnd w:id="795"/>
      <w:r>
        <w:rPr>
          <w:rFonts w:ascii="Times New Roman" w:eastAsia="Times New Roman" w:hAnsi="Times New Roman" w:cs="Times New Roman"/>
          <w:color w:val="000000"/>
          <w:spacing w:val="0"/>
          <w:w w:val="100"/>
          <w:position w:val="0"/>
        </w:rPr>
        <w:t>4</w:t>
      </w:r>
      <w:r>
        <w:rPr>
          <w:color w:val="000000"/>
          <w:spacing w:val="0"/>
          <w:w w:val="100"/>
          <w:position w:val="0"/>
        </w:rPr>
        <w:t>）</w:t>
        <w:tab/>
        <w:t>工程物资</w:t>
      </w:r>
      <w:bookmarkEnd w:id="793"/>
      <w:bookmarkEnd w:id="794"/>
      <w:bookmarkEnd w:id="796"/>
    </w:p>
    <w:p>
      <w:pPr>
        <w:pStyle w:val="Style20"/>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无。</w:t>
      </w:r>
    </w:p>
    <w:p>
      <w:pPr>
        <w:pStyle w:val="Style31"/>
        <w:keepNext/>
        <w:keepLines/>
        <w:widowControl w:val="0"/>
        <w:shd w:val="clear" w:color="auto" w:fill="auto"/>
        <w:bidi w:val="0"/>
        <w:spacing w:before="0" w:after="280" w:line="240" w:lineRule="auto"/>
        <w:ind w:left="0" w:right="0" w:firstLine="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1</w:t>
      </w:r>
      <w:bookmarkEnd w:id="799"/>
      <w:r>
        <w:rPr>
          <w:rFonts w:ascii="Times New Roman" w:eastAsia="Times New Roman" w:hAnsi="Times New Roman" w:cs="Times New Roman"/>
          <w:color w:val="000000"/>
          <w:spacing w:val="0"/>
          <w:w w:val="100"/>
          <w:position w:val="0"/>
        </w:rPr>
        <w:t>3</w:t>
      </w:r>
      <w:r>
        <w:rPr>
          <w:color w:val="000000"/>
          <w:spacing w:val="0"/>
          <w:w w:val="100"/>
          <w:position w:val="0"/>
        </w:rPr>
        <w:t>、租赁</w:t>
      </w:r>
      <w:bookmarkEnd w:id="797"/>
      <w:bookmarkEnd w:id="798"/>
      <w:bookmarkEnd w:id="800"/>
    </w:p>
    <w:p>
      <w:pPr>
        <w:pStyle w:val="Style20"/>
        <w:keepNext w:val="0"/>
        <w:keepLines w:val="0"/>
        <w:widowControl w:val="0"/>
        <w:shd w:val="clear" w:color="auto" w:fill="auto"/>
        <w:bidi w:val="0"/>
        <w:spacing w:before="0" w:after="0" w:line="317" w:lineRule="exact"/>
        <w:ind w:left="0" w:right="0" w:firstLine="0"/>
        <w:jc w:val="right"/>
      </w:pPr>
      <w:r>
        <w:rPr>
          <w:color w:val="000000"/>
          <w:spacing w:val="0"/>
          <w:w w:val="100"/>
          <w:position w:val="0"/>
        </w:rPr>
        <w:t>单位：元</w:t>
      </w:r>
    </w:p>
    <w:p>
      <w:pPr>
        <w:pStyle w:val="Style20"/>
        <w:keepNext w:val="0"/>
        <w:keepLines w:val="0"/>
        <w:widowControl w:val="0"/>
        <w:shd w:val="clear" w:color="auto" w:fill="auto"/>
        <w:bidi w:val="0"/>
        <w:spacing w:before="0" w:after="180" w:line="317" w:lineRule="exact"/>
        <w:ind w:left="0" w:right="0" w:firstLine="0"/>
        <w:jc w:val="left"/>
      </w:pPr>
      <w:bookmarkStart w:id="801" w:name="bookmark801"/>
      <w:r>
        <w:rPr>
          <w:rFonts w:ascii="Times New Roman" w:eastAsia="Times New Roman" w:hAnsi="Times New Roman" w:cs="Times New Roman"/>
          <w:color w:val="000000"/>
          <w:spacing w:val="0"/>
          <w:w w:val="100"/>
          <w:position w:val="0"/>
        </w:rPr>
        <w:t>（</w:t>
      </w:r>
      <w:bookmarkEnd w:id="801"/>
      <w:r>
        <w:rPr>
          <w:rFonts w:ascii="Times New Roman" w:eastAsia="Times New Roman" w:hAnsi="Times New Roman" w:cs="Times New Roman"/>
          <w:color w:val="000000"/>
          <w:spacing w:val="0"/>
          <w:w w:val="100"/>
          <w:position w:val="0"/>
        </w:rPr>
        <w:t>1）</w:t>
      </w:r>
      <w:r>
        <w:rPr>
          <w:color w:val="000000"/>
          <w:spacing w:val="0"/>
          <w:w w:val="100"/>
          <w:position w:val="0"/>
        </w:rPr>
        <w:t>本集团作为承租人的租赁情况</w:t>
      </w:r>
    </w:p>
    <w:p>
      <w:pPr>
        <w:pStyle w:val="Style20"/>
        <w:keepNext w:val="0"/>
        <w:keepLines w:val="0"/>
        <w:widowControl w:val="0"/>
        <w:shd w:val="clear" w:color="auto" w:fill="auto"/>
        <w:bidi w:val="0"/>
        <w:spacing w:before="0" w:after="80" w:line="317" w:lineRule="exact"/>
        <w:ind w:left="0" w:right="0" w:firstLine="0"/>
        <w:jc w:val="left"/>
      </w:pPr>
      <w:r>
        <w:rPr>
          <w:color w:val="000000"/>
          <w:spacing w:val="0"/>
          <w:w w:val="100"/>
          <w:position w:val="0"/>
        </w:rPr>
        <w:t>使用权资产</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28"/>
        <w:gridCol w:w="5520"/>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原值</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年初余额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47,916,987.14</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本年增加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531,252.80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年末余额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48,448,239.94</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累计折旧</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年初余额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本年计提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18,875,555.35</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年末余额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18,875,555.35</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账面价值</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157"/>
        <w:gridCol w:w="5544"/>
      </w:tblGrid>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年末账面价值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29,572,684.59</w:t>
            </w:r>
          </w:p>
        </w:tc>
      </w:tr>
      <w:tr>
        <w:trPr>
          <w:trHeight w:val="336"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年初账面价值</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47,916,987.14</w:t>
            </w:r>
          </w:p>
        </w:tc>
      </w:tr>
    </w:tbl>
    <w:p>
      <w:pPr>
        <w:widowControl w:val="0"/>
        <w:spacing w:after="279" w:line="1" w:lineRule="exact"/>
      </w:pP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租赁负债</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706"/>
        <w:gridCol w:w="2270"/>
        <w:gridCol w:w="2126"/>
        <w:gridCol w:w="2549"/>
      </w:tblGrid>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33,839,315.23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52,598,200.88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800" w:right="0" w:hanging="660"/>
              <w:jc w:val="left"/>
            </w:pPr>
            <w:r>
              <w:rPr>
                <w:color w:val="000000"/>
                <w:spacing w:val="0"/>
                <w:w w:val="100"/>
                <w:position w:val="0"/>
              </w:rPr>
              <w:t>减：一年内到期的租赁 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21,988,203.12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20,911,776.59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11,851,112.11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31,686,424.29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39" w:line="1" w:lineRule="exact"/>
      </w:pPr>
    </w:p>
    <w:tbl>
      <w:tblPr>
        <w:tblOverlap w:val="never"/>
        <w:jc w:val="center"/>
        <w:tblLayout w:type="fixed"/>
      </w:tblPr>
      <w:tblGrid>
        <w:gridCol w:w="7205"/>
        <w:gridCol w:w="2443"/>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选择简化处理方法的短期租赁费用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3,865,833.81</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选择简化处理方法的低价值资产租赁费用</w:t>
            </w:r>
          </w:p>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r>
              <w:rPr>
                <w:color w:val="000000"/>
                <w:spacing w:val="0"/>
                <w:w w:val="100"/>
                <w:position w:val="0"/>
              </w:rPr>
              <w:t>低价值资产的短期租赁费用除外</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19,594.84</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转租使用权资产取得的收入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6,600,910.93</w:t>
            </w:r>
          </w:p>
        </w:tc>
      </w:tr>
      <w:tr>
        <w:trPr>
          <w:trHeight w:val="33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与租赁相关的总现金净流出</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18,273,966.80</w:t>
            </w:r>
          </w:p>
        </w:tc>
      </w:tr>
    </w:tbl>
    <w:p>
      <w:pPr>
        <w:widowControl w:val="0"/>
        <w:spacing w:after="279" w:line="1" w:lineRule="exact"/>
      </w:pPr>
    </w:p>
    <w:p>
      <w:pPr>
        <w:pStyle w:val="Style20"/>
        <w:keepNext w:val="0"/>
        <w:keepLines w:val="0"/>
        <w:widowControl w:val="0"/>
        <w:numPr>
          <w:ilvl w:val="0"/>
          <w:numId w:val="81"/>
        </w:numPr>
        <w:shd w:val="clear" w:color="auto" w:fill="auto"/>
        <w:tabs>
          <w:tab w:pos="474" w:val="left"/>
        </w:tabs>
        <w:bidi w:val="0"/>
        <w:spacing w:before="0" w:after="40" w:line="234" w:lineRule="exact"/>
        <w:ind w:left="0" w:right="0" w:firstLine="0"/>
        <w:jc w:val="both"/>
      </w:pPr>
      <w:bookmarkStart w:id="802" w:name="bookmark802"/>
      <w:bookmarkEnd w:id="802"/>
      <w:r>
        <w:rPr>
          <w:color w:val="000000"/>
          <w:spacing w:val="0"/>
          <w:w w:val="100"/>
          <w:position w:val="0"/>
        </w:rPr>
        <w:t>续租选择权</w:t>
      </w:r>
    </w:p>
    <w:p>
      <w:pPr>
        <w:pStyle w:val="Style20"/>
        <w:keepNext w:val="0"/>
        <w:keepLines w:val="0"/>
        <w:widowControl w:val="0"/>
        <w:shd w:val="clear" w:color="auto" w:fill="auto"/>
        <w:bidi w:val="0"/>
        <w:spacing w:before="0" w:after="40" w:line="234" w:lineRule="exact"/>
        <w:ind w:left="580" w:right="0" w:firstLine="0"/>
        <w:jc w:val="both"/>
      </w:pPr>
      <w:r>
        <w:rPr>
          <w:color w:val="000000"/>
          <w:spacing w:val="0"/>
          <w:w w:val="100"/>
          <w:position w:val="0"/>
        </w:rPr>
        <w:t>本集团部分办公楼租赁含有在不可撤销的合同期到期前一年内可行使的续租选择权。本集团会在可行的情况下寻求 在新租赁中加入续租选择权以增加经营的灵活性。续租选择权只有本集团可以行使，出租人不能行使。本集团在租赁 期开始日评估是否能合理确定会行使续租选择权。当发生本集团可控范围内的重大事件或变化时，本集团会重新评 估是否能合理确定会行使续租选择权。</w:t>
      </w:r>
    </w:p>
    <w:p>
      <w:pPr>
        <w:pStyle w:val="Style20"/>
        <w:keepNext w:val="0"/>
        <w:keepLines w:val="0"/>
        <w:widowControl w:val="0"/>
        <w:numPr>
          <w:ilvl w:val="0"/>
          <w:numId w:val="81"/>
        </w:numPr>
        <w:shd w:val="clear" w:color="auto" w:fill="auto"/>
        <w:tabs>
          <w:tab w:pos="474" w:val="left"/>
        </w:tabs>
        <w:bidi w:val="0"/>
        <w:spacing w:before="0" w:after="40" w:line="234" w:lineRule="exact"/>
        <w:ind w:left="0" w:right="0" w:firstLine="0"/>
        <w:jc w:val="left"/>
      </w:pPr>
      <w:bookmarkStart w:id="803" w:name="bookmark803"/>
      <w:bookmarkEnd w:id="803"/>
      <w:r>
        <w:rPr>
          <w:color w:val="000000"/>
          <w:spacing w:val="0"/>
          <w:w w:val="100"/>
          <w:position w:val="0"/>
        </w:rPr>
        <w:t>短期租赁或低价值租赁</w:t>
      </w:r>
    </w:p>
    <w:p>
      <w:pPr>
        <w:pStyle w:val="Style20"/>
        <w:keepNext w:val="0"/>
        <w:keepLines w:val="0"/>
        <w:widowControl w:val="0"/>
        <w:shd w:val="clear" w:color="auto" w:fill="auto"/>
        <w:bidi w:val="0"/>
        <w:spacing w:before="0" w:after="40" w:line="235" w:lineRule="exact"/>
        <w:ind w:left="580" w:right="0" w:firstLine="0"/>
        <w:jc w:val="both"/>
      </w:pPr>
      <w:r>
        <w:rPr>
          <w:color w:val="000000"/>
          <w:spacing w:val="0"/>
          <w:w w:val="100"/>
          <w:position w:val="0"/>
        </w:rPr>
        <w:t>本集团还租用房屋、车辆和办公设备等，租赁期为</w:t>
      </w:r>
      <w:r>
        <w:rPr>
          <w:rFonts w:ascii="Times New Roman" w:eastAsia="Times New Roman" w:hAnsi="Times New Roman" w:cs="Times New Roman"/>
          <w:color w:val="000000"/>
          <w:spacing w:val="0"/>
          <w:w w:val="100"/>
          <w:position w:val="0"/>
        </w:rPr>
        <w:t>2</w:t>
      </w:r>
      <w:r>
        <w:rPr>
          <w:color w:val="000000"/>
          <w:spacing w:val="0"/>
          <w:w w:val="100"/>
          <w:position w:val="0"/>
        </w:rPr>
        <w:t>个月至</w:t>
      </w:r>
      <w:r>
        <w:rPr>
          <w:rFonts w:ascii="Times New Roman" w:eastAsia="Times New Roman" w:hAnsi="Times New Roman" w:cs="Times New Roman"/>
          <w:color w:val="000000"/>
          <w:spacing w:val="0"/>
          <w:w w:val="100"/>
          <w:position w:val="0"/>
        </w:rPr>
        <w:t>3</w:t>
      </w:r>
      <w:r>
        <w:rPr>
          <w:color w:val="000000"/>
          <w:spacing w:val="0"/>
          <w:w w:val="100"/>
          <w:position w:val="0"/>
        </w:rPr>
        <w:t>年不等。这些租赁为短期租赁或低价值资产租赁。本 集团已选择对这些租赁不确认使用权资产和租赁负债。</w:t>
      </w:r>
    </w:p>
    <w:p>
      <w:pPr>
        <w:pStyle w:val="Style20"/>
        <w:keepNext w:val="0"/>
        <w:keepLines w:val="0"/>
        <w:widowControl w:val="0"/>
        <w:numPr>
          <w:ilvl w:val="0"/>
          <w:numId w:val="83"/>
        </w:numPr>
        <w:shd w:val="clear" w:color="auto" w:fill="auto"/>
        <w:bidi w:val="0"/>
        <w:spacing w:before="0" w:after="40" w:line="234" w:lineRule="exact"/>
        <w:ind w:left="0" w:right="0" w:firstLine="0"/>
        <w:jc w:val="left"/>
      </w:pPr>
      <w:bookmarkStart w:id="804" w:name="bookmark804"/>
      <w:bookmarkEnd w:id="804"/>
      <w:r>
        <w:rPr>
          <w:color w:val="000000"/>
          <w:spacing w:val="0"/>
          <w:w w:val="100"/>
          <w:position w:val="0"/>
        </w:rPr>
        <w:t>本集团作为出租人的租赁情况</w:t>
      </w:r>
    </w:p>
    <w:p>
      <w:pPr>
        <w:pStyle w:val="Style20"/>
        <w:keepNext w:val="0"/>
        <w:keepLines w:val="0"/>
        <w:widowControl w:val="0"/>
        <w:shd w:val="clear" w:color="auto" w:fill="auto"/>
        <w:tabs>
          <w:tab w:pos="474" w:val="left"/>
        </w:tabs>
        <w:bidi w:val="0"/>
        <w:spacing w:before="0" w:after="80" w:line="234" w:lineRule="exact"/>
        <w:ind w:left="0" w:right="0" w:firstLine="0"/>
        <w:jc w:val="left"/>
      </w:pPr>
      <w:r>
        <w:rPr>
          <w:rFonts w:ascii="Times New Roman" w:eastAsia="Times New Roman" w:hAnsi="Times New Roman" w:cs="Times New Roman"/>
          <w:color w:val="000000"/>
          <w:spacing w:val="0"/>
          <w:w w:val="100"/>
          <w:position w:val="0"/>
        </w:rPr>
        <w:t>(a)</w:t>
        <w:tab/>
      </w:r>
      <w:r>
        <w:rPr>
          <w:color w:val="000000"/>
          <w:spacing w:val="0"/>
          <w:w w:val="100"/>
          <w:position w:val="0"/>
        </w:rPr>
        <w:t>经营租赁</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638"/>
        <w:gridCol w:w="2443"/>
      </w:tblGrid>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11,683,218.84</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其中：与未计入租赁收款额的可变租赁付款额相关的收入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60" w:firstLine="0"/>
              <w:jc w:val="right"/>
            </w:pPr>
            <w:r>
              <w:rPr>
                <w:rFonts w:ascii="Times New Roman" w:eastAsia="Times New Roman" w:hAnsi="Times New Roman" w:cs="Times New Roman"/>
                <w:color w:val="000000"/>
                <w:spacing w:val="0"/>
                <w:w w:val="100"/>
                <w:position w:val="0"/>
              </w:rPr>
              <w:t>408,660.23</w:t>
            </w:r>
          </w:p>
        </w:tc>
      </w:tr>
    </w:tbl>
    <w:p>
      <w:pPr>
        <w:widowControl w:val="0"/>
        <w:spacing w:after="279" w:line="1" w:lineRule="exact"/>
      </w:pPr>
    </w:p>
    <w:p>
      <w:pPr>
        <w:pStyle w:val="Style20"/>
        <w:keepNext w:val="0"/>
        <w:keepLines w:val="0"/>
        <w:widowControl w:val="0"/>
        <w:shd w:val="clear" w:color="auto" w:fill="auto"/>
        <w:bidi w:val="0"/>
        <w:spacing w:before="0" w:after="80" w:line="240" w:lineRule="auto"/>
        <w:ind w:left="0" w:right="0" w:firstLine="580"/>
        <w:jc w:val="both"/>
      </w:pPr>
      <w:r>
        <w:rPr>
          <w:color w:val="000000"/>
          <w:spacing w:val="0"/>
          <w:w w:val="100"/>
          <w:position w:val="0"/>
        </w:rPr>
        <w:t>本集团于资产负债表日后将收到的未折现的租赁收款额如下:</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638"/>
        <w:gridCol w:w="2443"/>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1</w:t>
            </w:r>
            <w:r>
              <w:rPr>
                <w:color w:val="000000"/>
                <w:spacing w:val="0"/>
                <w:w w:val="100"/>
                <w:position w:val="0"/>
              </w:rPr>
              <w:t>年</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7,239,147.71</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年至</w:t>
            </w:r>
            <w:r>
              <w:rPr>
                <w:rFonts w:ascii="Times New Roman" w:eastAsia="Times New Roman" w:hAnsi="Times New Roman" w:cs="Times New Roman"/>
                <w:color w:val="000000"/>
                <w:spacing w:val="0"/>
                <w:w w:val="100"/>
                <w:position w:val="0"/>
              </w:rPr>
              <w:t>2</w:t>
            </w:r>
            <w:r>
              <w:rPr>
                <w:color w:val="000000"/>
                <w:spacing w:val="0"/>
                <w:w w:val="100"/>
                <w:position w:val="0"/>
              </w:rPr>
              <w:t>年</w:t>
            </w:r>
            <w:r>
              <w:rPr>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2</w:t>
            </w:r>
            <w:r>
              <w:rPr>
                <w:color w:val="000000"/>
                <w:spacing w:val="0"/>
                <w:w w:val="100"/>
                <w:position w:val="0"/>
              </w:rPr>
              <w:t>年</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3,720,126.75</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年至</w:t>
            </w:r>
            <w:r>
              <w:rPr>
                <w:rFonts w:ascii="Times New Roman" w:eastAsia="Times New Roman" w:hAnsi="Times New Roman" w:cs="Times New Roman"/>
                <w:color w:val="000000"/>
                <w:spacing w:val="0"/>
                <w:w w:val="100"/>
                <w:position w:val="0"/>
              </w:rPr>
              <w:t>3</w:t>
            </w:r>
            <w:r>
              <w:rPr>
                <w:color w:val="000000"/>
                <w:spacing w:val="0"/>
                <w:w w:val="100"/>
                <w:position w:val="0"/>
              </w:rPr>
              <w:t>年</w:t>
            </w:r>
            <w:r>
              <w:rPr>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3</w:t>
            </w:r>
            <w:r>
              <w:rPr>
                <w:color w:val="000000"/>
                <w:spacing w:val="0"/>
                <w:w w:val="100"/>
                <w:position w:val="0"/>
              </w:rPr>
              <w:t>年</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2,572,446.21</w:t>
            </w:r>
          </w:p>
        </w:tc>
      </w:tr>
      <w:tr>
        <w:trPr>
          <w:trHeight w:val="33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13,531,720.67</w:t>
            </w:r>
          </w:p>
        </w:tc>
      </w:tr>
    </w:tbl>
    <w:p>
      <w:pPr>
        <w:spacing w:lineRule="exact" w:line="1"/>
        <w:rPr>
          <w:sz w:val="2"/>
          <w:szCs w:val="2"/>
        </w:rPr>
      </w:pPr>
      <w:r>
        <w:br w:type="page"/>
      </w:r>
    </w:p>
    <w:p>
      <w:pPr>
        <w:pStyle w:val="Style31"/>
        <w:keepNext/>
        <w:keepLines/>
        <w:widowControl w:val="0"/>
        <w:pBdr>
          <w:top w:val="single" w:sz="4" w:space="0" w:color="auto"/>
        </w:pBdr>
        <w:shd w:val="clear" w:color="auto" w:fill="auto"/>
        <w:bidi w:val="0"/>
        <w:spacing w:before="0" w:line="240" w:lineRule="auto"/>
        <w:ind w:left="0" w:right="0" w:firstLine="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1</w:t>
      </w:r>
      <w:bookmarkEnd w:id="807"/>
      <w:r>
        <w:rPr>
          <w:rFonts w:ascii="Times New Roman" w:eastAsia="Times New Roman" w:hAnsi="Times New Roman" w:cs="Times New Roman"/>
          <w:color w:val="000000"/>
          <w:spacing w:val="0"/>
          <w:w w:val="100"/>
          <w:position w:val="0"/>
        </w:rPr>
        <w:t>4</w:t>
      </w:r>
      <w:r>
        <w:rPr>
          <w:color w:val="000000"/>
          <w:spacing w:val="0"/>
          <w:w w:val="100"/>
          <w:position w:val="0"/>
        </w:rPr>
        <w:t>、无形资产</w:t>
      </w:r>
      <w:bookmarkEnd w:id="805"/>
      <w:bookmarkEnd w:id="806"/>
      <w:bookmarkEnd w:id="808"/>
    </w:p>
    <w:p>
      <w:pPr>
        <w:pStyle w:val="Style31"/>
        <w:keepNext/>
        <w:keepLines/>
        <w:widowControl w:val="0"/>
        <w:shd w:val="clear" w:color="auto" w:fill="auto"/>
        <w:bidi w:val="0"/>
        <w:spacing w:before="0" w:line="240" w:lineRule="auto"/>
        <w:ind w:left="0" w:right="0" w:firstLine="0"/>
        <w:jc w:val="left"/>
      </w:pPr>
      <w:bookmarkStart w:id="805" w:name="bookmark805"/>
      <w:bookmarkStart w:id="806" w:name="bookmark806"/>
      <w:bookmarkStart w:id="809" w:name="bookmark809"/>
      <w:bookmarkStart w:id="810" w:name="bookmark810"/>
      <w:r>
        <w:rPr>
          <w:color w:val="000000"/>
          <w:spacing w:val="0"/>
          <w:w w:val="100"/>
          <w:position w:val="0"/>
        </w:rPr>
        <w:t>（</w:t>
      </w:r>
      <w:bookmarkEnd w:id="809"/>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805"/>
      <w:bookmarkEnd w:id="806"/>
      <w:bookmarkEnd w:id="81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488"/>
        <w:gridCol w:w="1483"/>
        <w:gridCol w:w="1488"/>
        <w:gridCol w:w="1488"/>
        <w:gridCol w:w="149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80" w:firstLine="0"/>
              <w:jc w:val="right"/>
            </w:pPr>
            <w:r>
              <w:rPr>
                <w:color w:val="000000"/>
                <w:spacing w:val="0"/>
                <w:w w:val="100"/>
                <w:position w:val="0"/>
              </w:rPr>
              <w:t>非专利技术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92,734,703.96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219,924.98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48,568,014.85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141,522,643.79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1,924,231.32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1,924,231.32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）内部研发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2,584,180.91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2,584,180.91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92,734,703.96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219,924.98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53,076,427.08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146,031,056.02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15,940,813.30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219,924.98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34,225,080.46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50,385,818.74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2,822,891.52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8,195,706.31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11,018,597.83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18,763,704.82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219,924.98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42,420,786.77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61,404,416.57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73,970,999.14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10,655,640.31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84,626,639.45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76,793,890.66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14,342,934.39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91,136,825.05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本期末通过公司内部研发形成的无形资产占无形资产余额的比例为</w:t>
      </w:r>
      <w:r>
        <w:rPr>
          <w:rFonts w:ascii="Times New Roman" w:eastAsia="Times New Roman" w:hAnsi="Times New Roman" w:cs="Times New Roman"/>
          <w:color w:val="000000"/>
          <w:spacing w:val="0"/>
          <w:w w:val="100"/>
          <w:position w:val="0"/>
        </w:rPr>
        <w:t>9.20%（2020</w:t>
      </w:r>
      <w:r>
        <w:rPr>
          <w:color w:val="000000"/>
          <w:spacing w:val="0"/>
          <w:w w:val="100"/>
          <w:position w:val="0"/>
        </w:rPr>
        <w:t>年：</w:t>
      </w:r>
      <w:r>
        <w:rPr>
          <w:rFonts w:ascii="Times New Roman" w:eastAsia="Times New Roman" w:hAnsi="Times New Roman" w:cs="Times New Roman"/>
          <w:color w:val="000000"/>
          <w:spacing w:val="0"/>
          <w:w w:val="100"/>
          <w:position w:val="0"/>
        </w:rPr>
        <w:t>9.60%）</w:t>
      </w:r>
      <w:r>
        <w:rPr>
          <w:color w:val="000000"/>
          <w:spacing w:val="0"/>
          <w:w w:val="100"/>
          <w:position w:val="0"/>
        </w:rPr>
        <w:t>。</w:t>
      </w:r>
    </w:p>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811" w:name="bookmark811"/>
      <w:bookmarkStart w:id="812" w:name="bookmark812"/>
      <w:bookmarkStart w:id="813" w:name="bookmark813"/>
      <w:bookmarkStart w:id="814" w:name="bookmark814"/>
      <w:r>
        <w:rPr>
          <w:color w:val="000000"/>
          <w:spacing w:val="0"/>
          <w:w w:val="100"/>
          <w:position w:val="0"/>
        </w:rPr>
        <w:t>（</w:t>
      </w:r>
      <w:bookmarkEnd w:id="813"/>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811"/>
      <w:bookmarkEnd w:id="812"/>
      <w:bookmarkEnd w:id="814"/>
    </w:p>
    <w:p>
      <w:pPr>
        <w:pStyle w:val="Style20"/>
        <w:keepNext w:val="0"/>
        <w:keepLines w:val="0"/>
        <w:widowControl w:val="0"/>
        <w:shd w:val="clear" w:color="auto" w:fill="auto"/>
        <w:bidi w:val="0"/>
        <w:spacing w:before="0" w:after="460" w:line="240" w:lineRule="auto"/>
        <w:ind w:left="0" w:right="0" w:firstLine="0"/>
        <w:jc w:val="left"/>
      </w:pPr>
      <w:r>
        <w:rPr>
          <w:color w:val="000000"/>
          <w:spacing w:val="0"/>
          <w:w w:val="100"/>
          <w:position w:val="0"/>
        </w:rPr>
        <w:t>无</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重要的单项无形资产如下：</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24"/>
        <w:gridCol w:w="2693"/>
        <w:gridCol w:w="266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剩余摊销期限（月数）</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未来大厦土地使用权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55,129,801.70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建科大楼土地使用权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11,961,263.13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湖北建胜办公楼及临街楼土地使用权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6,879,934.31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伊</w:t>
            </w:r>
            <w:r>
              <w:rPr>
                <w:rFonts w:ascii="Times New Roman" w:eastAsia="Times New Roman" w:hAnsi="Times New Roman" w:cs="Times New Roman"/>
                <w:color w:val="000000"/>
                <w:spacing w:val="0"/>
                <w:w w:val="100"/>
                <w:position w:val="0"/>
              </w:rPr>
              <w:t>OS</w:t>
            </w:r>
            <w:r>
              <w:rPr>
                <w:color w:val="000000"/>
                <w:spacing w:val="0"/>
                <w:w w:val="100"/>
                <w:position w:val="0"/>
              </w:rPr>
              <w:t>透明建造三期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3,213,677.89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r>
    </w:tbl>
    <w:p>
      <w:pPr>
        <w:pStyle w:val="Style29"/>
        <w:keepNext w:val="0"/>
        <w:keepLines w:val="0"/>
        <w:widowControl w:val="0"/>
        <w:shd w:val="clear" w:color="auto" w:fill="auto"/>
        <w:tabs>
          <w:tab w:pos="216"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tab/>
      </w:r>
      <w:r>
        <w:rPr>
          <w:color w:val="000000"/>
          <w:spacing w:val="0"/>
          <w:w w:val="100"/>
          <w:position w:val="0"/>
        </w:rPr>
        <w:t>本报告期无未办妥产权证书的土地使用权。</w:t>
      </w:r>
    </w:p>
    <w:p>
      <w:pPr>
        <w:widowControl w:val="0"/>
        <w:spacing w:after="79" w:line="1" w:lineRule="exact"/>
      </w:pPr>
    </w:p>
    <w:p>
      <w:pPr>
        <w:pStyle w:val="Style20"/>
        <w:keepNext w:val="0"/>
        <w:keepLines w:val="0"/>
        <w:widowControl w:val="0"/>
        <w:shd w:val="clear" w:color="auto" w:fill="auto"/>
        <w:tabs>
          <w:tab w:pos="406" w:val="left"/>
        </w:tabs>
        <w:bidi w:val="0"/>
        <w:spacing w:before="0" w:after="360" w:line="240" w:lineRule="auto"/>
        <w:ind w:left="0" w:right="0" w:firstLine="0"/>
        <w:jc w:val="left"/>
      </w:pPr>
      <w:bookmarkStart w:id="815" w:name="bookmark815"/>
      <w:r>
        <w:rPr>
          <w:rFonts w:ascii="Times New Roman" w:eastAsia="Times New Roman" w:hAnsi="Times New Roman" w:cs="Times New Roman"/>
          <w:color w:val="000000"/>
          <w:spacing w:val="0"/>
          <w:w w:val="100"/>
          <w:position w:val="0"/>
        </w:rPr>
        <w:t>（</w:t>
      </w:r>
      <w:bookmarkEnd w:id="815"/>
      <w:r>
        <w:rPr>
          <w:rFonts w:ascii="Times New Roman" w:eastAsia="Times New Roman" w:hAnsi="Times New Roman" w:cs="Times New Roman"/>
          <w:color w:val="000000"/>
          <w:spacing w:val="0"/>
          <w:w w:val="100"/>
          <w:position w:val="0"/>
        </w:rPr>
        <w:t>3）</w:t>
        <w:tab/>
      </w:r>
      <w:r>
        <w:rPr>
          <w:color w:val="000000"/>
          <w:spacing w:val="0"/>
          <w:w w:val="100"/>
          <w:position w:val="0"/>
        </w:rPr>
        <w:t>期末存在抵押或担保的无形资产明细情况</w:t>
      </w:r>
      <w:r>
        <w:br w:type="page"/>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14"/>
        <w:gridCol w:w="1699"/>
        <w:gridCol w:w="2270"/>
        <w:gridCol w:w="1272"/>
        <w:gridCol w:w="1277"/>
        <w:gridCol w:w="124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宗地面积</w:t>
            </w:r>
            <w:r>
              <w:rPr>
                <w:color w:val="000000"/>
                <w:spacing w:val="0"/>
                <w:w w:val="100"/>
                <w:position w:val="0"/>
              </w:rPr>
              <w:t>(</w:t>
            </w:r>
            <w:r>
              <w:rPr>
                <w:color w:val="000000"/>
                <w:spacing w:val="0"/>
                <w:w w:val="100"/>
                <w:position w:val="0"/>
              </w:rPr>
              <w:t>廿</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产权证编号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累计摊销</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净值</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未来大厦土地使用权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11,037.76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粤</w:t>
            </w:r>
            <w:r>
              <w:rPr>
                <w:rFonts w:ascii="Times New Roman" w:eastAsia="Times New Roman" w:hAnsi="Times New Roman" w:cs="Times New Roman"/>
                <w:color w:val="000000"/>
                <w:spacing w:val="0"/>
                <w:w w:val="100"/>
                <w:position w:val="0"/>
              </w:rPr>
              <w:t>(2016)</w:t>
            </w:r>
            <w:r>
              <w:rPr>
                <w:color w:val="000000"/>
                <w:spacing w:val="0"/>
                <w:w w:val="100"/>
                <w:position w:val="0"/>
              </w:rPr>
              <w:t xml:space="preserve">深圳市不动权第 </w:t>
            </w:r>
            <w:r>
              <w:rPr>
                <w:rFonts w:ascii="Times New Roman" w:eastAsia="Times New Roman" w:hAnsi="Times New Roman" w:cs="Times New Roman"/>
                <w:color w:val="000000"/>
                <w:spacing w:val="0"/>
                <w:w w:val="100"/>
                <w:position w:val="0"/>
              </w:rPr>
              <w:t xml:space="preserve">0029899 </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69,010,000.00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13,880,198.30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55,129,801.70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无形资产抵押用于取得长期借款，详见附注七、</w:t>
      </w:r>
      <w:r>
        <w:rPr>
          <w:rFonts w:ascii="Times New Roman" w:eastAsia="Times New Roman" w:hAnsi="Times New Roman" w:cs="Times New Roman"/>
          <w:color w:val="000000"/>
          <w:spacing w:val="0"/>
          <w:w w:val="100"/>
          <w:position w:val="0"/>
        </w:rPr>
        <w:t>28</w:t>
      </w:r>
      <w:r>
        <w:rPr>
          <w:color w:val="000000"/>
          <w:spacing w:val="0"/>
          <w:w w:val="100"/>
          <w:position w:val="0"/>
        </w:rPr>
        <w:t>长期借款。</w:t>
      </w:r>
    </w:p>
    <w:p>
      <w:pPr>
        <w:widowControl w:val="0"/>
        <w:spacing w:after="379" w:line="1" w:lineRule="exact"/>
      </w:pPr>
    </w:p>
    <w:p>
      <w:pPr>
        <w:pStyle w:val="Style31"/>
        <w:keepNext/>
        <w:keepLines/>
        <w:widowControl w:val="0"/>
        <w:shd w:val="clear" w:color="auto" w:fill="auto"/>
        <w:bidi w:val="0"/>
        <w:spacing w:before="0" w:after="380" w:line="240" w:lineRule="auto"/>
        <w:ind w:left="0" w:right="0" w:firstLine="0"/>
        <w:jc w:val="left"/>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1</w:t>
      </w:r>
      <w:bookmarkEnd w:id="818"/>
      <w:r>
        <w:rPr>
          <w:rFonts w:ascii="Times New Roman" w:eastAsia="Times New Roman" w:hAnsi="Times New Roman" w:cs="Times New Roman"/>
          <w:color w:val="000000"/>
          <w:spacing w:val="0"/>
          <w:w w:val="100"/>
          <w:position w:val="0"/>
        </w:rPr>
        <w:t>5</w:t>
      </w:r>
      <w:r>
        <w:rPr>
          <w:color w:val="000000"/>
          <w:spacing w:val="0"/>
          <w:w w:val="100"/>
          <w:position w:val="0"/>
        </w:rPr>
        <w:t>、开发支出</w:t>
      </w:r>
      <w:bookmarkEnd w:id="816"/>
      <w:bookmarkEnd w:id="817"/>
      <w:bookmarkEnd w:id="81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277"/>
        <w:gridCol w:w="1277"/>
        <w:gridCol w:w="710"/>
        <w:gridCol w:w="566"/>
        <w:gridCol w:w="1133"/>
        <w:gridCol w:w="850"/>
        <w:gridCol w:w="422"/>
        <w:gridCol w:w="107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内部开发支出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确认为无形</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转入当期</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线上运营平台及乐活系统开 发项目不同模块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2,006,251.11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1,383,710.73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622,540.38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公信</w:t>
            </w:r>
            <w:r>
              <w:rPr>
                <w:rFonts w:ascii="Times New Roman" w:eastAsia="Times New Roman" w:hAnsi="Times New Roman" w:cs="Times New Roman"/>
                <w:color w:val="000000"/>
                <w:spacing w:val="0"/>
                <w:w w:val="100"/>
                <w:position w:val="0"/>
              </w:rPr>
              <w:t>365</w:t>
            </w:r>
            <w:r>
              <w:rPr>
                <w:color w:val="000000"/>
                <w:spacing w:val="0"/>
                <w:w w:val="100"/>
                <w:position w:val="0"/>
              </w:rPr>
              <w:t>平台二期相关软 件及开发服务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1,200,470.18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1,200,470.18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3,206,721.29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2,584,180.91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622,540.38</w:t>
            </w:r>
          </w:p>
        </w:tc>
      </w:tr>
    </w:tbl>
    <w:p>
      <w:pPr>
        <w:widowControl w:val="0"/>
        <w:spacing w:after="79"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bl>
      <w:tblPr>
        <w:tblOverlap w:val="never"/>
        <w:jc w:val="center"/>
        <w:tblLayout w:type="fixed"/>
      </w:tblPr>
      <w:tblGrid>
        <w:gridCol w:w="2520"/>
        <w:gridCol w:w="1843"/>
        <w:gridCol w:w="3547"/>
        <w:gridCol w:w="1709"/>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资本化开始时点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资本化具体依据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年末研发进度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线上运营平台及乐活系统开发 项目不同模块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产品正式进入开发 需求分析后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通过技术可行性及经济可行性研究，形成项 目立项后，进入开发阶段。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30%-90%</w:t>
            </w:r>
          </w:p>
        </w:tc>
      </w:tr>
      <w:tr>
        <w:trPr>
          <w:trHeight w:val="76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left"/>
            </w:pPr>
            <w:r>
              <w:rPr>
                <w:color w:val="000000"/>
                <w:spacing w:val="0"/>
                <w:w w:val="100"/>
                <w:position w:val="0"/>
              </w:rPr>
              <w:t>公信</w:t>
            </w:r>
            <w:r>
              <w:rPr>
                <w:rFonts w:ascii="Times New Roman" w:eastAsia="Times New Roman" w:hAnsi="Times New Roman" w:cs="Times New Roman"/>
                <w:color w:val="000000"/>
                <w:spacing w:val="0"/>
                <w:w w:val="100"/>
                <w:position w:val="0"/>
              </w:rPr>
              <w:t>365</w:t>
            </w:r>
            <w:r>
              <w:rPr>
                <w:color w:val="000000"/>
                <w:spacing w:val="0"/>
                <w:w w:val="100"/>
                <w:position w:val="0"/>
              </w:rPr>
              <w:t>平台二期相关软件及 开发服务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55" w:lineRule="exact"/>
              <w:ind w:left="0" w:right="0" w:firstLine="0"/>
              <w:jc w:val="left"/>
            </w:pPr>
            <w:r>
              <w:rPr>
                <w:color w:val="000000"/>
                <w:spacing w:val="0"/>
                <w:w w:val="100"/>
                <w:position w:val="0"/>
              </w:rPr>
              <w:t>产品正式进入开发 需求分析后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通过技术可行性及经济可行性研究，形成项 目立项后，进入开发阶段。</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1</w:t>
      </w:r>
      <w:bookmarkEnd w:id="822"/>
      <w:r>
        <w:rPr>
          <w:rFonts w:ascii="Times New Roman" w:eastAsia="Times New Roman" w:hAnsi="Times New Roman" w:cs="Times New Roman"/>
          <w:color w:val="000000"/>
          <w:spacing w:val="0"/>
          <w:w w:val="100"/>
          <w:position w:val="0"/>
        </w:rPr>
        <w:t>6</w:t>
      </w:r>
      <w:r>
        <w:rPr>
          <w:color w:val="000000"/>
          <w:spacing w:val="0"/>
          <w:w w:val="100"/>
          <w:position w:val="0"/>
        </w:rPr>
        <w:t>、长期待摊费用</w:t>
      </w:r>
      <w:bookmarkEnd w:id="820"/>
      <w:bookmarkEnd w:id="821"/>
      <w:bookmarkEnd w:id="82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1560"/>
        <w:gridCol w:w="1272"/>
        <w:gridCol w:w="1277"/>
        <w:gridCol w:w="1277"/>
        <w:gridCol w:w="121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租入固定资产改良支出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12,261,165.90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47,981.05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5,656,170.24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6,652,976.71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办公室装修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7,772,238.33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1,091,826.40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3,883,483.60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4,787,247.82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余土资源化综合利用示范生产线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1,092,962.22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570,241.20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522,721.02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会员费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443,147.81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272,981.92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170,165.89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21,569,514.26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1,139,807.45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10,382,876.96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12,133,111.44</w:t>
            </w:r>
          </w:p>
        </w:tc>
      </w:tr>
    </w:tbl>
    <w:p>
      <w:pPr>
        <w:pStyle w:val="Style20"/>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其他说明： 无。</w:t>
      </w:r>
      <w:r>
        <w:br w:type="page"/>
      </w:r>
    </w:p>
    <w:p>
      <w:pPr>
        <w:pStyle w:val="Style31"/>
        <w:keepNext/>
        <w:keepLines/>
        <w:widowControl w:val="0"/>
        <w:pBdr>
          <w:top w:val="single" w:sz="4" w:space="0" w:color="auto"/>
        </w:pBdr>
        <w:shd w:val="clear" w:color="auto" w:fill="auto"/>
        <w:bidi w:val="0"/>
        <w:spacing w:before="0" w:after="380" w:line="240" w:lineRule="auto"/>
        <w:ind w:left="0" w:right="0" w:firstLine="0"/>
        <w:jc w:val="left"/>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1</w:t>
      </w:r>
      <w:bookmarkEnd w:id="826"/>
      <w:r>
        <w:rPr>
          <w:rFonts w:ascii="Times New Roman" w:eastAsia="Times New Roman" w:hAnsi="Times New Roman" w:cs="Times New Roman"/>
          <w:color w:val="000000"/>
          <w:spacing w:val="0"/>
          <w:w w:val="100"/>
          <w:position w:val="0"/>
        </w:rPr>
        <w:t>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24"/>
      <w:bookmarkEnd w:id="825"/>
      <w:bookmarkEnd w:id="827"/>
    </w:p>
    <w:p>
      <w:pPr>
        <w:pStyle w:val="Style31"/>
        <w:keepNext/>
        <w:keepLines/>
        <w:widowControl w:val="0"/>
        <w:shd w:val="clear" w:color="auto" w:fill="auto"/>
        <w:bidi w:val="0"/>
        <w:spacing w:before="0" w:after="380" w:line="240" w:lineRule="auto"/>
        <w:ind w:left="0" w:right="0" w:firstLine="0"/>
        <w:jc w:val="left"/>
      </w:pPr>
      <w:bookmarkStart w:id="824" w:name="bookmark824"/>
      <w:bookmarkStart w:id="825" w:name="bookmark825"/>
      <w:bookmarkStart w:id="828" w:name="bookmark828"/>
      <w:bookmarkStart w:id="829" w:name="bookmark829"/>
      <w:r>
        <w:rPr>
          <w:color w:val="000000"/>
          <w:spacing w:val="0"/>
          <w:w w:val="100"/>
          <w:position w:val="0"/>
        </w:rPr>
        <w:t>（</w:t>
      </w:r>
      <w:bookmarkEnd w:id="828"/>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824"/>
      <w:bookmarkEnd w:id="825"/>
      <w:bookmarkEnd w:id="82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83,195,986.30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12,422,880.79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78,383,008.59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11,720,817.39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1,072,682.33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160,902.35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1,125,083.85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168,762.58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4,515,671.85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677,350.78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43,716,436.62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6,743,637.45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53,201,555.40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8,311,774.22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折旧税会差异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5,617,156.97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780,939.56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2,538,783.97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380,817.60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新租赁准则调整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-2,971,378.17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-469,860.42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130,630,884.05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19,638,499.73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139,764,103.66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21,259,522.57</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830" w:name="bookmark830"/>
      <w:bookmarkStart w:id="831" w:name="bookmark831"/>
      <w:bookmarkStart w:id="832" w:name="bookmark832"/>
      <w:bookmarkStart w:id="833" w:name="bookmark833"/>
      <w:r>
        <w:rPr>
          <w:color w:val="000000"/>
          <w:spacing w:val="0"/>
          <w:w w:val="100"/>
          <w:position w:val="0"/>
        </w:rPr>
        <w:t>（</w:t>
      </w:r>
      <w:bookmarkEnd w:id="832"/>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830"/>
      <w:bookmarkEnd w:id="831"/>
      <w:bookmarkEnd w:id="83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03"/>
        <w:gridCol w:w="1843"/>
        <w:gridCol w:w="1421"/>
        <w:gridCol w:w="1560"/>
        <w:gridCol w:w="1354"/>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递延所得税负债</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非同一控制企业合并资产评估增值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-5,817,720.58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-290,886.03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-6,439,047.23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-321,952.36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-5,817,720.58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-290,886.03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-6,439,047.23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-321,952.36</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834" w:name="bookmark834"/>
      <w:bookmarkStart w:id="835" w:name="bookmark835"/>
      <w:bookmarkStart w:id="836" w:name="bookmark836"/>
      <w:bookmarkStart w:id="837" w:name="bookmark837"/>
      <w:r>
        <w:rPr>
          <w:color w:val="000000"/>
          <w:spacing w:val="0"/>
          <w:w w:val="100"/>
          <w:position w:val="0"/>
        </w:rPr>
        <w:t>（</w:t>
      </w:r>
      <w:bookmarkEnd w:id="836"/>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834"/>
      <w:bookmarkEnd w:id="835"/>
      <w:bookmarkEnd w:id="83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19,638,499.73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21,259,522.57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290,886.03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321,952.36</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838" w:name="bookmark838"/>
      <w:bookmarkStart w:id="839" w:name="bookmark839"/>
      <w:bookmarkStart w:id="840" w:name="bookmark840"/>
      <w:bookmarkStart w:id="841" w:name="bookmark841"/>
      <w:r>
        <w:rPr>
          <w:color w:val="000000"/>
          <w:spacing w:val="0"/>
          <w:w w:val="100"/>
          <w:position w:val="0"/>
        </w:rPr>
        <w:t>（</w:t>
      </w:r>
      <w:bookmarkEnd w:id="840"/>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838"/>
      <w:bookmarkEnd w:id="839"/>
      <w:bookmarkEnd w:id="84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907,031.08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382,953.14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19,031,909.61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18,978,927.92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19,938,940.69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19,361,881.06</w:t>
            </w:r>
          </w:p>
        </w:tc>
      </w:tr>
    </w:tbl>
    <w:p>
      <w:pPr>
        <w:sectPr>
          <w:footnotePr>
            <w:pos w:val="pageBottom"/>
            <w:numFmt w:val="decimal"/>
            <w:numRestart w:val="continuous"/>
          </w:footnotePr>
          <w:pgSz w:w="11900" w:h="16840"/>
          <w:pgMar w:top="1481" w:right="1099" w:bottom="1449" w:left="1100" w:header="0" w:footer="3" w:gutter="0"/>
          <w:cols w:space="720"/>
          <w:noEndnote/>
          <w:rtlGutter w:val="0"/>
          <w:docGrid w:linePitch="360"/>
        </w:sectPr>
      </w:pPr>
    </w:p>
    <w:tbl>
      <w:tblPr>
        <w:tblOverlap w:val="never"/>
        <w:jc w:val="center"/>
        <w:tblLayout w:type="fixed"/>
      </w:tblPr>
      <w:tblGrid>
        <w:gridCol w:w="1205"/>
        <w:gridCol w:w="8554"/>
      </w:tblGrid>
      <w:tr>
        <w:trPr>
          <w:trHeight w:val="62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376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年年度报告全文</w:t>
            </w:r>
          </w:p>
        </w:tc>
      </w:tr>
      <w:tr>
        <w:trPr>
          <w:trHeight w:val="590"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因子公司亏损， 得税资产。</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未来能否获得足够的应纳税所得额具有不确定性，因此没有对其可抵扣暂时性差异和可抵扣亏损确认递延所</w:t>
            </w:r>
          </w:p>
        </w:tc>
      </w:tr>
    </w:tbl>
    <w:p>
      <w:pPr>
        <w:widowControl w:val="0"/>
        <w:spacing w:after="359" w:line="1" w:lineRule="exact"/>
      </w:pPr>
    </w:p>
    <w:p>
      <w:pPr>
        <w:pStyle w:val="Style31"/>
        <w:keepNext/>
        <w:keepLines/>
        <w:widowControl w:val="0"/>
        <w:numPr>
          <w:ilvl w:val="0"/>
          <w:numId w:val="85"/>
        </w:numPr>
        <w:shd w:val="clear" w:color="auto" w:fill="auto"/>
        <w:bidi w:val="0"/>
        <w:spacing w:before="0" w:line="240" w:lineRule="auto"/>
        <w:ind w:left="0" w:right="0" w:firstLine="0"/>
        <w:jc w:val="left"/>
      </w:pPr>
      <w:bookmarkStart w:id="842" w:name="bookmark842"/>
      <w:bookmarkStart w:id="843" w:name="bookmark843"/>
      <w:bookmarkStart w:id="844" w:name="bookmark844"/>
      <w:bookmarkStart w:id="845" w:name="bookmark845"/>
      <w:bookmarkEnd w:id="844"/>
      <w:r>
        <w:rPr>
          <w:color w:val="000000"/>
          <w:spacing w:val="0"/>
          <w:w w:val="100"/>
          <w:position w:val="0"/>
        </w:rPr>
        <w:t>未确认递延所得税资产的可抵扣亏损将于以下年度到期</w:t>
      </w:r>
      <w:bookmarkEnd w:id="842"/>
      <w:bookmarkEnd w:id="843"/>
      <w:bookmarkEnd w:id="84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627,682.17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2,563,213.78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3,478,413.29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5,749,855.08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7,175,406.19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6,518,588.84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6,518,588.84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1,091,264.71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1,178,837.43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3,108,987.20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19,031,909.61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18,978,927.92</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bidi w:val="0"/>
        <w:spacing w:before="0" w:line="240" w:lineRule="auto"/>
        <w:ind w:left="0" w:right="0" w:firstLine="0"/>
        <w:jc w:val="left"/>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1</w:t>
      </w:r>
      <w:bookmarkEnd w:id="848"/>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846"/>
      <w:bookmarkEnd w:id="847"/>
      <w:bookmarkEnd w:id="84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1061"/>
        <w:gridCol w:w="1066"/>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预付设备采购款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1,355,927.88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1,355,927.88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2,702,617.42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2,702,617.42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预付软件开发款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3,959,457.88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3,959,457.88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714,868.67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714,868.67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5,315,385.76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5,315,385.76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3,417,486.09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3,417,486.09</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bidi w:val="0"/>
        <w:spacing w:before="0" w:line="240" w:lineRule="auto"/>
        <w:ind w:left="0" w:right="0" w:firstLine="0"/>
        <w:jc w:val="left"/>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1</w:t>
      </w:r>
      <w:bookmarkEnd w:id="852"/>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850"/>
      <w:bookmarkEnd w:id="851"/>
      <w:bookmarkEnd w:id="853"/>
    </w:p>
    <w:p>
      <w:pPr>
        <w:pStyle w:val="Style31"/>
        <w:keepNext/>
        <w:keepLines/>
        <w:widowControl w:val="0"/>
        <w:numPr>
          <w:ilvl w:val="0"/>
          <w:numId w:val="87"/>
        </w:numPr>
        <w:shd w:val="clear" w:color="auto" w:fill="auto"/>
        <w:bidi w:val="0"/>
        <w:spacing w:before="0" w:line="240" w:lineRule="auto"/>
        <w:ind w:left="0" w:right="0" w:firstLine="0"/>
        <w:jc w:val="left"/>
      </w:pPr>
      <w:bookmarkStart w:id="850" w:name="bookmark850"/>
      <w:bookmarkStart w:id="851" w:name="bookmark851"/>
      <w:bookmarkStart w:id="854" w:name="bookmark854"/>
      <w:bookmarkStart w:id="855" w:name="bookmark855"/>
      <w:bookmarkEnd w:id="854"/>
      <w:r>
        <w:rPr>
          <w:color w:val="000000"/>
          <w:spacing w:val="0"/>
          <w:w w:val="100"/>
          <w:position w:val="0"/>
        </w:rPr>
        <w:t>短期借款分类</w:t>
      </w:r>
      <w:bookmarkEnd w:id="850"/>
      <w:bookmarkEnd w:id="851"/>
      <w:bookmarkEnd w:id="85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60,052,166.67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120,115,000.00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50,047,777.77</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120,115,000.00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110,099,944.44</w:t>
            </w:r>
          </w:p>
        </w:tc>
      </w:tr>
    </w:tbl>
    <w:p>
      <w:pPr>
        <w:pStyle w:val="Style2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822" w:right="1071" w:bottom="1153" w:left="1071" w:header="0" w:footer="3" w:gutter="0"/>
          <w:cols w:space="720"/>
          <w:noEndnote/>
          <w:rtlGutter w:val="0"/>
          <w:docGrid w:linePitch="360"/>
        </w:sectPr>
      </w:pPr>
      <w:r>
        <w:rPr>
          <w:color w:val="000000"/>
          <w:spacing w:val="0"/>
          <w:w w:val="100"/>
          <w:position w:val="0"/>
        </w:rPr>
        <w:t>注：本年末短期借款的利率为基于</w:t>
      </w:r>
      <w:r>
        <w:rPr>
          <w:rFonts w:ascii="Times New Roman" w:eastAsia="Times New Roman" w:hAnsi="Times New Roman" w:cs="Times New Roman"/>
          <w:color w:val="000000"/>
          <w:spacing w:val="0"/>
          <w:w w:val="100"/>
          <w:position w:val="0"/>
        </w:rPr>
        <w:t>LPR</w:t>
      </w:r>
      <w:r>
        <w:rPr>
          <w:color w:val="000000"/>
          <w:spacing w:val="0"/>
          <w:w w:val="100"/>
          <w:position w:val="0"/>
        </w:rPr>
        <w:t>的浮动利率，借款利率区间为</w:t>
      </w:r>
      <w:r>
        <w:rPr>
          <w:rFonts w:ascii="Times New Roman" w:eastAsia="Times New Roman" w:hAnsi="Times New Roman" w:cs="Times New Roman"/>
          <w:color w:val="000000"/>
          <w:spacing w:val="0"/>
          <w:w w:val="100"/>
          <w:position w:val="0"/>
        </w:rPr>
        <w:t>3.40%</w:t>
      </w:r>
      <w:r>
        <w:rPr>
          <w:color w:val="000000"/>
          <w:spacing w:val="0"/>
          <w:w w:val="100"/>
          <w:position w:val="0"/>
        </w:rPr>
        <w:t>至</w:t>
      </w:r>
      <w:r>
        <w:rPr>
          <w:rFonts w:ascii="Times New Roman" w:eastAsia="Times New Roman" w:hAnsi="Times New Roman" w:cs="Times New Roman"/>
          <w:color w:val="000000"/>
          <w:spacing w:val="0"/>
          <w:w w:val="100"/>
          <w:position w:val="0"/>
        </w:rPr>
        <w:t>3.60%</w:t>
      </w:r>
      <w:r>
        <w:rPr>
          <w:color w:val="000000"/>
          <w:spacing w:val="0"/>
          <w:w w:val="100"/>
          <w:position w:val="0"/>
        </w:rPr>
        <w:t>，没有逾期的短期借款。</w:t>
      </w:r>
    </w:p>
    <w:p>
      <w:pPr>
        <w:pStyle w:val="Style31"/>
        <w:keepNext/>
        <w:keepLines/>
        <w:widowControl w:val="0"/>
        <w:pBdr>
          <w:top w:val="single" w:sz="4" w:space="0" w:color="auto"/>
        </w:pBdr>
        <w:shd w:val="clear" w:color="auto" w:fill="auto"/>
        <w:bidi w:val="0"/>
        <w:spacing w:before="0" w:line="240" w:lineRule="auto"/>
        <w:ind w:left="0" w:right="0" w:firstLine="0"/>
        <w:jc w:val="left"/>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2</w:t>
      </w:r>
      <w:bookmarkEnd w:id="858"/>
      <w:r>
        <w:rPr>
          <w:rFonts w:ascii="Times New Roman" w:eastAsia="Times New Roman" w:hAnsi="Times New Roman" w:cs="Times New Roman"/>
          <w:color w:val="000000"/>
          <w:spacing w:val="0"/>
          <w:w w:val="100"/>
          <w:position w:val="0"/>
        </w:rPr>
        <w:t>0</w:t>
      </w:r>
      <w:r>
        <w:rPr>
          <w:color w:val="000000"/>
          <w:spacing w:val="0"/>
          <w:w w:val="100"/>
          <w:position w:val="0"/>
        </w:rPr>
        <w:t>、应付账款</w:t>
      </w:r>
      <w:bookmarkEnd w:id="856"/>
      <w:bookmarkEnd w:id="857"/>
      <w:bookmarkEnd w:id="859"/>
    </w:p>
    <w:p>
      <w:pPr>
        <w:pStyle w:val="Style31"/>
        <w:keepNext/>
        <w:keepLines/>
        <w:widowControl w:val="0"/>
        <w:shd w:val="clear" w:color="auto" w:fill="auto"/>
        <w:bidi w:val="0"/>
        <w:spacing w:before="0" w:line="240" w:lineRule="auto"/>
        <w:ind w:left="0" w:right="0" w:firstLine="0"/>
        <w:jc w:val="left"/>
      </w:pPr>
      <w:bookmarkStart w:id="856" w:name="bookmark856"/>
      <w:bookmarkStart w:id="857" w:name="bookmark857"/>
      <w:bookmarkStart w:id="860" w:name="bookmark8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856"/>
      <w:bookmarkEnd w:id="857"/>
      <w:bookmarkEnd w:id="86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62,238,583.21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127,036,101.03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87,194,475.75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56,219,641.90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43,358,789.09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6,914,907.83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19,629,935.45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18,625,548.29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212,421,783.50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208,796,199.05</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861" w:name="bookmark861"/>
      <w:bookmarkStart w:id="862" w:name="bookmark862"/>
      <w:bookmarkStart w:id="863" w:name="bookmark863"/>
      <w:bookmarkStart w:id="864" w:name="bookmark864"/>
      <w:r>
        <w:rPr>
          <w:color w:val="000000"/>
          <w:spacing w:val="0"/>
          <w:w w:val="100"/>
          <w:position w:val="0"/>
        </w:rPr>
        <w:t>（</w:t>
      </w:r>
      <w:bookmarkEnd w:id="86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861"/>
      <w:bookmarkEnd w:id="862"/>
      <w:bookmarkEnd w:id="86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24"/>
        <w:gridCol w:w="2126"/>
        <w:gridCol w:w="263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未来大厦项目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52,127,862.56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未到付款节点</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雄安商务服务中心项目全过程工程咨询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33,158,523.80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未到付款节点</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容东片区安置房及配套设施项目第三方工程质量检测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9,106,087.81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未到付款节点</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94,392,474.17</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bidi w:val="0"/>
        <w:spacing w:before="0" w:line="240" w:lineRule="auto"/>
        <w:ind w:left="0" w:right="0" w:firstLine="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2</w:t>
      </w:r>
      <w:bookmarkEnd w:id="867"/>
      <w:r>
        <w:rPr>
          <w:rFonts w:ascii="Times New Roman" w:eastAsia="Times New Roman" w:hAnsi="Times New Roman" w:cs="Times New Roman"/>
          <w:color w:val="000000"/>
          <w:spacing w:val="0"/>
          <w:w w:val="100"/>
          <w:position w:val="0"/>
        </w:rPr>
        <w:t>1</w:t>
      </w:r>
      <w:r>
        <w:rPr>
          <w:color w:val="000000"/>
          <w:spacing w:val="0"/>
          <w:w w:val="100"/>
          <w:position w:val="0"/>
        </w:rPr>
        <w:t>、预收款项</w:t>
      </w:r>
      <w:bookmarkEnd w:id="865"/>
      <w:bookmarkEnd w:id="866"/>
      <w:bookmarkEnd w:id="868"/>
    </w:p>
    <w:p>
      <w:pPr>
        <w:pStyle w:val="Style31"/>
        <w:keepNext/>
        <w:keepLines/>
        <w:widowControl w:val="0"/>
        <w:shd w:val="clear" w:color="auto" w:fill="auto"/>
        <w:bidi w:val="0"/>
        <w:spacing w:before="0" w:line="240" w:lineRule="auto"/>
        <w:ind w:left="0" w:right="0" w:firstLine="0"/>
        <w:jc w:val="left"/>
      </w:pPr>
      <w:bookmarkStart w:id="865" w:name="bookmark865"/>
      <w:bookmarkStart w:id="866" w:name="bookmark866"/>
      <w:bookmarkStart w:id="869" w:name="bookmark8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865"/>
      <w:bookmarkEnd w:id="866"/>
      <w:bookmarkEnd w:id="86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1</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1,512,879.95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2,339,445.20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年至</w:t>
            </w:r>
            <w:r>
              <w:rPr>
                <w:rFonts w:ascii="Times New Roman" w:eastAsia="Times New Roman" w:hAnsi="Times New Roman" w:cs="Times New Roman"/>
                <w:color w:val="000000"/>
                <w:spacing w:val="0"/>
                <w:w w:val="100"/>
                <w:position w:val="0"/>
              </w:rPr>
              <w:t>2</w:t>
            </w:r>
            <w:r>
              <w:rPr>
                <w:color w:val="000000"/>
                <w:spacing w:val="0"/>
                <w:w w:val="100"/>
                <w:position w:val="0"/>
              </w:rPr>
              <w:t>年</w:t>
            </w:r>
            <w:r>
              <w:rPr>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2</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231,456.54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76,268.50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年至</w:t>
            </w:r>
            <w:r>
              <w:rPr>
                <w:rFonts w:ascii="Times New Roman" w:eastAsia="Times New Roman" w:hAnsi="Times New Roman" w:cs="Times New Roman"/>
                <w:color w:val="000000"/>
                <w:spacing w:val="0"/>
                <w:w w:val="100"/>
                <w:position w:val="0"/>
              </w:rPr>
              <w:t>3</w:t>
            </w:r>
            <w:r>
              <w:rPr>
                <w:color w:val="000000"/>
                <w:spacing w:val="0"/>
                <w:w w:val="100"/>
                <w:position w:val="0"/>
              </w:rPr>
              <w:t>年</w:t>
            </w:r>
            <w:r>
              <w:rPr>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3</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60,458.50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32,780.00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32,780.00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1,837,574.99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2,448,493.70</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870" w:name="bookmark870"/>
      <w:bookmarkStart w:id="871" w:name="bookmark871"/>
      <w:bookmarkStart w:id="872" w:name="bookmark872"/>
      <w:bookmarkStart w:id="873" w:name="bookmark873"/>
      <w:r>
        <w:rPr>
          <w:rFonts w:ascii="Times New Roman" w:eastAsia="Times New Roman" w:hAnsi="Times New Roman" w:cs="Times New Roman"/>
          <w:color w:val="000000"/>
          <w:spacing w:val="0"/>
          <w:w w:val="100"/>
          <w:position w:val="0"/>
        </w:rPr>
        <w:t>2</w:t>
      </w:r>
      <w:bookmarkEnd w:id="872"/>
      <w:r>
        <w:rPr>
          <w:rFonts w:ascii="Times New Roman" w:eastAsia="Times New Roman" w:hAnsi="Times New Roman" w:cs="Times New Roman"/>
          <w:color w:val="000000"/>
          <w:spacing w:val="0"/>
          <w:w w:val="100"/>
          <w:position w:val="0"/>
        </w:rPr>
        <w:t>2</w:t>
      </w:r>
      <w:r>
        <w:rPr>
          <w:color w:val="000000"/>
          <w:spacing w:val="0"/>
          <w:w w:val="100"/>
          <w:position w:val="0"/>
        </w:rPr>
        <w:t>、合同负债</w:t>
      </w:r>
      <w:bookmarkEnd w:id="870"/>
      <w:bookmarkEnd w:id="871"/>
      <w:bookmarkEnd w:id="87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ectPr>
          <w:footnotePr>
            <w:pos w:val="pageBottom"/>
            <w:numFmt w:val="decimal"/>
            <w:numRestart w:val="continuous"/>
          </w:footnotePr>
          <w:pgSz w:w="11900" w:h="16840"/>
          <w:pgMar w:top="1484" w:right="1109" w:bottom="1484" w:left="1104" w:header="0" w:footer="3" w:gutter="0"/>
          <w:cols w:space="720"/>
          <w:noEndnote/>
          <w:rtlGutter w:val="0"/>
          <w:docGrid w:linePitch="360"/>
        </w:sectPr>
      </w:pPr>
    </w:p>
    <w:tbl>
      <w:tblPr>
        <w:tblOverlap w:val="never"/>
        <w:jc w:val="center"/>
        <w:tblLayout w:type="fixed"/>
      </w:tblPr>
      <w:tblGrid>
        <w:gridCol w:w="3250"/>
        <w:gridCol w:w="3187"/>
        <w:gridCol w:w="3264"/>
      </w:tblGrid>
      <w:tr>
        <w:trPr>
          <w:trHeight w:val="629" w:hRule="exact"/>
        </w:trPr>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年年度报告全文</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1</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12,158,883.84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20,159,202.61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年至</w:t>
            </w:r>
            <w:r>
              <w:rPr>
                <w:rFonts w:ascii="Times New Roman" w:eastAsia="Times New Roman" w:hAnsi="Times New Roman" w:cs="Times New Roman"/>
                <w:color w:val="000000"/>
                <w:spacing w:val="0"/>
                <w:w w:val="100"/>
                <w:position w:val="0"/>
              </w:rPr>
              <w:t>2</w:t>
            </w:r>
            <w:r>
              <w:rPr>
                <w:color w:val="000000"/>
                <w:spacing w:val="0"/>
                <w:w w:val="100"/>
                <w:position w:val="0"/>
              </w:rPr>
              <w:t>年</w:t>
            </w:r>
            <w:r>
              <w:rPr>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2</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2,242,259.50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1,980,625.28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年至</w:t>
            </w:r>
            <w:r>
              <w:rPr>
                <w:rFonts w:ascii="Times New Roman" w:eastAsia="Times New Roman" w:hAnsi="Times New Roman" w:cs="Times New Roman"/>
                <w:color w:val="000000"/>
                <w:spacing w:val="0"/>
                <w:w w:val="100"/>
                <w:position w:val="0"/>
              </w:rPr>
              <w:t>3</w:t>
            </w:r>
            <w:r>
              <w:rPr>
                <w:color w:val="000000"/>
                <w:spacing w:val="0"/>
                <w:w w:val="100"/>
                <w:position w:val="0"/>
              </w:rPr>
              <w:t>年</w:t>
            </w:r>
            <w:r>
              <w:rPr>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3</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663,352.11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601,811.10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年至</w:t>
            </w:r>
            <w:r>
              <w:rPr>
                <w:rFonts w:ascii="Times New Roman" w:eastAsia="Times New Roman" w:hAnsi="Times New Roman" w:cs="Times New Roman"/>
                <w:color w:val="000000"/>
                <w:spacing w:val="0"/>
                <w:w w:val="100"/>
                <w:position w:val="0"/>
              </w:rPr>
              <w:t>4</w:t>
            </w:r>
            <w:r>
              <w:rPr>
                <w:color w:val="000000"/>
                <w:spacing w:val="0"/>
                <w:w w:val="100"/>
                <w:position w:val="0"/>
              </w:rPr>
              <w:t>年</w:t>
            </w:r>
            <w:r>
              <w:rPr>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4</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405,892.64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337,685.00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年至</w:t>
            </w:r>
            <w:r>
              <w:rPr>
                <w:rFonts w:ascii="Times New Roman" w:eastAsia="Times New Roman" w:hAnsi="Times New Roman" w:cs="Times New Roman"/>
                <w:color w:val="000000"/>
                <w:spacing w:val="0"/>
                <w:w w:val="100"/>
                <w:position w:val="0"/>
              </w:rPr>
              <w:t>5</w:t>
            </w:r>
            <w:r>
              <w:rPr>
                <w:color w:val="000000"/>
                <w:spacing w:val="0"/>
                <w:w w:val="100"/>
                <w:position w:val="0"/>
              </w:rPr>
              <w:t>年</w:t>
            </w:r>
            <w:r>
              <w:rPr>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26,520.00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169,953.77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129,875.52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15,626,783.61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23,250,047.76</w:t>
            </w:r>
          </w:p>
        </w:tc>
      </w:tr>
    </w:tbl>
    <w:p>
      <w:pPr>
        <w:widowControl w:val="0"/>
        <w:spacing w:after="79" w:line="1" w:lineRule="exact"/>
      </w:pPr>
    </w:p>
    <w:p>
      <w:pPr>
        <w:pStyle w:val="Style20"/>
        <w:keepNext w:val="0"/>
        <w:keepLines w:val="0"/>
        <w:widowControl w:val="0"/>
        <w:shd w:val="clear" w:color="auto" w:fill="auto"/>
        <w:bidi w:val="0"/>
        <w:spacing w:before="0" w:after="80" w:line="307" w:lineRule="exact"/>
        <w:ind w:left="0" w:right="0" w:firstLine="0"/>
        <w:jc w:val="both"/>
      </w:pPr>
      <w:r>
        <w:rPr>
          <w:color w:val="000000"/>
          <w:spacing w:val="0"/>
          <w:w w:val="100"/>
          <w:position w:val="0"/>
        </w:rPr>
        <w:t>注：</w:t>
      </w:r>
    </w:p>
    <w:p>
      <w:pPr>
        <w:pStyle w:val="Style20"/>
        <w:keepNext w:val="0"/>
        <w:keepLines w:val="0"/>
        <w:widowControl w:val="0"/>
        <w:shd w:val="clear" w:color="auto" w:fill="auto"/>
        <w:tabs>
          <w:tab w:pos="349" w:val="left"/>
        </w:tabs>
        <w:bidi w:val="0"/>
        <w:spacing w:before="0" w:after="80" w:line="307" w:lineRule="exact"/>
        <w:ind w:left="0" w:right="0" w:firstLine="0"/>
        <w:jc w:val="both"/>
      </w:pPr>
      <w:bookmarkStart w:id="874" w:name="bookmark874"/>
      <w:r>
        <w:rPr>
          <w:rFonts w:ascii="Times New Roman" w:eastAsia="Times New Roman" w:hAnsi="Times New Roman" w:cs="Times New Roman"/>
          <w:color w:val="000000"/>
          <w:spacing w:val="0"/>
          <w:w w:val="100"/>
          <w:position w:val="0"/>
        </w:rPr>
        <w:t>1</w:t>
      </w:r>
      <w:bookmarkEnd w:id="874"/>
      <w:r>
        <w:rPr>
          <w:color w:val="000000"/>
          <w:spacing w:val="0"/>
          <w:w w:val="100"/>
          <w:position w:val="0"/>
        </w:rPr>
        <w:t>）</w:t>
        <w:tab/>
        <w:t>合同负债主要涉及本集团从不同客户的服务合同中收取的预收款项。该预收款项在合同签订时收取，金额为合同对价的 固定百分比。合同的相关收入将在本集团履行履约义务后确认。</w:t>
      </w:r>
    </w:p>
    <w:p>
      <w:pPr>
        <w:pStyle w:val="Style20"/>
        <w:keepNext w:val="0"/>
        <w:keepLines w:val="0"/>
        <w:widowControl w:val="0"/>
        <w:shd w:val="clear" w:color="auto" w:fill="auto"/>
        <w:tabs>
          <w:tab w:pos="368" w:val="left"/>
        </w:tabs>
        <w:bidi w:val="0"/>
        <w:spacing w:before="0" w:after="380" w:line="307" w:lineRule="exact"/>
        <w:ind w:left="0" w:right="0" w:firstLine="0"/>
        <w:jc w:val="both"/>
      </w:pPr>
      <w:bookmarkStart w:id="875" w:name="bookmark875"/>
      <w:r>
        <w:rPr>
          <w:rFonts w:ascii="Times New Roman" w:eastAsia="Times New Roman" w:hAnsi="Times New Roman" w:cs="Times New Roman"/>
          <w:color w:val="000000"/>
          <w:spacing w:val="0"/>
          <w:w w:val="100"/>
          <w:position w:val="0"/>
        </w:rPr>
        <w:t>2</w:t>
      </w:r>
      <w:bookmarkEnd w:id="875"/>
      <w:r>
        <w:rPr>
          <w:color w:val="000000"/>
          <w:spacing w:val="0"/>
          <w:w w:val="100"/>
          <w:position w:val="0"/>
        </w:rPr>
        <w:t>）</w:t>
        <w:tab/>
        <w:t>本集团账龄超过一年的合同负债主要为收到服务项目的预收款项。</w:t>
      </w:r>
    </w:p>
    <w:p>
      <w:pPr>
        <w:pStyle w:val="Style20"/>
        <w:keepNext w:val="0"/>
        <w:keepLines w:val="0"/>
        <w:widowControl w:val="0"/>
        <w:shd w:val="clear" w:color="auto" w:fill="auto"/>
        <w:bidi w:val="0"/>
        <w:spacing w:before="0" w:after="80" w:line="307" w:lineRule="exact"/>
        <w:ind w:left="0" w:right="0" w:firstLine="0"/>
        <w:jc w:val="both"/>
      </w:pPr>
      <w:r>
        <w:rPr>
          <w:color w:val="000000"/>
          <w:spacing w:val="0"/>
          <w:w w:val="100"/>
          <w:position w:val="0"/>
        </w:rPr>
        <w:t>报告期内账面价值发生重大变动的金额和原因：</w:t>
      </w:r>
    </w:p>
    <w:p>
      <w:pPr>
        <w:pStyle w:val="Style20"/>
        <w:keepNext w:val="0"/>
        <w:keepLines w:val="0"/>
        <w:widowControl w:val="0"/>
        <w:shd w:val="clear" w:color="auto" w:fill="auto"/>
        <w:bidi w:val="0"/>
        <w:spacing w:before="0" w:after="80" w:line="307" w:lineRule="exact"/>
        <w:ind w:left="8940" w:right="0" w:firstLine="0"/>
        <w:jc w:val="left"/>
      </w:pPr>
      <w:r>
        <w:rPr>
          <w:color w:val="000000"/>
          <w:spacing w:val="0"/>
          <w:w w:val="100"/>
          <w:position w:val="0"/>
        </w:rPr>
        <w:t>单位：元</w:t>
      </w:r>
    </w:p>
    <w:tbl>
      <w:tblPr>
        <w:tblOverlap w:val="never"/>
        <w:jc w:val="center"/>
        <w:tblLayout w:type="fixed"/>
      </w:tblPr>
      <w:tblGrid>
        <w:gridCol w:w="2837"/>
        <w:gridCol w:w="3403"/>
        <w:gridCol w:w="3341"/>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23,250,047.76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包括在合同负债年初账面价值中的 金额所确认的收入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-19,782,147.99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包括在合同负债年初账面价值中的金额所 确认的收入</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因收到现金而增加的金额</w:t>
            </w:r>
            <w:r>
              <w:rPr>
                <w:color w:val="000000"/>
                <w:spacing w:val="0"/>
                <w:w w:val="100"/>
                <w:position w:val="0"/>
              </w:rPr>
              <w:t>（</w:t>
            </w:r>
            <w:r>
              <w:rPr>
                <w:color w:val="000000"/>
                <w:spacing w:val="0"/>
                <w:w w:val="100"/>
                <w:position w:val="0"/>
              </w:rPr>
              <w:t>不包含 本年已确认为收入的金额</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12,158,883.84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因收到现金而增加的金额</w:t>
            </w:r>
            <w:r>
              <w:rPr>
                <w:color w:val="000000"/>
                <w:spacing w:val="0"/>
                <w:w w:val="100"/>
                <w:position w:val="0"/>
              </w:rPr>
              <w:t>（</w:t>
            </w:r>
            <w:r>
              <w:rPr>
                <w:color w:val="000000"/>
                <w:spacing w:val="0"/>
                <w:w w:val="100"/>
                <w:position w:val="0"/>
              </w:rPr>
              <w:t>不包含本年已 确认为收入的金额</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15,626,783.61</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2</w:t>
      </w:r>
      <w:bookmarkEnd w:id="878"/>
      <w:r>
        <w:rPr>
          <w:rFonts w:ascii="Times New Roman" w:eastAsia="Times New Roman" w:hAnsi="Times New Roman" w:cs="Times New Roman"/>
          <w:color w:val="000000"/>
          <w:spacing w:val="0"/>
          <w:w w:val="100"/>
          <w:position w:val="0"/>
        </w:rPr>
        <w:t>3</w:t>
      </w:r>
      <w:r>
        <w:rPr>
          <w:color w:val="000000"/>
          <w:spacing w:val="0"/>
          <w:w w:val="100"/>
          <w:position w:val="0"/>
        </w:rPr>
        <w:t>、应付职工薪酬</w:t>
      </w:r>
      <w:bookmarkEnd w:id="876"/>
      <w:bookmarkEnd w:id="877"/>
      <w:bookmarkEnd w:id="879"/>
    </w:p>
    <w:p>
      <w:pPr>
        <w:pStyle w:val="Style31"/>
        <w:keepNext/>
        <w:keepLines/>
        <w:widowControl w:val="0"/>
        <w:shd w:val="clear" w:color="auto" w:fill="auto"/>
        <w:bidi w:val="0"/>
        <w:spacing w:before="0" w:after="380" w:line="240" w:lineRule="auto"/>
        <w:ind w:left="0" w:right="0" w:firstLine="0"/>
        <w:jc w:val="left"/>
      </w:pPr>
      <w:bookmarkStart w:id="876" w:name="bookmark876"/>
      <w:bookmarkStart w:id="877" w:name="bookmark877"/>
      <w:bookmarkStart w:id="880" w:name="bookmark8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876"/>
      <w:bookmarkEnd w:id="877"/>
      <w:bookmarkEnd w:id="880"/>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81"/>
        <w:gridCol w:w="1982"/>
        <w:gridCol w:w="1704"/>
        <w:gridCol w:w="1560"/>
        <w:gridCol w:w="135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49,277,805.42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241,951,993.53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249,947,902.38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41,281,896.57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设定提存计划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-21,980.40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11,391,974.38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11,369,993.98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34,536.68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34,536.68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49,255,825.02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253,378,504.59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261,352,433.04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41,281,896.57</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881" w:name="bookmark881"/>
      <w:bookmarkStart w:id="882" w:name="bookmark882"/>
      <w:bookmarkStart w:id="883" w:name="bookmark883"/>
      <w:bookmarkStart w:id="884" w:name="bookmark884"/>
      <w:r>
        <w:rPr>
          <w:color w:val="000000"/>
          <w:spacing w:val="0"/>
          <w:w w:val="100"/>
          <w:position w:val="0"/>
        </w:rPr>
        <w:t>（</w:t>
      </w:r>
      <w:bookmarkEnd w:id="883"/>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881"/>
      <w:bookmarkEnd w:id="882"/>
      <w:bookmarkEnd w:id="884"/>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64"/>
        <w:gridCol w:w="1699"/>
        <w:gridCol w:w="1843"/>
        <w:gridCol w:w="1560"/>
        <w:gridCol w:w="121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、工资、奖金、津贴和补贴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48,907,718.85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211,788,732.81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219,461,606.07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41,234,845.59</w:t>
            </w:r>
          </w:p>
        </w:tc>
      </w:tr>
    </w:tbl>
    <w:p>
      <w:pPr>
        <w:sectPr>
          <w:footnotePr>
            <w:pos w:val="pageBottom"/>
            <w:numFmt w:val="decimal"/>
            <w:numRestart w:val="continuous"/>
          </w:footnotePr>
          <w:pgSz w:w="11900" w:h="16840"/>
          <w:pgMar w:top="822" w:right="1100" w:bottom="1153" w:left="1100" w:header="0" w:footer="3" w:gutter="0"/>
          <w:cols w:space="720"/>
          <w:noEndnote/>
          <w:rtlGutter w:val="0"/>
          <w:docGrid w:linePitch="360"/>
        </w:sectPr>
      </w:pPr>
    </w:p>
    <w:tbl>
      <w:tblPr>
        <w:tblOverlap w:val="never"/>
        <w:jc w:val="center"/>
        <w:tblLayout w:type="fixed"/>
      </w:tblPr>
      <w:tblGrid>
        <w:gridCol w:w="3264"/>
        <w:gridCol w:w="1699"/>
        <w:gridCol w:w="1843"/>
        <w:gridCol w:w="1560"/>
        <w:gridCol w:w="1214"/>
      </w:tblGrid>
      <w:tr>
        <w:trPr>
          <w:trHeight w:val="4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139,546.00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9,417,549.71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9,557,095.71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16,431.51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5,714,113.81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5,730,545.32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16,431.51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5,166,168.15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5,182,599.66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195,913.19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195,913.19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352,032.47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352,032.47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9,684,366.78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9,684,366.78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4,309.06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1,125,440.67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1,129,749.73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4,217,258.77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4,217,258.77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其他短期薪酬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4,530.98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167,280.00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47,050.98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49,277,805.42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241,951,993.53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249,947,902.38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41,281,896.57</w:t>
            </w:r>
          </w:p>
        </w:tc>
      </w:tr>
    </w:tbl>
    <w:p>
      <w:pPr>
        <w:widowControl w:val="0"/>
        <w:spacing w:after="319" w:line="1" w:lineRule="exact"/>
      </w:pPr>
    </w:p>
    <w:p>
      <w:pPr>
        <w:pStyle w:val="Style31"/>
        <w:keepNext/>
        <w:keepLines/>
        <w:widowControl w:val="0"/>
        <w:numPr>
          <w:ilvl w:val="0"/>
          <w:numId w:val="83"/>
        </w:numPr>
        <w:shd w:val="clear" w:color="auto" w:fill="auto"/>
        <w:bidi w:val="0"/>
        <w:spacing w:before="0" w:after="380" w:line="240" w:lineRule="auto"/>
        <w:ind w:left="0" w:right="0" w:firstLine="0"/>
        <w:jc w:val="left"/>
      </w:pPr>
      <w:bookmarkStart w:id="885" w:name="bookmark885"/>
      <w:bookmarkStart w:id="886" w:name="bookmark886"/>
      <w:bookmarkStart w:id="887" w:name="bookmark887"/>
      <w:bookmarkStart w:id="888" w:name="bookmark888"/>
      <w:bookmarkEnd w:id="887"/>
      <w:r>
        <w:rPr>
          <w:color w:val="000000"/>
          <w:spacing w:val="0"/>
          <w:w w:val="100"/>
          <w:position w:val="0"/>
        </w:rPr>
        <w:t>设定提存计划列示</w:t>
      </w:r>
      <w:bookmarkEnd w:id="885"/>
      <w:bookmarkEnd w:id="886"/>
      <w:bookmarkEnd w:id="88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-21,980.40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11,137,133.74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11,115,153.34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254,840.64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254,840.64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-21,980.40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11,391,974.38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11,369,993.98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2</w:t>
      </w:r>
      <w:bookmarkEnd w:id="891"/>
      <w:r>
        <w:rPr>
          <w:rFonts w:ascii="Times New Roman" w:eastAsia="Times New Roman" w:hAnsi="Times New Roman" w:cs="Times New Roman"/>
          <w:color w:val="000000"/>
          <w:spacing w:val="0"/>
          <w:w w:val="100"/>
          <w:position w:val="0"/>
        </w:rPr>
        <w:t>4</w:t>
      </w:r>
      <w:r>
        <w:rPr>
          <w:color w:val="000000"/>
          <w:spacing w:val="0"/>
          <w:w w:val="100"/>
          <w:position w:val="0"/>
        </w:rPr>
        <w:t>、应交税费</w:t>
      </w:r>
      <w:bookmarkEnd w:id="889"/>
      <w:bookmarkEnd w:id="890"/>
      <w:bookmarkEnd w:id="89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1,652,483.19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1,383,492.56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3,926,034.03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9,152,169.15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1,697,550.38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1,206,473.19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558,758.11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620,526.09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399,175.94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442,245.30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7,816.75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7,816.75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289,778.90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347,806.90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8,698.56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8,698.57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8,540,295.86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13,169,228.51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pBdr>
          <w:top w:val="single" w:sz="4" w:space="0" w:color="auto"/>
        </w:pBdr>
        <w:shd w:val="clear" w:color="auto" w:fill="auto"/>
        <w:bidi w:val="0"/>
        <w:spacing w:before="0" w:line="240" w:lineRule="auto"/>
        <w:ind w:left="0" w:right="0" w:firstLine="0"/>
        <w:jc w:val="left"/>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2</w:t>
      </w:r>
      <w:bookmarkEnd w:id="895"/>
      <w:r>
        <w:rPr>
          <w:rFonts w:ascii="Times New Roman" w:eastAsia="Times New Roman" w:hAnsi="Times New Roman" w:cs="Times New Roman"/>
          <w:color w:val="000000"/>
          <w:spacing w:val="0"/>
          <w:w w:val="100"/>
          <w:position w:val="0"/>
        </w:rPr>
        <w:t>5</w:t>
      </w:r>
      <w:r>
        <w:rPr>
          <w:color w:val="000000"/>
          <w:spacing w:val="0"/>
          <w:w w:val="100"/>
          <w:position w:val="0"/>
        </w:rPr>
        <w:t>、其他应付款</w:t>
      </w:r>
      <w:bookmarkEnd w:id="893"/>
      <w:bookmarkEnd w:id="894"/>
      <w:bookmarkEnd w:id="89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25,385,776.82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66,269,232.78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25,385,776.82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66,269,232.78</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897" w:name="bookmark897"/>
      <w:bookmarkStart w:id="898" w:name="bookmark898"/>
      <w:bookmarkStart w:id="899" w:name="bookmark8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897"/>
      <w:bookmarkEnd w:id="898"/>
      <w:bookmarkEnd w:id="899"/>
    </w:p>
    <w:p>
      <w:pPr>
        <w:pStyle w:val="Style31"/>
        <w:keepNext/>
        <w:keepLines/>
        <w:widowControl w:val="0"/>
        <w:shd w:val="clear" w:color="auto" w:fill="auto"/>
        <w:bidi w:val="0"/>
        <w:spacing w:before="0" w:line="240" w:lineRule="auto"/>
        <w:ind w:left="0" w:right="0" w:firstLine="0"/>
        <w:jc w:val="left"/>
      </w:pPr>
      <w:bookmarkStart w:id="897" w:name="bookmark897"/>
      <w:bookmarkStart w:id="898" w:name="bookmark898"/>
      <w:bookmarkStart w:id="900" w:name="bookmark900"/>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897"/>
      <w:bookmarkEnd w:id="898"/>
      <w:bookmarkEnd w:id="90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代收代付工程款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16,566,198.86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58,238,033.36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2,805,468.74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2,922,844.14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546,544.37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393,415.16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5,467,564.85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4,714,940.12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25,385,776.82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66,269,232.78</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2</w:t>
      </w:r>
      <w:bookmarkEnd w:id="903"/>
      <w:r>
        <w:rPr>
          <w:rFonts w:ascii="Times New Roman" w:eastAsia="Times New Roman" w:hAnsi="Times New Roman" w:cs="Times New Roman"/>
          <w:color w:val="000000"/>
          <w:spacing w:val="0"/>
          <w:w w:val="100"/>
          <w:position w:val="0"/>
        </w:rPr>
        <w:t>6</w:t>
      </w:r>
      <w:r>
        <w:rPr>
          <w:color w:val="000000"/>
          <w:spacing w:val="0"/>
          <w:w w:val="100"/>
          <w:position w:val="0"/>
        </w:rPr>
        <w:t>、一年内到期的非流动负债</w:t>
      </w:r>
      <w:bookmarkEnd w:id="901"/>
      <w:bookmarkEnd w:id="902"/>
      <w:bookmarkEnd w:id="90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6,090,640.55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294,027.78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21,988,203.12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20,911,776.59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28,078,843.67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21,205,804.37</w:t>
            </w:r>
          </w:p>
        </w:tc>
      </w:tr>
    </w:tbl>
    <w:p>
      <w:pPr>
        <w:widowControl w:val="0"/>
        <w:spacing w:after="99" w:line="1" w:lineRule="exact"/>
      </w:pP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700" w:line="240" w:lineRule="auto"/>
        <w:ind w:left="0" w:right="0" w:firstLine="0"/>
        <w:jc w:val="left"/>
      </w:pPr>
      <w:r>
        <w:rPr>
          <w:color w:val="000000"/>
          <w:spacing w:val="0"/>
          <w:w w:val="100"/>
          <w:position w:val="0"/>
        </w:rPr>
        <w:t>本年末无已逾期未偿付的一年内到期的长期借款。</w:t>
      </w:r>
    </w:p>
    <w:p>
      <w:pPr>
        <w:pStyle w:val="Style31"/>
        <w:keepNext/>
        <w:keepLines/>
        <w:widowControl w:val="0"/>
        <w:shd w:val="clear" w:color="auto" w:fill="auto"/>
        <w:bidi w:val="0"/>
        <w:spacing w:before="0" w:line="240" w:lineRule="auto"/>
        <w:ind w:left="0" w:right="0" w:firstLine="0"/>
        <w:jc w:val="left"/>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2</w:t>
      </w:r>
      <w:bookmarkEnd w:id="907"/>
      <w:r>
        <w:rPr>
          <w:rFonts w:ascii="Times New Roman" w:eastAsia="Times New Roman" w:hAnsi="Times New Roman" w:cs="Times New Roman"/>
          <w:color w:val="000000"/>
          <w:spacing w:val="0"/>
          <w:w w:val="100"/>
          <w:position w:val="0"/>
        </w:rPr>
        <w:t>7</w:t>
      </w:r>
      <w:r>
        <w:rPr>
          <w:color w:val="000000"/>
          <w:spacing w:val="0"/>
          <w:w w:val="100"/>
          <w:position w:val="0"/>
        </w:rPr>
        <w:t>、其他流动负债</w:t>
      </w:r>
      <w:bookmarkEnd w:id="905"/>
      <w:bookmarkEnd w:id="906"/>
      <w:bookmarkEnd w:id="90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23,398,755.50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22,490,942.38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23,398,755.50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22,490,942.38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r>
        <w:br w:type="page"/>
      </w:r>
    </w:p>
    <w:p>
      <w:pPr>
        <w:pStyle w:val="Style31"/>
        <w:keepNext/>
        <w:keepLines/>
        <w:widowControl w:val="0"/>
        <w:pBdr>
          <w:top w:val="single" w:sz="4" w:space="0" w:color="auto"/>
        </w:pBdr>
        <w:shd w:val="clear" w:color="auto" w:fill="auto"/>
        <w:bidi w:val="0"/>
        <w:spacing w:before="0" w:after="380" w:line="240" w:lineRule="auto"/>
        <w:ind w:left="0" w:right="0" w:firstLine="0"/>
        <w:jc w:val="left"/>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2</w:t>
      </w:r>
      <w:bookmarkEnd w:id="911"/>
      <w:r>
        <w:rPr>
          <w:rFonts w:ascii="Times New Roman" w:eastAsia="Times New Roman" w:hAnsi="Times New Roman" w:cs="Times New Roman"/>
          <w:color w:val="000000"/>
          <w:spacing w:val="0"/>
          <w:w w:val="100"/>
          <w:position w:val="0"/>
        </w:rPr>
        <w:t>8</w:t>
      </w:r>
      <w:r>
        <w:rPr>
          <w:color w:val="000000"/>
          <w:spacing w:val="0"/>
          <w:w w:val="100"/>
          <w:position w:val="0"/>
        </w:rPr>
        <w:t>、长期借款</w:t>
      </w:r>
      <w:bookmarkEnd w:id="909"/>
      <w:bookmarkEnd w:id="910"/>
      <w:bookmarkEnd w:id="912"/>
    </w:p>
    <w:p>
      <w:pPr>
        <w:pStyle w:val="Style31"/>
        <w:keepNext/>
        <w:keepLines/>
        <w:widowControl w:val="0"/>
        <w:shd w:val="clear" w:color="auto" w:fill="auto"/>
        <w:bidi w:val="0"/>
        <w:spacing w:before="0" w:after="380" w:line="240" w:lineRule="auto"/>
        <w:ind w:left="0" w:right="0" w:firstLine="0"/>
        <w:jc w:val="left"/>
      </w:pPr>
      <w:bookmarkStart w:id="909" w:name="bookmark909"/>
      <w:bookmarkStart w:id="910" w:name="bookmark910"/>
      <w:bookmarkStart w:id="913" w:name="bookmark9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909"/>
      <w:bookmarkEnd w:id="910"/>
      <w:bookmarkEnd w:id="91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249,386,646.85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228,000,000.00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-5,799,689.46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243,586,957.39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228,000,000.00</w:t>
            </w:r>
          </w:p>
        </w:tc>
      </w:tr>
    </w:tbl>
    <w:p>
      <w:pPr>
        <w:pStyle w:val="Style20"/>
        <w:keepNext w:val="0"/>
        <w:keepLines w:val="0"/>
        <w:widowControl w:val="0"/>
        <w:shd w:val="clear" w:color="auto" w:fill="auto"/>
        <w:bidi w:val="0"/>
        <w:spacing w:before="0" w:after="180" w:line="350" w:lineRule="exact"/>
        <w:ind w:left="0" w:right="0" w:firstLine="0"/>
        <w:jc w:val="left"/>
      </w:pPr>
      <w:r>
        <w:rPr>
          <w:color w:val="000000"/>
          <w:spacing w:val="0"/>
          <w:w w:val="100"/>
          <w:position w:val="0"/>
        </w:rPr>
        <w:t>长期借款分类的说明：无。 其他说明，包括利率区间:</w:t>
      </w:r>
    </w:p>
    <w:p>
      <w:pPr>
        <w:pStyle w:val="Style29"/>
        <w:keepNext w:val="0"/>
        <w:keepLines w:val="0"/>
        <w:widowControl w:val="0"/>
        <w:shd w:val="clear" w:color="auto" w:fill="auto"/>
        <w:bidi w:val="0"/>
        <w:spacing w:before="0" w:after="0" w:line="360" w:lineRule="auto"/>
        <w:ind w:left="0" w:right="0" w:firstLine="0"/>
        <w:jc w:val="left"/>
      </w:pPr>
      <w:r>
        <w:rPr>
          <w:rFonts w:ascii="Arial" w:eastAsia="Arial" w:hAnsi="Arial" w:cs="Arial"/>
          <w:color w:val="000000"/>
          <w:spacing w:val="0"/>
          <w:w w:val="100"/>
          <w:position w:val="0"/>
          <w:sz w:val="20"/>
          <w:szCs w:val="20"/>
        </w:rPr>
        <w:t>•</w:t>
      </w:r>
      <w:r>
        <w:rPr>
          <w:color w:val="000000"/>
          <w:spacing w:val="0"/>
          <w:w w:val="100"/>
          <w:position w:val="0"/>
        </w:rPr>
        <w:t>长期借款情况</w:t>
      </w:r>
    </w:p>
    <w:tbl>
      <w:tblPr>
        <w:tblOverlap w:val="never"/>
        <w:jc w:val="center"/>
        <w:tblLayout w:type="fixed"/>
      </w:tblPr>
      <w:tblGrid>
        <w:gridCol w:w="2947"/>
        <w:gridCol w:w="1987"/>
        <w:gridCol w:w="1272"/>
        <w:gridCol w:w="850"/>
        <w:gridCol w:w="1277"/>
        <w:gridCol w:w="124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本金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借款开始日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合同到期日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工商银行深圳中心区支行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226,000,000.00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26/02/2021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04/02/2032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工商银行深圳中心区支行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358,976.40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28/10/2021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04/02/2032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工商银行深圳中心区支行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890,394.84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28/10/2021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04/02/2032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工商银行深圳中心区支行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2,431,861.05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18/11/2021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04/02/2032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工商银行深圳中心区支行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19,705,414.56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24/12/2021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04/02/2032</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249,386,646.85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20"/>
        <w:keepNext w:val="0"/>
        <w:keepLines w:val="0"/>
        <w:widowControl w:val="0"/>
        <w:shd w:val="clear" w:color="auto" w:fill="auto"/>
        <w:tabs>
          <w:tab w:pos="319" w:val="left"/>
        </w:tabs>
        <w:bidi w:val="0"/>
        <w:spacing w:before="0" w:after="60" w:line="240" w:lineRule="auto"/>
        <w:ind w:left="0" w:right="0" w:firstLine="0"/>
        <w:jc w:val="left"/>
      </w:pPr>
      <w:r>
        <w:rPr>
          <w:rFonts w:ascii="Arial" w:eastAsia="Arial" w:hAnsi="Arial" w:cs="Arial"/>
          <w:color w:val="000000"/>
          <w:spacing w:val="0"/>
          <w:w w:val="100"/>
          <w:position w:val="0"/>
          <w:sz w:val="20"/>
          <w:szCs w:val="20"/>
        </w:rPr>
        <w:t>•</w:t>
        <w:tab/>
      </w:r>
      <w:r>
        <w:rPr>
          <w:color w:val="000000"/>
          <w:spacing w:val="0"/>
          <w:w w:val="100"/>
          <w:position w:val="0"/>
        </w:rPr>
        <w:t>一年内到期的长期借款人民币</w:t>
      </w:r>
      <w:r>
        <w:rPr>
          <w:rFonts w:ascii="Times New Roman" w:eastAsia="Times New Roman" w:hAnsi="Times New Roman" w:cs="Times New Roman"/>
          <w:color w:val="000000"/>
          <w:spacing w:val="0"/>
          <w:w w:val="100"/>
          <w:position w:val="0"/>
        </w:rPr>
        <w:t>5,799,689.46</w:t>
      </w:r>
      <w:r>
        <w:rPr>
          <w:color w:val="000000"/>
          <w:spacing w:val="0"/>
          <w:w w:val="100"/>
          <w:position w:val="0"/>
        </w:rPr>
        <w:t>元以及一年内到期的应付利息人民币</w:t>
      </w:r>
      <w:r>
        <w:rPr>
          <w:rFonts w:ascii="Times New Roman" w:eastAsia="Times New Roman" w:hAnsi="Times New Roman" w:cs="Times New Roman"/>
          <w:color w:val="000000"/>
          <w:spacing w:val="0"/>
          <w:w w:val="100"/>
          <w:position w:val="0"/>
        </w:rPr>
        <w:t>290,951.09</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日：人民币</w:t>
      </w:r>
    </w:p>
    <w:p>
      <w:pPr>
        <w:pStyle w:val="Style20"/>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294,027.78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归集在一年内到期的非流动负债科目。</w:t>
      </w:r>
    </w:p>
    <w:p>
      <w:pPr>
        <w:pStyle w:val="Style20"/>
        <w:keepNext w:val="0"/>
        <w:keepLines w:val="0"/>
        <w:widowControl w:val="0"/>
        <w:shd w:val="clear" w:color="auto" w:fill="auto"/>
        <w:tabs>
          <w:tab w:pos="319" w:val="left"/>
        </w:tabs>
        <w:bidi w:val="0"/>
        <w:spacing w:before="0" w:after="60" w:line="240" w:lineRule="auto"/>
        <w:ind w:left="0" w:right="0" w:firstLine="0"/>
        <w:jc w:val="left"/>
      </w:pPr>
      <w:r>
        <w:rPr>
          <w:rFonts w:ascii="Arial" w:eastAsia="Arial" w:hAnsi="Arial" w:cs="Arial"/>
          <w:color w:val="000000"/>
          <w:spacing w:val="0"/>
          <w:w w:val="100"/>
          <w:position w:val="0"/>
          <w:sz w:val="20"/>
          <w:szCs w:val="20"/>
        </w:rPr>
        <w:t>•</w:t>
        <w:tab/>
      </w:r>
      <w:r>
        <w:rPr>
          <w:color w:val="000000"/>
          <w:spacing w:val="0"/>
          <w:w w:val="100"/>
          <w:position w:val="0"/>
        </w:rPr>
        <w:t>本集团的长期借款主要用于未来大厦项目的建设，以土地产权证</w:t>
      </w:r>
      <w:r>
        <w:rPr>
          <w:color w:val="000000"/>
          <w:spacing w:val="0"/>
          <w:w w:val="100"/>
          <w:position w:val="0"/>
        </w:rPr>
        <w:t>（</w:t>
      </w:r>
      <w:r>
        <w:rPr>
          <w:color w:val="000000"/>
          <w:spacing w:val="0"/>
          <w:w w:val="100"/>
          <w:position w:val="0"/>
        </w:rPr>
        <w:t>粤</w:t>
      </w:r>
      <w:r>
        <w:rPr>
          <w:rFonts w:ascii="Times New Roman" w:eastAsia="Times New Roman" w:hAnsi="Times New Roman" w:cs="Times New Roman"/>
          <w:color w:val="000000"/>
          <w:spacing w:val="0"/>
          <w:w w:val="100"/>
          <w:position w:val="0"/>
        </w:rPr>
        <w:t>（2016）</w:t>
      </w:r>
      <w:r>
        <w:rPr>
          <w:color w:val="000000"/>
          <w:spacing w:val="0"/>
          <w:w w:val="100"/>
          <w:position w:val="0"/>
        </w:rPr>
        <w:t>深圳市不动产权第</w:t>
      </w:r>
      <w:r>
        <w:rPr>
          <w:rFonts w:ascii="Times New Roman" w:eastAsia="Times New Roman" w:hAnsi="Times New Roman" w:cs="Times New Roman"/>
          <w:color w:val="000000"/>
          <w:spacing w:val="0"/>
          <w:w w:val="100"/>
          <w:position w:val="0"/>
        </w:rPr>
        <w:t>0029899</w:t>
      </w:r>
      <w:r>
        <w:rPr>
          <w:color w:val="000000"/>
          <w:spacing w:val="0"/>
          <w:w w:val="100"/>
          <w:position w:val="0"/>
        </w:rPr>
        <w:t>号）及地上附属</w:t>
      </w:r>
    </w:p>
    <w:p>
      <w:pPr>
        <w:pStyle w:val="Style2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的无证加建物业</w:t>
      </w:r>
      <w:r>
        <w:rPr>
          <w:color w:val="000000"/>
          <w:spacing w:val="0"/>
          <w:w w:val="100"/>
          <w:position w:val="0"/>
        </w:rPr>
        <w:t>（</w:t>
      </w:r>
      <w:r>
        <w:rPr>
          <w:color w:val="000000"/>
          <w:spacing w:val="0"/>
          <w:w w:val="100"/>
          <w:position w:val="0"/>
        </w:rPr>
        <w:t>即建造中的未来大厦</w:t>
      </w:r>
      <w:r>
        <w:rPr>
          <w:color w:val="000000"/>
          <w:spacing w:val="0"/>
          <w:w w:val="100"/>
          <w:position w:val="0"/>
        </w:rPr>
        <w:t>）</w:t>
      </w:r>
      <w:r>
        <w:rPr>
          <w:color w:val="000000"/>
          <w:spacing w:val="0"/>
          <w:w w:val="100"/>
          <w:position w:val="0"/>
        </w:rPr>
        <w:t>作为抵押物。</w:t>
      </w:r>
    </w:p>
    <w:p>
      <w:pPr>
        <w:pStyle w:val="Style31"/>
        <w:keepNext/>
        <w:keepLines/>
        <w:widowControl w:val="0"/>
        <w:shd w:val="clear" w:color="auto" w:fill="auto"/>
        <w:bidi w:val="0"/>
        <w:spacing w:before="0" w:after="380" w:line="240" w:lineRule="auto"/>
        <w:ind w:left="0" w:right="0" w:firstLine="0"/>
        <w:jc w:val="left"/>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2</w:t>
      </w:r>
      <w:bookmarkEnd w:id="916"/>
      <w:r>
        <w:rPr>
          <w:rFonts w:ascii="Times New Roman" w:eastAsia="Times New Roman" w:hAnsi="Times New Roman" w:cs="Times New Roman"/>
          <w:color w:val="000000"/>
          <w:spacing w:val="0"/>
          <w:w w:val="100"/>
          <w:position w:val="0"/>
        </w:rPr>
        <w:t>9</w:t>
      </w:r>
      <w:r>
        <w:rPr>
          <w:color w:val="000000"/>
          <w:spacing w:val="0"/>
          <w:w w:val="100"/>
          <w:position w:val="0"/>
        </w:rPr>
        <w:t>、递延收益</w:t>
      </w:r>
      <w:bookmarkEnd w:id="914"/>
      <w:bookmarkEnd w:id="915"/>
      <w:bookmarkEnd w:id="91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53,201,555.40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3,890,379.25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13,375,498.03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43,716,436.62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53,201,555.40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3,890,379.25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13,375,498.03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43,716,436.62</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133"/>
        <w:gridCol w:w="1138"/>
        <w:gridCol w:w="706"/>
        <w:gridCol w:w="1138"/>
        <w:gridCol w:w="850"/>
        <w:gridCol w:w="475"/>
        <w:gridCol w:w="1224"/>
        <w:gridCol w:w="648"/>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本期新增补</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助金额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本期计 入营业 外收入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本期计入其</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本期冲减</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成本费用</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与资产 相关</w:t>
            </w:r>
            <w:r>
              <w:rPr>
                <w:rFonts w:ascii="Times New Roman" w:eastAsia="Times New Roman" w:hAnsi="Times New Roman" w:cs="Times New Roman"/>
                <w:color w:val="000000"/>
                <w:spacing w:val="0"/>
                <w:w w:val="100"/>
                <w:position w:val="0"/>
              </w:rPr>
              <w:t>/</w:t>
            </w:r>
          </w:p>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与收益 相关</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深发改【</w:t>
            </w:r>
            <w:r>
              <w:rPr>
                <w:rFonts w:ascii="Times New Roman" w:eastAsia="Times New Roman" w:hAnsi="Times New Roman" w:cs="Times New Roman"/>
                <w:color w:val="000000"/>
                <w:spacing w:val="0"/>
                <w:w w:val="100"/>
                <w:position w:val="0"/>
              </w:rPr>
              <w:t>2015</w:t>
            </w:r>
            <w:r>
              <w:rPr>
                <w:color w:val="000000"/>
                <w:spacing w:val="0"/>
                <w:w w:val="100"/>
                <w:position w:val="0"/>
              </w:rPr>
              <w:t>】</w:t>
            </w:r>
            <w:r>
              <w:rPr>
                <w:rFonts w:ascii="Times New Roman" w:eastAsia="Times New Roman" w:hAnsi="Times New Roman" w:cs="Times New Roman"/>
                <w:color w:val="000000"/>
                <w:spacing w:val="0"/>
                <w:w w:val="100"/>
                <w:position w:val="0"/>
              </w:rPr>
              <w:t>200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中美 低碳建筑与社区创新实验中 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 相关</w:t>
            </w:r>
          </w:p>
        </w:tc>
      </w:tr>
    </w:tbl>
    <w:p>
      <w:pPr>
        <w:sectPr>
          <w:footnotePr>
            <w:pos w:val="pageBottom"/>
            <w:numFmt w:val="decimal"/>
            <w:numRestart w:val="continuous"/>
          </w:footnotePr>
          <w:pgSz w:w="11900" w:h="16840"/>
          <w:pgMar w:top="1474" w:right="1108" w:bottom="1427" w:left="1106" w:header="0" w:footer="3" w:gutter="0"/>
          <w:cols w:space="720"/>
          <w:noEndnote/>
          <w:rtlGutter w:val="0"/>
          <w:docGrid w:linePitch="360"/>
        </w:sectPr>
      </w:pPr>
    </w:p>
    <w:tbl>
      <w:tblPr>
        <w:tblOverlap w:val="never"/>
        <w:jc w:val="center"/>
        <w:tblLayout w:type="fixed"/>
      </w:tblPr>
      <w:tblGrid>
        <w:gridCol w:w="2270"/>
        <w:gridCol w:w="1133"/>
        <w:gridCol w:w="1138"/>
        <w:gridCol w:w="701"/>
        <w:gridCol w:w="1142"/>
        <w:gridCol w:w="859"/>
        <w:gridCol w:w="466"/>
        <w:gridCol w:w="1224"/>
        <w:gridCol w:w="648"/>
      </w:tblGrid>
      <w:tr>
        <w:trPr>
          <w:trHeight w:val="7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深发改【</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1137</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低</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碳检测服务机构培育工程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3,090,559.08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529,317.00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2,561,242.08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与资产 相关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启动区碳排放实时监测公共 平台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4,538,392.88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2,348,406.86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2,189,986.02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与资产 相关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国际低碳城碳认证服务中心 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3,315,409.07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1,453,689.54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1,861,719.53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与资产 相关</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建科大楼</w:t>
            </w:r>
            <w:r>
              <w:rPr>
                <w:color w:val="000000"/>
                <w:spacing w:val="0"/>
                <w:w w:val="100"/>
                <w:position w:val="0"/>
              </w:rPr>
              <w:t>（</w:t>
            </w:r>
            <w:r>
              <w:rPr>
                <w:color w:val="000000"/>
                <w:spacing w:val="0"/>
                <w:w w:val="100"/>
                <w:position w:val="0"/>
              </w:rPr>
              <w:t>节能贴息</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1,803,442.07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101,650.96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1,701,791.11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both"/>
            </w:pPr>
            <w:r>
              <w:rPr>
                <w:color w:val="000000"/>
                <w:spacing w:val="0"/>
                <w:w w:val="100"/>
                <w:position w:val="0"/>
              </w:rPr>
              <w:t>与资产 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深发改【</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1132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深</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圳国际低碳城中美中心建设</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渣土资源化利用示范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2,727,860.00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1,344,000.00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1,383,860.00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与资产 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城市地面关键公共基础设施 的性能评估、性能预测与安 全预警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668,000.00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641,603.31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1,028,396.69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与收益 相关</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既有城市工业区废弃物资源 化利用技术研究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567,932.60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630,121.23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437,811.37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与收益 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基于直流配电的净零能耗建 筑综合能源管控与能效提升 技术研究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52,893.79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347,106.21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与收益 相关</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福田区配套资助</w:t>
            </w:r>
            <w:r>
              <w:rPr>
                <w:rFonts w:ascii="Times New Roman" w:eastAsia="Times New Roman" w:hAnsi="Times New Roman" w:cs="Times New Roman"/>
                <w:color w:val="000000"/>
                <w:spacing w:val="0"/>
                <w:w w:val="100"/>
                <w:position w:val="0"/>
              </w:rPr>
              <w:t>--</w:t>
            </w:r>
            <w:r>
              <w:rPr>
                <w:color w:val="000000"/>
                <w:spacing w:val="0"/>
                <w:w w:val="100"/>
                <w:position w:val="0"/>
              </w:rPr>
              <w:t>住宅通风 和空气净化过滤技术实施及 效果评测及节能、经济、适 用的通风及空气质量控制方 法和技术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346,100.00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346,100.00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与收益 相关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绿色建筑节能示范工程补贴</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建科大楼</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365,000.00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345,000.00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与资产 相关</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城市节能和低碳解决方案的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工具研究与开发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404,886.44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366,856.70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288,029.74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与收益 相关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深圳市低碳试点示范项目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757,942.54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533,322.35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224,620.19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both"/>
            </w:pPr>
            <w:r>
              <w:rPr>
                <w:color w:val="000000"/>
                <w:spacing w:val="0"/>
                <w:w w:val="100"/>
                <w:position w:val="0"/>
              </w:rPr>
              <w:t>与资产 相关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低压直流建筑关键技术验证 与产品研发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1,149,216.31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847,800.00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1,828,681.14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168,335.17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与收益 相关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其他与收益相关项目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3,132,814.41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1,224,579.25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3,524,955.15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832,438.51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与收益 相关</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53,201,555.40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3,890,379.25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13,375,498.03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43,716,436.62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1"/>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36" w:right="1109" w:bottom="1767" w:left="1104" w:header="0" w:footer="3" w:gutter="0"/>
          <w:cols w:space="720"/>
          <w:noEndnote/>
          <w:rtlGutter w:val="0"/>
          <w:docGrid w:linePitch="360"/>
        </w:sectPr>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3</w:t>
      </w:r>
      <w:bookmarkEnd w:id="920"/>
      <w:r>
        <w:rPr>
          <w:rFonts w:ascii="Times New Roman" w:eastAsia="Times New Roman" w:hAnsi="Times New Roman" w:cs="Times New Roman"/>
          <w:color w:val="000000"/>
          <w:spacing w:val="0"/>
          <w:w w:val="100"/>
          <w:position w:val="0"/>
        </w:rPr>
        <w:t>0</w:t>
      </w:r>
      <w:r>
        <w:rPr>
          <w:color w:val="000000"/>
          <w:spacing w:val="0"/>
          <w:w w:val="100"/>
          <w:position w:val="0"/>
        </w:rPr>
        <w:t>、股本</w:t>
      </w:r>
      <w:bookmarkEnd w:id="918"/>
      <w:bookmarkEnd w:id="919"/>
      <w:bookmarkEnd w:id="921"/>
    </w:p>
    <w:tbl>
      <w:tblPr>
        <w:tblOverlap w:val="never"/>
        <w:jc w:val="center"/>
        <w:tblLayout w:type="fixed"/>
      </w:tblPr>
      <w:tblGrid>
        <w:gridCol w:w="1258"/>
        <w:gridCol w:w="1354"/>
        <w:gridCol w:w="1037"/>
        <w:gridCol w:w="1195"/>
        <w:gridCol w:w="1195"/>
        <w:gridCol w:w="1200"/>
        <w:gridCol w:w="1195"/>
        <w:gridCol w:w="1267"/>
      </w:tblGrid>
      <w:tr>
        <w:trPr>
          <w:trHeight w:val="422"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6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146,666,700.00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146,666,700.00</w:t>
            </w:r>
          </w:p>
        </w:tc>
      </w:tr>
    </w:tbl>
    <w:p>
      <w:pPr>
        <w:widowControl w:val="0"/>
        <w:spacing w:after="9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3</w:t>
      </w:r>
      <w:bookmarkEnd w:id="924"/>
      <w:r>
        <w:rPr>
          <w:rFonts w:ascii="Times New Roman" w:eastAsia="Times New Roman" w:hAnsi="Times New Roman" w:cs="Times New Roman"/>
          <w:color w:val="000000"/>
          <w:spacing w:val="0"/>
          <w:w w:val="100"/>
          <w:position w:val="0"/>
        </w:rPr>
        <w:t>1</w:t>
      </w:r>
      <w:r>
        <w:rPr>
          <w:color w:val="000000"/>
          <w:spacing w:val="0"/>
          <w:w w:val="100"/>
          <w:position w:val="0"/>
        </w:rPr>
        <w:t>、资本公积</w:t>
      </w:r>
      <w:bookmarkEnd w:id="922"/>
      <w:bookmarkEnd w:id="923"/>
      <w:bookmarkEnd w:id="92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126,541,353.92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126,541,353.92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127,541,353.92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127,541,353.92</w:t>
            </w:r>
          </w:p>
        </w:tc>
      </w:tr>
    </w:tbl>
    <w:p>
      <w:pPr>
        <w:widowControl w:val="0"/>
        <w:spacing w:after="9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其他说明，包括本期增减变动情况、变动原因说明：无。</w:t>
      </w:r>
    </w:p>
    <w:p>
      <w:pPr>
        <w:pStyle w:val="Style31"/>
        <w:keepNext/>
        <w:keepLines/>
        <w:widowControl w:val="0"/>
        <w:shd w:val="clear" w:color="auto" w:fill="auto"/>
        <w:bidi w:val="0"/>
        <w:spacing w:before="0" w:after="380" w:line="240" w:lineRule="auto"/>
        <w:ind w:left="0" w:right="0" w:firstLine="0"/>
        <w:jc w:val="left"/>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3</w:t>
      </w:r>
      <w:bookmarkEnd w:id="928"/>
      <w:r>
        <w:rPr>
          <w:rFonts w:ascii="Times New Roman" w:eastAsia="Times New Roman" w:hAnsi="Times New Roman" w:cs="Times New Roman"/>
          <w:color w:val="000000"/>
          <w:spacing w:val="0"/>
          <w:w w:val="100"/>
          <w:position w:val="0"/>
        </w:rPr>
        <w:t>2</w:t>
      </w:r>
      <w:r>
        <w:rPr>
          <w:color w:val="000000"/>
          <w:spacing w:val="0"/>
          <w:w w:val="100"/>
          <w:position w:val="0"/>
        </w:rPr>
        <w:t>、盈余公积</w:t>
      </w:r>
      <w:bookmarkEnd w:id="926"/>
      <w:bookmarkEnd w:id="927"/>
      <w:bookmarkEnd w:id="92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18,896,111.68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2,438,711.28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21,334,822.96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18,896,111.68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2,438,711.28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21,334,822.96</w:t>
            </w:r>
          </w:p>
        </w:tc>
      </w:tr>
    </w:tbl>
    <w:p>
      <w:pPr>
        <w:pStyle w:val="Style20"/>
        <w:keepNext w:val="0"/>
        <w:keepLines w:val="0"/>
        <w:widowControl w:val="0"/>
        <w:shd w:val="clear" w:color="auto" w:fill="auto"/>
        <w:bidi w:val="0"/>
        <w:spacing w:before="0" w:after="380" w:line="350" w:lineRule="exact"/>
        <w:ind w:left="0" w:right="0" w:firstLine="0"/>
        <w:jc w:val="left"/>
      </w:pPr>
      <w:r>
        <w:rPr>
          <w:color w:val="000000"/>
          <w:spacing w:val="0"/>
          <w:w w:val="100"/>
          <w:position w:val="0"/>
        </w:rPr>
        <w:t>盈余公积说明，包括本期增减变动情况、变动原因说明: 法定盈余公积按净利润的</w:t>
      </w:r>
      <w:r>
        <w:rPr>
          <w:rFonts w:ascii="Times New Roman" w:eastAsia="Times New Roman" w:hAnsi="Times New Roman" w:cs="Times New Roman"/>
          <w:color w:val="000000"/>
          <w:spacing w:val="0"/>
          <w:w w:val="100"/>
          <w:position w:val="0"/>
        </w:rPr>
        <w:t>10%</w:t>
      </w:r>
      <w:r>
        <w:rPr>
          <w:color w:val="000000"/>
          <w:spacing w:val="0"/>
          <w:w w:val="100"/>
          <w:position w:val="0"/>
        </w:rPr>
        <w:t>提取。</w:t>
      </w:r>
    </w:p>
    <w:p>
      <w:pPr>
        <w:pStyle w:val="Style31"/>
        <w:keepNext/>
        <w:keepLines/>
        <w:widowControl w:val="0"/>
        <w:shd w:val="clear" w:color="auto" w:fill="auto"/>
        <w:bidi w:val="0"/>
        <w:spacing w:before="0" w:after="380" w:line="240" w:lineRule="auto"/>
        <w:ind w:left="0" w:right="0" w:firstLine="0"/>
        <w:jc w:val="left"/>
      </w:pPr>
      <w:bookmarkStart w:id="930" w:name="bookmark930"/>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rPr>
        <w:t>3</w:t>
      </w:r>
      <w:bookmarkEnd w:id="932"/>
      <w:r>
        <w:rPr>
          <w:rFonts w:ascii="Times New Roman" w:eastAsia="Times New Roman" w:hAnsi="Times New Roman" w:cs="Times New Roman"/>
          <w:color w:val="000000"/>
          <w:spacing w:val="0"/>
          <w:w w:val="100"/>
          <w:position w:val="0"/>
        </w:rPr>
        <w:t>3</w:t>
      </w:r>
      <w:r>
        <w:rPr>
          <w:color w:val="000000"/>
          <w:spacing w:val="0"/>
          <w:w w:val="100"/>
          <w:position w:val="0"/>
        </w:rPr>
        <w:t>、未分配利润</w:t>
      </w:r>
      <w:bookmarkEnd w:id="930"/>
      <w:bookmarkEnd w:id="931"/>
      <w:bookmarkEnd w:id="93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58"/>
        <w:gridCol w:w="2693"/>
        <w:gridCol w:w="263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179,021,444.99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1,050,747.91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210,437,746.91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180,072,192.90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44,506,790.56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43,866,588.22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2,438,711.28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2,501,031.71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13,200,003.00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11,000,002.50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239,305,823.19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210,437,746.91</w:t>
            </w:r>
          </w:p>
        </w:tc>
      </w:tr>
    </w:tbl>
    <w:p>
      <w:pPr>
        <w:widowControl w:val="0"/>
        <w:spacing w:after="99" w:line="1" w:lineRule="exact"/>
      </w:pP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本报告期不存在调整期初未分配利润。</w:t>
      </w: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本年内分配普通股股利</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日股东大会的批准，本公司于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日向普通股股东派发现金股利，每股人民币</w:t>
      </w:r>
      <w:r>
        <w:rPr>
          <w:rFonts w:ascii="Times New Roman" w:eastAsia="Times New Roman" w:hAnsi="Times New Roman" w:cs="Times New Roman"/>
          <w:color w:val="000000"/>
          <w:spacing w:val="0"/>
          <w:w w:val="100"/>
          <w:position w:val="0"/>
        </w:rPr>
        <w:t>0.09</w:t>
      </w:r>
      <w:r>
        <w:rPr>
          <w:color w:val="000000"/>
          <w:spacing w:val="0"/>
          <w:w w:val="100"/>
          <w:position w:val="0"/>
        </w:rPr>
        <w:t>元</w:t>
        <w:br w:type="page"/>
      </w:r>
      <w:r>
        <w:rPr>
          <w:rStyle w:val="CharStyle60"/>
        </w:rPr>
        <w:t>（2020</w:t>
      </w:r>
      <w:r>
        <w:rPr>
          <w:rStyle w:val="CharStyle60"/>
          <w:rFonts w:ascii="SimSun" w:eastAsia="SimSun" w:hAnsi="SimSun" w:cs="SimSun"/>
        </w:rPr>
        <w:t>年：每股人民币</w:t>
      </w:r>
      <w:r>
        <w:rPr>
          <w:rStyle w:val="CharStyle60"/>
        </w:rPr>
        <w:t>0.075</w:t>
      </w:r>
      <w:r>
        <w:rPr>
          <w:rStyle w:val="CharStyle60"/>
          <w:rFonts w:ascii="SimSun" w:eastAsia="SimSun" w:hAnsi="SimSun" w:cs="SimSun"/>
        </w:rPr>
        <w:t>元</w:t>
      </w:r>
      <w:r>
        <w:rPr>
          <w:rStyle w:val="CharStyle60"/>
        </w:rPr>
        <w:t>）</w:t>
      </w:r>
      <w:r>
        <w:rPr>
          <w:rStyle w:val="CharStyle60"/>
          <w:rFonts w:ascii="SimSun" w:eastAsia="SimSun" w:hAnsi="SimSun" w:cs="SimSun"/>
        </w:rPr>
        <w:t>，合计人民币</w:t>
      </w:r>
      <w:r>
        <w:rPr>
          <w:rStyle w:val="CharStyle60"/>
        </w:rPr>
        <w:t>13,200,003.00</w:t>
      </w:r>
      <w:r>
        <w:rPr>
          <w:rStyle w:val="CharStyle60"/>
          <w:rFonts w:ascii="SimSun" w:eastAsia="SimSun" w:hAnsi="SimSun" w:cs="SimSun"/>
        </w:rPr>
        <w:t>元</w:t>
      </w:r>
      <w:r>
        <w:rPr>
          <w:rStyle w:val="CharStyle60"/>
        </w:rPr>
        <w:t>（2020</w:t>
      </w:r>
      <w:r>
        <w:rPr>
          <w:rStyle w:val="CharStyle60"/>
          <w:rFonts w:ascii="SimSun" w:eastAsia="SimSun" w:hAnsi="SimSun" w:cs="SimSun"/>
        </w:rPr>
        <w:t>年：人民币</w:t>
      </w:r>
      <w:r>
        <w:rPr>
          <w:rStyle w:val="CharStyle60"/>
        </w:rPr>
        <w:t>11,000,002.50</w:t>
      </w:r>
      <w:r>
        <w:rPr>
          <w:rStyle w:val="CharStyle60"/>
          <w:rFonts w:ascii="SimSun" w:eastAsia="SimSun" w:hAnsi="SimSun" w:cs="SimSun"/>
        </w:rPr>
        <w:t>元</w:t>
      </w:r>
      <w:r>
        <w:rPr>
          <w:rStyle w:val="CharStyle60"/>
          <w:rFonts w:ascii="SimSun" w:eastAsia="SimSun" w:hAnsi="SimSun" w:cs="SimSun"/>
        </w:rPr>
        <w:t>）</w:t>
      </w:r>
      <w:r>
        <w:rPr>
          <w:rStyle w:val="CharStyle60"/>
          <w:rFonts w:ascii="SimSun" w:eastAsia="SimSun" w:hAnsi="SimSun" w:cs="SimSun"/>
        </w:rPr>
        <w:t>。</w:t>
      </w:r>
    </w:p>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年末未分配利润的说明</w:t>
      </w:r>
    </w:p>
    <w:p>
      <w:pPr>
        <w:pStyle w:val="Style2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日，本集团归属于母公司的未分配利润中包含了本公司的子公司提取的盈余公积人民币</w:t>
      </w:r>
      <w:r>
        <w:rPr>
          <w:rFonts w:ascii="Times New Roman" w:eastAsia="Times New Roman" w:hAnsi="Times New Roman" w:cs="Times New Roman"/>
          <w:color w:val="000000"/>
          <w:spacing w:val="0"/>
          <w:w w:val="100"/>
          <w:position w:val="0"/>
        </w:rPr>
        <w:t xml:space="preserve">8,253,893.29 </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日：人民币</w:t>
      </w:r>
      <w:r>
        <w:rPr>
          <w:rFonts w:ascii="Times New Roman" w:eastAsia="Times New Roman" w:hAnsi="Times New Roman" w:cs="Times New Roman"/>
          <w:color w:val="000000"/>
          <w:spacing w:val="0"/>
          <w:w w:val="100"/>
          <w:position w:val="0"/>
        </w:rPr>
        <w:t>7,225,767.78</w:t>
      </w:r>
      <w:r>
        <w:rPr>
          <w:color w:val="000000"/>
          <w:spacing w:val="0"/>
          <w:w w:val="100"/>
          <w:position w:val="0"/>
        </w:rPr>
        <w:t>元</w:t>
      </w:r>
      <w:r>
        <w:rPr>
          <w:color w:val="000000"/>
          <w:spacing w:val="0"/>
          <w:w w:val="100"/>
          <w:position w:val="0"/>
        </w:rPr>
        <w:t>）</w:t>
      </w:r>
      <w:r>
        <w:rPr>
          <w:color w:val="000000"/>
          <w:spacing w:val="0"/>
          <w:w w:val="100"/>
          <w:position w:val="0"/>
        </w:rPr>
        <w:t>。</w:t>
      </w:r>
    </w:p>
    <w:p>
      <w:pPr>
        <w:pStyle w:val="Style31"/>
        <w:keepNext/>
        <w:keepLines/>
        <w:widowControl w:val="0"/>
        <w:shd w:val="clear" w:color="auto" w:fill="auto"/>
        <w:bidi w:val="0"/>
        <w:spacing w:before="0" w:after="380" w:line="240" w:lineRule="auto"/>
        <w:ind w:left="0" w:right="0" w:firstLine="0"/>
        <w:jc w:val="left"/>
      </w:pPr>
      <w:bookmarkStart w:id="934" w:name="bookmark934"/>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rPr>
        <w:t>3</w:t>
      </w:r>
      <w:bookmarkEnd w:id="936"/>
      <w:r>
        <w:rPr>
          <w:rFonts w:ascii="Times New Roman" w:eastAsia="Times New Roman" w:hAnsi="Times New Roman" w:cs="Times New Roman"/>
          <w:color w:val="000000"/>
          <w:spacing w:val="0"/>
          <w:w w:val="100"/>
          <w:position w:val="0"/>
        </w:rPr>
        <w:t>4</w:t>
      </w:r>
      <w:r>
        <w:rPr>
          <w:color w:val="000000"/>
          <w:spacing w:val="0"/>
          <w:w w:val="100"/>
          <w:position w:val="0"/>
        </w:rPr>
        <w:t>、营业收入和营业成本</w:t>
      </w:r>
      <w:bookmarkEnd w:id="934"/>
      <w:bookmarkEnd w:id="935"/>
      <w:bookmarkEnd w:id="93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491,148,179.09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293,501,827.02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495,539,553.69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317,230,727.68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11,683,218.84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11,541,686.46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10,918,114.85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13,666,853.67</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502,831,397.93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305,043,513.48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506,457,668.54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330,897,581.35</w:t>
            </w:r>
          </w:p>
        </w:tc>
      </w:tr>
    </w:tbl>
    <w:p>
      <w:pPr>
        <w:pStyle w:val="Style20"/>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经审计扣除非经常损益前后净利润孰低是否为负值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0"/>
        <w:keepNext w:val="0"/>
        <w:keepLines w:val="0"/>
        <w:widowControl w:val="0"/>
        <w:shd w:val="clear" w:color="auto" w:fill="auto"/>
        <w:bidi w:val="0"/>
        <w:spacing w:before="0" w:after="140" w:line="346" w:lineRule="exact"/>
        <w:ind w:left="0" w:right="0" w:firstLine="0"/>
        <w:jc w:val="left"/>
      </w:pPr>
      <w:r>
        <w:rPr>
          <w:color w:val="000000"/>
          <w:spacing w:val="0"/>
          <w:w w:val="100"/>
          <w:position w:val="0"/>
        </w:rPr>
        <w:t>收入相关信息：</w:t>
      </w:r>
    </w:p>
    <w:p>
      <w:pPr>
        <w:pStyle w:val="Style20"/>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营业收入、营业成本</w:t>
      </w:r>
    </w:p>
    <w:tbl>
      <w:tblPr>
        <w:tblOverlap w:val="never"/>
        <w:jc w:val="center"/>
        <w:tblLayout w:type="fixed"/>
      </w:tblPr>
      <w:tblGrid>
        <w:gridCol w:w="2952"/>
        <w:gridCol w:w="1560"/>
        <w:gridCol w:w="1560"/>
        <w:gridCol w:w="1555"/>
        <w:gridCol w:w="2021"/>
      </w:tblGrid>
      <w:tr>
        <w:trPr>
          <w:trHeight w:val="331"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城市规划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103,568,112.15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54,111,907.49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94,641,652.11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53,974,083.83</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公信服务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207,072,267.60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117,008,884.18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160,987,452.54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104,795,972.90</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建筑设计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85,766,650.16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48,030,811.58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108,254,008.13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64,239,273.86</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建筑咨询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33,768,984.52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25,165,702.11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28,702,184.65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17,711,609.81</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EPC</w:t>
            </w:r>
            <w:r>
              <w:rPr>
                <w:color w:val="000000"/>
                <w:spacing w:val="0"/>
                <w:w w:val="100"/>
                <w:position w:val="0"/>
              </w:rPr>
              <w:t>及项目全过程管理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35,849,335.54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28,521,555.09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91,749,889.00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70,737,474.89</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36,806,047.96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32,204,653.03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22,122,482.11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19,439,166.06</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502,831,397.93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305,043,513.48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506,457,668.54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330,897,581.35</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其中：合同产生的收入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491,148,179.09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293,501,827.02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495,539,553.69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317,230,727.68</w:t>
            </w:r>
          </w:p>
        </w:tc>
      </w:tr>
      <w:tr>
        <w:trPr>
          <w:trHeight w:val="33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其他收入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11,683,218.84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11,541,686.46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10,918,114.85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13,666,853.67</w:t>
            </w:r>
          </w:p>
        </w:tc>
      </w:tr>
    </w:tbl>
    <w:p>
      <w:pPr>
        <w:widowControl w:val="0"/>
        <w:spacing w:after="4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经营业务按地区分</w:t>
      </w:r>
    </w:p>
    <w:tbl>
      <w:tblPr>
        <w:tblOverlap w:val="never"/>
        <w:jc w:val="center"/>
        <w:tblLayout w:type="fixed"/>
      </w:tblPr>
      <w:tblGrid>
        <w:gridCol w:w="2952"/>
        <w:gridCol w:w="1560"/>
        <w:gridCol w:w="1560"/>
        <w:gridCol w:w="1555"/>
        <w:gridCol w:w="2021"/>
      </w:tblGrid>
      <w:tr>
        <w:trPr>
          <w:trHeight w:val="331"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r>
      <w:tr>
        <w:trPr>
          <w:trHeight w:val="3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left"/>
            </w:pPr>
            <w:r>
              <w:rPr>
                <w:color w:val="000000"/>
                <w:spacing w:val="0"/>
                <w:w w:val="100"/>
                <w:position w:val="0"/>
              </w:rPr>
              <w:t>成本</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105,220,302.69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61,393,456.48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105,663,826.15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89,434,665.31</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19,083,971.93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10,833,492.95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21,404,793.77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24,309,307.28</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329,787,374.64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200,654,332.06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329,410,743.98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191,667,166.45</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44,585,637.72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28,885,221.91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44,427,455.58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22,385,192.97</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4,149,393.97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3,274,798.34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4,796,132.09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2,630,371.86</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4,716.98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2,211.74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754,716.97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470,877.48</w:t>
            </w:r>
          </w:p>
        </w:tc>
      </w:tr>
      <w:tr>
        <w:trPr>
          <w:trHeight w:val="34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502,831,397.93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305,043,513.48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506,457,668.54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330,897,581.35</w:t>
            </w:r>
          </w:p>
        </w:tc>
      </w:tr>
    </w:tbl>
    <w:p>
      <w:pPr>
        <w:pStyle w:val="Style20"/>
        <w:keepNext w:val="0"/>
        <w:keepLines w:val="0"/>
        <w:widowControl w:val="0"/>
        <w:shd w:val="clear" w:color="auto" w:fill="auto"/>
        <w:bidi w:val="0"/>
        <w:spacing w:before="0" w:after="40" w:line="316" w:lineRule="exact"/>
        <w:ind w:left="0" w:right="0" w:firstLine="0"/>
        <w:jc w:val="both"/>
      </w:pPr>
      <w:r>
        <w:rPr>
          <w:color w:val="000000"/>
          <w:spacing w:val="0"/>
          <w:w w:val="100"/>
          <w:position w:val="0"/>
        </w:rPr>
        <w:t>与分摊至剩余履约义务的交易价格相关的信息：</w:t>
      </w:r>
    </w:p>
    <w:p>
      <w:pPr>
        <w:pStyle w:val="Style20"/>
        <w:keepNext w:val="0"/>
        <w:keepLines w:val="0"/>
        <w:widowControl w:val="0"/>
        <w:shd w:val="clear" w:color="auto" w:fill="auto"/>
        <w:bidi w:val="0"/>
        <w:spacing w:before="0" w:after="40" w:line="317"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i/>
          <w:iCs/>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日，本集团分摊至尚未履行</w:t>
      </w:r>
      <w:r>
        <w:rPr>
          <w:color w:val="000000"/>
          <w:spacing w:val="0"/>
          <w:w w:val="100"/>
          <w:position w:val="0"/>
        </w:rPr>
        <w:t>（</w:t>
      </w:r>
      <w:r>
        <w:rPr>
          <w:color w:val="000000"/>
          <w:spacing w:val="0"/>
          <w:w w:val="100"/>
          <w:position w:val="0"/>
        </w:rPr>
        <w:t>或部分未履行</w:t>
      </w:r>
      <w:r>
        <w:rPr>
          <w:color w:val="000000"/>
          <w:spacing w:val="0"/>
          <w:w w:val="100"/>
          <w:position w:val="0"/>
        </w:rPr>
        <w:t>）</w:t>
      </w:r>
      <w:r>
        <w:rPr>
          <w:color w:val="000000"/>
          <w:spacing w:val="0"/>
          <w:w w:val="100"/>
          <w:position w:val="0"/>
        </w:rPr>
        <w:t>履约义务的交易价格预计为人民币</w:t>
      </w:r>
      <w:r>
        <w:rPr>
          <w:rFonts w:ascii="Times New Roman" w:eastAsia="Times New Roman" w:hAnsi="Times New Roman" w:cs="Times New Roman"/>
          <w:color w:val="000000"/>
          <w:spacing w:val="0"/>
          <w:w w:val="100"/>
          <w:position w:val="0"/>
        </w:rPr>
        <w:t>3.49</w:t>
      </w:r>
      <w:r>
        <w:rPr>
          <w:color w:val="000000"/>
          <w:spacing w:val="0"/>
          <w:w w:val="100"/>
          <w:position w:val="0"/>
        </w:rPr>
        <w:t>亿元，主要为尚未 达到收入确认时点的各类型存量服务合同。本集团预计在未来</w:t>
      </w:r>
      <w:r>
        <w:rPr>
          <w:rFonts w:ascii="Times New Roman" w:eastAsia="Times New Roman" w:hAnsi="Times New Roman" w:cs="Times New Roman"/>
          <w:color w:val="000000"/>
          <w:spacing w:val="0"/>
          <w:w w:val="100"/>
          <w:position w:val="0"/>
        </w:rPr>
        <w:t>1-3</w:t>
      </w:r>
      <w:r>
        <w:rPr>
          <w:color w:val="000000"/>
          <w:spacing w:val="0"/>
          <w:w w:val="100"/>
          <w:position w:val="0"/>
        </w:rPr>
        <w:t>年内，完成所有存量合同，达到合同约定的交付条件，在 客户取得相关商品或服务控制权时点，确认销售收入的实现。</w:t>
      </w:r>
    </w:p>
    <w:p>
      <w:pPr>
        <w:pStyle w:val="Style20"/>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3.49</w:t>
      </w:r>
      <w:r>
        <w:rPr>
          <w:color w:val="000000"/>
          <w:spacing w:val="0"/>
          <w:w w:val="100"/>
          <w:position w:val="0"/>
        </w:rPr>
        <w:t>亿元，其中，</w:t>
      </w:r>
      <w:r>
        <w:rPr>
          <w:rFonts w:ascii="Times New Roman" w:eastAsia="Times New Roman" w:hAnsi="Times New Roman" w:cs="Times New Roman"/>
          <w:color w:val="000000"/>
          <w:spacing w:val="0"/>
          <w:w w:val="100"/>
          <w:position w:val="0"/>
        </w:rPr>
        <w:t>188,480,000.00</w:t>
      </w:r>
      <w:r>
        <w:rPr>
          <w:color w:val="000000"/>
          <w:spacing w:val="0"/>
          <w:w w:val="100"/>
          <w:position w:val="0"/>
        </w:rPr>
        <w:t>元 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63,310,000.00</w:t>
      </w:r>
      <w:r>
        <w:rPr>
          <w:color w:val="000000"/>
          <w:spacing w:val="0"/>
          <w:w w:val="100"/>
          <w:position w:val="0"/>
        </w:rPr>
        <w:t>元预计将于</w:t>
      </w:r>
      <w:r>
        <w:rPr>
          <w:rFonts w:ascii="Times New Roman" w:eastAsia="Times New Roman" w:hAnsi="Times New Roman" w:cs="Times New Roman"/>
          <w:color w:val="000000"/>
          <w:spacing w:val="0"/>
          <w:w w:val="100"/>
          <w:position w:val="0"/>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rPr>
        <w:t>42,380,000.00</w:t>
      </w:r>
      <w:r>
        <w:rPr>
          <w:color w:val="000000"/>
          <w:spacing w:val="0"/>
          <w:w w:val="100"/>
          <w:position w:val="0"/>
        </w:rPr>
        <w:t>元预计将于</w:t>
      </w:r>
      <w:r>
        <w:rPr>
          <w:rFonts w:ascii="Times New Roman" w:eastAsia="Times New Roman" w:hAnsi="Times New Roman" w:cs="Times New Roman"/>
          <w:color w:val="000000"/>
          <w:spacing w:val="0"/>
          <w:w w:val="100"/>
          <w:position w:val="0"/>
        </w:rPr>
        <w:t>2024</w:t>
      </w:r>
      <w:r>
        <w:rPr>
          <w:color w:val="000000"/>
          <w:spacing w:val="0"/>
          <w:w w:val="100"/>
          <w:position w:val="0"/>
        </w:rPr>
        <w:t>年度确认收 入。</w:t>
      </w:r>
    </w:p>
    <w:p>
      <w:pPr>
        <w:pStyle w:val="Style31"/>
        <w:keepNext/>
        <w:keepLines/>
        <w:widowControl w:val="0"/>
        <w:shd w:val="clear" w:color="auto" w:fill="auto"/>
        <w:bidi w:val="0"/>
        <w:spacing w:before="0" w:after="380" w:line="240" w:lineRule="auto"/>
        <w:ind w:left="0" w:right="0" w:firstLine="0"/>
        <w:jc w:val="both"/>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3</w:t>
      </w:r>
      <w:bookmarkEnd w:id="940"/>
      <w:r>
        <w:rPr>
          <w:rFonts w:ascii="Times New Roman" w:eastAsia="Times New Roman" w:hAnsi="Times New Roman" w:cs="Times New Roman"/>
          <w:color w:val="000000"/>
          <w:spacing w:val="0"/>
          <w:w w:val="100"/>
          <w:position w:val="0"/>
        </w:rPr>
        <w:t>5</w:t>
      </w:r>
      <w:r>
        <w:rPr>
          <w:color w:val="000000"/>
          <w:spacing w:val="0"/>
          <w:w w:val="100"/>
          <w:position w:val="0"/>
        </w:rPr>
        <w:t>、税金及附加</w:t>
      </w:r>
      <w:bookmarkEnd w:id="938"/>
      <w:bookmarkEnd w:id="939"/>
      <w:bookmarkEnd w:id="94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526,893.95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496,826.90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376,642.96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355,278.71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905,009.19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673,545.72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74,922.02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50,353.10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5,579.63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8,698.38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302,427.55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362,077.38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2,191,475.30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1,946,780.19</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其他说明：无。</w:t>
      </w:r>
    </w:p>
    <w:p>
      <w:pPr>
        <w:pStyle w:val="Style31"/>
        <w:keepNext/>
        <w:keepLines/>
        <w:widowControl w:val="0"/>
        <w:shd w:val="clear" w:color="auto" w:fill="auto"/>
        <w:bidi w:val="0"/>
        <w:spacing w:before="0" w:after="380" w:line="240" w:lineRule="auto"/>
        <w:ind w:left="0" w:right="0" w:firstLine="0"/>
        <w:jc w:val="both"/>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3</w:t>
      </w:r>
      <w:bookmarkEnd w:id="944"/>
      <w:r>
        <w:rPr>
          <w:rFonts w:ascii="Times New Roman" w:eastAsia="Times New Roman" w:hAnsi="Times New Roman" w:cs="Times New Roman"/>
          <w:color w:val="000000"/>
          <w:spacing w:val="0"/>
          <w:w w:val="100"/>
          <w:position w:val="0"/>
        </w:rPr>
        <w:t>6</w:t>
      </w:r>
      <w:r>
        <w:rPr>
          <w:color w:val="000000"/>
          <w:spacing w:val="0"/>
          <w:w w:val="100"/>
          <w:position w:val="0"/>
        </w:rPr>
        <w:t>、销售费用</w:t>
      </w:r>
      <w:bookmarkEnd w:id="942"/>
      <w:bookmarkEnd w:id="943"/>
      <w:bookmarkEnd w:id="94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工资及福利费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23,723,689.60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23,724,120.00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7,266,394.59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5,140,149.38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69,077.74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4,069,665.37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办公及会务费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833,256.14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1,506,742.54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固定资产折旧及无形资产摊销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2,087,817.19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2,417,350.91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2,938,085.37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4,246,343.49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3,131,887.83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906,960.07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1,059,889.05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图文制作费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500,865.72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600,051.83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交通及汽车费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501,659.39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716,145.88</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2,104,049.12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3,430,396.43</w:t>
            </w:r>
          </w:p>
        </w:tc>
      </w:tr>
    </w:tbl>
    <w:p>
      <w:pPr>
        <w:spacing w:lineRule="exact" w:line="1"/>
        <w:rPr>
          <w:sz w:val="2"/>
          <w:szCs w:val="2"/>
        </w:rPr>
      </w:pPr>
      <w:r>
        <w:br w:type="page"/>
      </w:r>
    </w:p>
    <w:p>
      <w:pPr>
        <w:pStyle w:val="Style59"/>
        <w:keepNext w:val="0"/>
        <w:keepLines w:val="0"/>
        <w:widowControl w:val="0"/>
        <w:shd w:val="clear" w:color="auto" w:fill="auto"/>
        <w:tabs>
          <w:tab w:pos="5318" w:val="left"/>
          <w:tab w:pos="8510" w:val="left"/>
        </w:tabs>
        <w:bidi w:val="0"/>
        <w:spacing w:before="0" w:after="80" w:line="240" w:lineRule="auto"/>
        <w:ind w:left="0" w:right="0" w:firstLine="0"/>
        <w:jc w:val="left"/>
      </w:pPr>
      <w:r>
        <w:rPr>
          <w:rFonts w:ascii="SimSun" w:eastAsia="SimSun" w:hAnsi="SimSun" w:cs="SimSun"/>
          <w:color w:val="000000"/>
          <w:spacing w:val="0"/>
          <w:w w:val="100"/>
          <w:position w:val="0"/>
        </w:rPr>
        <w:t>|</w:t>
      </w:r>
      <w:r>
        <w:rPr>
          <w:rFonts w:ascii="SimSun" w:eastAsia="SimSun" w:hAnsi="SimSun" w:cs="SimSun"/>
          <w:color w:val="000000"/>
          <w:spacing w:val="0"/>
          <w:w w:val="100"/>
          <w:position w:val="0"/>
          <w:u w:val="single"/>
        </w:rPr>
        <w:t xml:space="preserve"> </w:t>
      </w:r>
      <w:r>
        <w:rPr>
          <w:rFonts w:ascii="SimSun" w:eastAsia="SimSun" w:hAnsi="SimSun" w:cs="SimSun"/>
          <w:color w:val="000000"/>
          <w:spacing w:val="0"/>
          <w:w w:val="100"/>
          <w:position w:val="0"/>
        </w:rPr>
        <w:t>合计</w:t>
      </w:r>
      <w:r>
        <w:rPr>
          <w:rFonts w:ascii="SimSun" w:eastAsia="SimSun" w:hAnsi="SimSun" w:cs="SimSun"/>
          <w:color w:val="000000"/>
          <w:spacing w:val="0"/>
          <w:w w:val="100"/>
          <w:position w:val="0"/>
          <w:u w:val="single"/>
        </w:rPr>
        <w:tab/>
      </w:r>
      <w:r>
        <w:rPr>
          <w:color w:val="000000"/>
          <w:spacing w:val="0"/>
          <w:w w:val="100"/>
          <w:position w:val="0"/>
        </w:rPr>
        <w:t>45,178,198.42</w:t>
      </w:r>
      <w:r>
        <w:rPr>
          <w:color w:val="000000"/>
          <w:spacing w:val="0"/>
          <w:w w:val="100"/>
          <w:position w:val="0"/>
          <w:u w:val="single"/>
        </w:rPr>
        <w:tab/>
      </w:r>
      <w:r>
        <w:rPr>
          <w:color w:val="000000"/>
          <w:spacing w:val="0"/>
          <w:w w:val="100"/>
          <w:position w:val="0"/>
        </w:rPr>
        <w:t>45,796,399.22</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bidi w:val="0"/>
        <w:spacing w:before="0" w:after="380" w:line="240" w:lineRule="auto"/>
        <w:ind w:left="0" w:right="0" w:firstLine="0"/>
        <w:jc w:val="left"/>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3</w:t>
      </w:r>
      <w:bookmarkEnd w:id="948"/>
      <w:r>
        <w:rPr>
          <w:rFonts w:ascii="Times New Roman" w:eastAsia="Times New Roman" w:hAnsi="Times New Roman" w:cs="Times New Roman"/>
          <w:color w:val="000000"/>
          <w:spacing w:val="0"/>
          <w:w w:val="100"/>
          <w:position w:val="0"/>
        </w:rPr>
        <w:t>7</w:t>
      </w:r>
      <w:r>
        <w:rPr>
          <w:color w:val="000000"/>
          <w:spacing w:val="0"/>
          <w:w w:val="100"/>
          <w:position w:val="0"/>
        </w:rPr>
        <w:t>、管理费用</w:t>
      </w:r>
      <w:bookmarkEnd w:id="946"/>
      <w:bookmarkEnd w:id="947"/>
      <w:bookmarkEnd w:id="949"/>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工资及福利费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30,896,010.58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27,934,150.40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8,744,987.63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4,974,271.11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固定资产折旧及无形资产摊销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5,365,106.91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6,586,034.13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317,251.95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办公及会务费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7,021,117.34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6,099,921.00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735,601.16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98,390.84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水电气及维修费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1,329,519.86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1,476,267.29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6,210,181.41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5,148,432.25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60,619,776.84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52,317,467.02</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bidi w:val="0"/>
        <w:spacing w:before="0" w:after="380" w:line="240" w:lineRule="auto"/>
        <w:ind w:left="0" w:right="0" w:firstLine="0"/>
        <w:jc w:val="left"/>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3</w:t>
      </w:r>
      <w:bookmarkEnd w:id="952"/>
      <w:r>
        <w:rPr>
          <w:rFonts w:ascii="Times New Roman" w:eastAsia="Times New Roman" w:hAnsi="Times New Roman" w:cs="Times New Roman"/>
          <w:color w:val="000000"/>
          <w:spacing w:val="0"/>
          <w:w w:val="100"/>
          <w:position w:val="0"/>
        </w:rPr>
        <w:t>8</w:t>
      </w:r>
      <w:r>
        <w:rPr>
          <w:color w:val="000000"/>
          <w:spacing w:val="0"/>
          <w:w w:val="100"/>
          <w:position w:val="0"/>
        </w:rPr>
        <w:t>、研发费用</w:t>
      </w:r>
      <w:bookmarkEnd w:id="950"/>
      <w:bookmarkEnd w:id="951"/>
      <w:bookmarkEnd w:id="953"/>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工资及福利费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17,114,391.51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15,367,888.79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固定资产折旧及无形资产摊销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11,902,634.20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8,738,087.11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课题研发经费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16,006,152.41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10,221,211.12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2,129,485.12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1,321,463.21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47,152,663.24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35,648,650.23</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bidi w:val="0"/>
        <w:spacing w:before="0" w:after="380" w:line="240" w:lineRule="auto"/>
        <w:ind w:left="0" w:right="0" w:firstLine="0"/>
        <w:jc w:val="left"/>
      </w:pPr>
      <w:bookmarkStart w:id="954" w:name="bookmark954"/>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3</w:t>
      </w:r>
      <w:bookmarkEnd w:id="956"/>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954"/>
      <w:bookmarkEnd w:id="955"/>
      <w:bookmarkEnd w:id="957"/>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贷款的利息支出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13,739,695.92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10,969,330.62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租赁负债的利息支出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1,699,310.63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减：资本化的利息支出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11,493,589.15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9,957,780.29</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存款的利息收入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1,368,254.85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918,544.71</w:t>
            </w:r>
          </w:p>
        </w:tc>
      </w:tr>
    </w:tbl>
    <w:p>
      <w:pPr>
        <w:widowControl w:val="0"/>
        <w:spacing w:line="1" w:lineRule="exact"/>
      </w:pPr>
      <w:r>
        <w:br w:type="page"/>
      </w:r>
    </w:p>
    <w:tbl>
      <w:tblPr>
        <w:tblOverlap w:val="never"/>
        <w:jc w:val="center"/>
        <w:tblLayout w:type="fixed"/>
      </w:tblPr>
      <w:tblGrid>
        <w:gridCol w:w="3192"/>
        <w:gridCol w:w="3192"/>
        <w:gridCol w:w="3197"/>
      </w:tblGrid>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141,869.88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147,985.40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2,719,032.43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240,991.02</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其他说明：本集团本年度用于确定借款费用资本化金额的资本化率为</w:t>
      </w:r>
      <w:r>
        <w:rPr>
          <w:rFonts w:ascii="Times New Roman" w:eastAsia="Times New Roman" w:hAnsi="Times New Roman" w:cs="Times New Roman"/>
          <w:color w:val="000000"/>
          <w:spacing w:val="0"/>
          <w:w w:val="100"/>
          <w:position w:val="0"/>
        </w:rPr>
        <w:t>3.89% （2020</w:t>
      </w:r>
      <w:r>
        <w:rPr>
          <w:color w:val="000000"/>
          <w:spacing w:val="0"/>
          <w:w w:val="100"/>
          <w:position w:val="0"/>
        </w:rPr>
        <w:t>年：</w:t>
      </w:r>
      <w:r>
        <w:rPr>
          <w:rFonts w:ascii="Times New Roman" w:eastAsia="Times New Roman" w:hAnsi="Times New Roman" w:cs="Times New Roman"/>
          <w:color w:val="000000"/>
          <w:spacing w:val="0"/>
          <w:w w:val="100"/>
          <w:position w:val="0"/>
        </w:rPr>
        <w:t>4.50%）</w:t>
      </w:r>
      <w:r>
        <w:rPr>
          <w:color w:val="000000"/>
          <w:spacing w:val="0"/>
          <w:w w:val="100"/>
          <w:position w:val="0"/>
        </w:rPr>
        <w:t>。</w:t>
      </w:r>
    </w:p>
    <w:p>
      <w:pPr>
        <w:pStyle w:val="Style31"/>
        <w:keepNext/>
        <w:keepLines/>
        <w:widowControl w:val="0"/>
        <w:shd w:val="clear" w:color="auto" w:fill="auto"/>
        <w:bidi w:val="0"/>
        <w:spacing w:before="0" w:after="380" w:line="240" w:lineRule="auto"/>
        <w:ind w:left="0" w:right="0" w:firstLine="0"/>
        <w:jc w:val="left"/>
      </w:pPr>
      <w:bookmarkStart w:id="958" w:name="bookmark958"/>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4</w:t>
      </w:r>
      <w:bookmarkEnd w:id="960"/>
      <w:r>
        <w:rPr>
          <w:rFonts w:ascii="Times New Roman" w:eastAsia="Times New Roman" w:hAnsi="Times New Roman" w:cs="Times New Roman"/>
          <w:color w:val="000000"/>
          <w:spacing w:val="0"/>
          <w:w w:val="100"/>
          <w:position w:val="0"/>
        </w:rPr>
        <w:t>0</w:t>
      </w:r>
      <w:r>
        <w:rPr>
          <w:color w:val="000000"/>
          <w:spacing w:val="0"/>
          <w:w w:val="100"/>
          <w:position w:val="0"/>
        </w:rPr>
        <w:t>、其他收益</w:t>
      </w:r>
      <w:bookmarkEnd w:id="958"/>
      <w:bookmarkEnd w:id="959"/>
      <w:bookmarkEnd w:id="96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74"/>
        <w:gridCol w:w="1982"/>
        <w:gridCol w:w="1987"/>
        <w:gridCol w:w="2472"/>
      </w:tblGrid>
      <w:tr>
        <w:trPr>
          <w:trHeight w:val="85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w:t>
            </w:r>
            <w:r>
              <w:rPr>
                <w:color w:val="000000"/>
                <w:spacing w:val="0"/>
                <w:w w:val="100"/>
                <w:position w:val="0"/>
              </w:rPr>
              <w:t>年计入</w:t>
            </w:r>
          </w:p>
          <w:p>
            <w:pPr>
              <w:pStyle w:val="Style23"/>
              <w:keepNext w:val="0"/>
              <w:keepLines w:val="0"/>
              <w:widowControl w:val="0"/>
              <w:shd w:val="clear" w:color="auto" w:fill="auto"/>
              <w:bidi w:val="0"/>
              <w:spacing w:before="0" w:after="60" w:line="240" w:lineRule="auto"/>
              <w:ind w:left="0" w:right="0" w:firstLine="0"/>
              <w:jc w:val="right"/>
            </w:pPr>
            <w:r>
              <w:rPr>
                <w:color w:val="000000"/>
                <w:spacing w:val="0"/>
                <w:w w:val="100"/>
                <w:position w:val="0"/>
              </w:rPr>
              <w:t>非经常性</w:t>
            </w:r>
          </w:p>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损益的金额</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政府补助</w:t>
            </w:r>
            <w:r>
              <w:rPr>
                <w:color w:val="000000"/>
                <w:spacing w:val="0"/>
                <w:w w:val="100"/>
                <w:position w:val="0"/>
              </w:rPr>
              <w:t>（</w:t>
            </w:r>
            <w:r>
              <w:rPr>
                <w:color w:val="000000"/>
                <w:spacing w:val="0"/>
                <w:w w:val="100"/>
                <w:position w:val="0"/>
              </w:rPr>
              <w:t>七、</w:t>
            </w: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13,375,498.03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19,036,458.65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13,375,498.03</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个税返还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1,168,509.75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1,168,509.75</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增值税进项税加计扣除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397,127.50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3,051,788.76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w:t>
            </w:r>
          </w:p>
        </w:tc>
      </w:tr>
      <w:tr>
        <w:trPr>
          <w:trHeight w:val="384"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14,941,135.28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22,088,247.41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14,544,007.78</w:t>
            </w:r>
          </w:p>
        </w:tc>
      </w:tr>
    </w:tbl>
    <w:p>
      <w:pPr>
        <w:pStyle w:val="Style29"/>
        <w:keepNext w:val="0"/>
        <w:keepLines w:val="0"/>
        <w:widowControl w:val="0"/>
        <w:shd w:val="clear" w:color="auto" w:fill="auto"/>
        <w:bidi w:val="0"/>
        <w:spacing w:before="0" w:after="0" w:line="240" w:lineRule="auto"/>
        <w:ind w:left="19" w:right="0" w:firstLine="0"/>
        <w:jc w:val="left"/>
      </w:pPr>
      <w:r>
        <w:rPr>
          <w:color w:val="000000"/>
          <w:spacing w:val="0"/>
          <w:w w:val="100"/>
          <w:position w:val="0"/>
        </w:rPr>
        <w:t>政府补助产生的其他收益，详见附注七、</w:t>
      </w:r>
      <w:r>
        <w:rPr>
          <w:rFonts w:ascii="Times New Roman" w:eastAsia="Times New Roman" w:hAnsi="Times New Roman" w:cs="Times New Roman"/>
          <w:color w:val="000000"/>
          <w:spacing w:val="0"/>
          <w:w w:val="100"/>
          <w:position w:val="0"/>
        </w:rPr>
        <w:t>29</w:t>
      </w:r>
      <w:r>
        <w:rPr>
          <w:color w:val="000000"/>
          <w:spacing w:val="0"/>
          <w:w w:val="100"/>
          <w:position w:val="0"/>
        </w:rPr>
        <w:t>递延收益。</w:t>
      </w:r>
    </w:p>
    <w:p>
      <w:pPr>
        <w:widowControl w:val="0"/>
        <w:spacing w:after="379" w:line="1" w:lineRule="exact"/>
      </w:pPr>
    </w:p>
    <w:p>
      <w:pPr>
        <w:pStyle w:val="Style31"/>
        <w:keepNext/>
        <w:keepLines/>
        <w:widowControl w:val="0"/>
        <w:shd w:val="clear" w:color="auto" w:fill="auto"/>
        <w:bidi w:val="0"/>
        <w:spacing w:before="0" w:after="380" w:line="240" w:lineRule="auto"/>
        <w:ind w:left="0" w:right="0" w:firstLine="0"/>
        <w:jc w:val="left"/>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4</w:t>
      </w:r>
      <w:bookmarkEnd w:id="964"/>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962"/>
      <w:bookmarkEnd w:id="963"/>
      <w:bookmarkEnd w:id="96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97"/>
        <w:gridCol w:w="2856"/>
        <w:gridCol w:w="292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-180,432.77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-126,780.92</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以公允价值计量且其变动计入当期损益的金融 资产在持有期间的投资收益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452,998.64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-180,317.71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326,217.72</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4</w:t>
      </w:r>
      <w:bookmarkEnd w:id="968"/>
      <w:r>
        <w:rPr>
          <w:rFonts w:ascii="Times New Roman" w:eastAsia="Times New Roman" w:hAnsi="Times New Roman" w:cs="Times New Roman"/>
          <w:color w:val="000000"/>
          <w:spacing w:val="0"/>
          <w:w w:val="100"/>
          <w:position w:val="0"/>
        </w:rPr>
        <w:t>2</w:t>
      </w:r>
      <w:r>
        <w:rPr>
          <w:color w:val="000000"/>
          <w:spacing w:val="0"/>
          <w:w w:val="100"/>
          <w:position w:val="0"/>
        </w:rPr>
        <w:t>、信用减值损失</w:t>
      </w:r>
      <w:bookmarkEnd w:id="966"/>
      <w:bookmarkEnd w:id="967"/>
      <w:bookmarkEnd w:id="96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118,710.57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-646,380.55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-5,289,023.76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-9,603,512.58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-5,170,313.19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-10,249,893.13</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4</w:t>
      </w:r>
      <w:bookmarkEnd w:id="972"/>
      <w:r>
        <w:rPr>
          <w:rFonts w:ascii="Times New Roman" w:eastAsia="Times New Roman" w:hAnsi="Times New Roman" w:cs="Times New Roman"/>
          <w:color w:val="000000"/>
          <w:spacing w:val="0"/>
          <w:w w:val="100"/>
          <w:position w:val="0"/>
        </w:rPr>
        <w:t>3</w:t>
      </w:r>
      <w:r>
        <w:rPr>
          <w:color w:val="000000"/>
          <w:spacing w:val="0"/>
          <w:w w:val="100"/>
          <w:position w:val="0"/>
        </w:rPr>
        <w:t>、资产减值损失</w:t>
      </w:r>
      <w:bookmarkEnd w:id="970"/>
      <w:bookmarkEnd w:id="971"/>
      <w:bookmarkEnd w:id="97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74"/>
        <w:gridCol w:w="2410"/>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-1,024,046.89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-1,597,261.30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-1,024,046.89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-1,597,261.30</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0"/>
        <w:jc w:val="both"/>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4</w:t>
      </w:r>
      <w:bookmarkEnd w:id="976"/>
      <w:r>
        <w:rPr>
          <w:rFonts w:ascii="Times New Roman" w:eastAsia="Times New Roman" w:hAnsi="Times New Roman" w:cs="Times New Roman"/>
          <w:color w:val="000000"/>
          <w:spacing w:val="0"/>
          <w:w w:val="100"/>
          <w:position w:val="0"/>
        </w:rPr>
        <w:t>4</w:t>
      </w:r>
      <w:r>
        <w:rPr>
          <w:color w:val="000000"/>
          <w:spacing w:val="0"/>
          <w:w w:val="100"/>
          <w:position w:val="0"/>
        </w:rPr>
        <w:t>、资产处置收益</w:t>
      </w:r>
      <w:bookmarkEnd w:id="974"/>
      <w:bookmarkEnd w:id="975"/>
      <w:bookmarkEnd w:id="97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16,052.21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-99,622.82</w:t>
            </w:r>
          </w:p>
        </w:tc>
      </w:tr>
    </w:tbl>
    <w:p>
      <w:pPr>
        <w:widowControl w:val="0"/>
        <w:spacing w:after="339" w:line="1" w:lineRule="exact"/>
      </w:pPr>
    </w:p>
    <w:p>
      <w:pPr>
        <w:pStyle w:val="Style31"/>
        <w:keepNext/>
        <w:keepLines/>
        <w:widowControl w:val="0"/>
        <w:shd w:val="clear" w:color="auto" w:fill="auto"/>
        <w:bidi w:val="0"/>
        <w:spacing w:before="0" w:after="380" w:line="240" w:lineRule="auto"/>
        <w:ind w:left="0" w:right="0" w:firstLine="0"/>
        <w:jc w:val="both"/>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4</w:t>
      </w:r>
      <w:bookmarkEnd w:id="980"/>
      <w:r>
        <w:rPr>
          <w:rFonts w:ascii="Times New Roman" w:eastAsia="Times New Roman" w:hAnsi="Times New Roman" w:cs="Times New Roman"/>
          <w:color w:val="000000"/>
          <w:spacing w:val="0"/>
          <w:w w:val="100"/>
          <w:position w:val="0"/>
        </w:rPr>
        <w:t>5</w:t>
      </w:r>
      <w:r>
        <w:rPr>
          <w:color w:val="000000"/>
          <w:spacing w:val="0"/>
          <w:w w:val="100"/>
          <w:position w:val="0"/>
        </w:rPr>
        <w:t>、营业外收支</w:t>
      </w:r>
      <w:bookmarkEnd w:id="978"/>
      <w:bookmarkEnd w:id="979"/>
      <w:bookmarkEnd w:id="981"/>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营业外收入</w:t>
      </w:r>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1,353,295.50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2,202,516.32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1,353,295.50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仲裁违约金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2,100,000.00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2,100,000.00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88,254.73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110,573.15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88,254.73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3,541,550.23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2,313,089.47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3,541,550.23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7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571"/>
        <w:gridCol w:w="566"/>
        <w:gridCol w:w="2266"/>
        <w:gridCol w:w="994"/>
        <w:gridCol w:w="710"/>
        <w:gridCol w:w="1061"/>
        <w:gridCol w:w="1066"/>
        <w:gridCol w:w="1070"/>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发放</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主体</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发放</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补贴是否影</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响当年盈亏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是否特</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殊补贴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产业发展专项 资金等与收益 相关的政府补 助项目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因从事国家鼓励和扶持特定</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行业、产业而获得的补助</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（按国家级政策规定依法取</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1,353,295.50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2,202,516.32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1,353,295.50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2,202,516.32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bl>
      <w:tblPr>
        <w:tblOverlap w:val="never"/>
        <w:jc w:val="center"/>
        <w:tblLayout w:type="fixed"/>
      </w:tblPr>
      <w:tblGrid>
        <w:gridCol w:w="2390"/>
        <w:gridCol w:w="2395"/>
        <w:gridCol w:w="2395"/>
        <w:gridCol w:w="240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66,246.17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2,001.39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66,246.17</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66,246.17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2,001.39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79" w:line="1" w:lineRule="exact"/>
      </w:pPr>
    </w:p>
    <w:p>
      <w:pPr>
        <w:pStyle w:val="Style31"/>
        <w:keepNext/>
        <w:keepLines/>
        <w:widowControl w:val="0"/>
        <w:shd w:val="clear" w:color="auto" w:fill="auto"/>
        <w:bidi w:val="0"/>
        <w:spacing w:before="0" w:after="380" w:line="240" w:lineRule="auto"/>
        <w:ind w:left="0" w:right="0" w:firstLine="0"/>
        <w:jc w:val="both"/>
      </w:pPr>
      <w:bookmarkStart w:id="982" w:name="bookmark982"/>
      <w:bookmarkStart w:id="983" w:name="bookmark983"/>
      <w:bookmarkStart w:id="984" w:name="bookmark984"/>
      <w:bookmarkStart w:id="985" w:name="bookmark985"/>
      <w:r>
        <w:rPr>
          <w:rFonts w:ascii="Times New Roman" w:eastAsia="Times New Roman" w:hAnsi="Times New Roman" w:cs="Times New Roman"/>
          <w:color w:val="000000"/>
          <w:spacing w:val="0"/>
          <w:w w:val="100"/>
          <w:position w:val="0"/>
        </w:rPr>
        <w:t>4</w:t>
      </w:r>
      <w:bookmarkEnd w:id="984"/>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982"/>
      <w:bookmarkEnd w:id="983"/>
      <w:bookmarkEnd w:id="985"/>
    </w:p>
    <w:p>
      <w:pPr>
        <w:pStyle w:val="Style31"/>
        <w:keepNext/>
        <w:keepLines/>
        <w:widowControl w:val="0"/>
        <w:shd w:val="clear" w:color="auto" w:fill="auto"/>
        <w:bidi w:val="0"/>
        <w:spacing w:before="0" w:after="340" w:line="240" w:lineRule="auto"/>
        <w:ind w:left="0" w:right="0" w:firstLine="0"/>
        <w:jc w:val="both"/>
      </w:pPr>
      <w:bookmarkStart w:id="982" w:name="bookmark982"/>
      <w:bookmarkStart w:id="983" w:name="bookmark983"/>
      <w:bookmarkStart w:id="986" w:name="bookmark9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982"/>
      <w:bookmarkEnd w:id="983"/>
      <w:bookmarkEnd w:id="986"/>
    </w:p>
    <w:p>
      <w:pPr>
        <w:pStyle w:val="Style20"/>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p>
    <w:p>
      <w:pPr>
        <w:widowControl w:val="0"/>
        <w:spacing w:line="1" w:lineRule="exact"/>
      </w:pPr>
      <w:r>
        <mc:AlternateContent>
          <mc:Choice Requires="wps">
            <w:drawing>
              <wp:anchor distT="38100" distB="0" distL="0" distR="0" simplePos="0" relativeHeight="125829400" behindDoc="0" locked="0" layoutInCell="1" allowOverlap="1">
                <wp:simplePos x="0" y="0"/>
                <wp:positionH relativeFrom="page">
                  <wp:posOffset>1625600</wp:posOffset>
                </wp:positionH>
                <wp:positionV relativeFrom="paragraph">
                  <wp:posOffset>38100</wp:posOffset>
                </wp:positionV>
                <wp:extent cx="252730" cy="149225"/>
                <wp:wrapTopAndBottom/>
                <wp:docPr id="24" name="Shape 24"/>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20"/>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050" type="#_x0000_t202" style="position:absolute;margin-left:128.pt;margin-top:3.pt;width:19.900000000000002pt;height:11.75pt;z-index:-125829353;mso-wrap-distance-left:0;mso-wrap-distance-top:3.pt;mso-wrap-distance-right:0;mso-position-horizontal-relative:page" filled="f" stroked="f">
                <v:textbox inset="0,0,0,0">
                  <w:txbxContent>
                    <w:p>
                      <w:pPr>
                        <w:pStyle w:val="Style20"/>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38100" distB="0" distL="0" distR="0" simplePos="0" relativeHeight="125829402" behindDoc="0" locked="0" layoutInCell="1" allowOverlap="1">
                <wp:simplePos x="0" y="0"/>
                <wp:positionH relativeFrom="page">
                  <wp:posOffset>3478530</wp:posOffset>
                </wp:positionH>
                <wp:positionV relativeFrom="paragraph">
                  <wp:posOffset>38100</wp:posOffset>
                </wp:positionV>
                <wp:extent cx="597535" cy="149225"/>
                <wp:wrapTopAndBottom/>
                <wp:docPr id="26" name="Shape 26"/>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20"/>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本期发生额</w:t>
                            </w:r>
                          </w:p>
                        </w:txbxContent>
                      </wps:txbx>
                      <wps:bodyPr wrap="none" lIns="0" tIns="0" rIns="0" bIns="0">
                        <a:noAutoFit/>
                      </wps:bodyPr>
                    </wps:wsp>
                  </a:graphicData>
                </a:graphic>
              </wp:anchor>
            </w:drawing>
          </mc:Choice>
          <mc:Fallback>
            <w:pict>
              <v:shape id="_x0000_s1052" type="#_x0000_t202" style="position:absolute;margin-left:273.90000000000003pt;margin-top:3.pt;width:47.050000000000004pt;height:11.75pt;z-index:-125829351;mso-wrap-distance-left:0;mso-wrap-distance-top:3.pt;mso-wrap-distance-right:0;mso-position-horizontal-relative:page" filled="f" stroked="f">
                <v:textbox inset="0,0,0,0">
                  <w:txbxContent>
                    <w:p>
                      <w:pPr>
                        <w:pStyle w:val="Style20"/>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本期发生额</w:t>
                      </w:r>
                    </w:p>
                  </w:txbxContent>
                </v:textbox>
                <w10:wrap type="topAndBottom" anchorx="page"/>
              </v:shape>
            </w:pict>
          </mc:Fallback>
        </mc:AlternateContent>
      </w:r>
      <w:r>
        <mc:AlternateContent>
          <mc:Choice Requires="wps">
            <w:drawing>
              <wp:anchor distT="38100" distB="0" distL="0" distR="0" simplePos="0" relativeHeight="125829404" behindDoc="0" locked="0" layoutInCell="1" allowOverlap="1">
                <wp:simplePos x="0" y="0"/>
                <wp:positionH relativeFrom="page">
                  <wp:posOffset>5505450</wp:posOffset>
                </wp:positionH>
                <wp:positionV relativeFrom="paragraph">
                  <wp:posOffset>38100</wp:posOffset>
                </wp:positionV>
                <wp:extent cx="597535" cy="149225"/>
                <wp:wrapTopAndBottom/>
                <wp:docPr id="28" name="Shape 28"/>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20"/>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上期发生额</w:t>
                            </w:r>
                          </w:p>
                        </w:txbxContent>
                      </wps:txbx>
                      <wps:bodyPr wrap="none" lIns="0" tIns="0" rIns="0" bIns="0">
                        <a:noAutoFit/>
                      </wps:bodyPr>
                    </wps:wsp>
                  </a:graphicData>
                </a:graphic>
              </wp:anchor>
            </w:drawing>
          </mc:Choice>
          <mc:Fallback>
            <w:pict>
              <v:shape id="_x0000_s1054" type="#_x0000_t202" style="position:absolute;margin-left:433.5pt;margin-top:3.pt;width:47.050000000000004pt;height:11.75pt;z-index:-125829349;mso-wrap-distance-left:0;mso-wrap-distance-top:3.pt;mso-wrap-distance-right:0;mso-position-horizontal-relative:page" filled="f" stroked="f">
                <v:textbox inset="0,0,0,0">
                  <w:txbxContent>
                    <w:p>
                      <w:pPr>
                        <w:pStyle w:val="Style20"/>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上期发生额</w:t>
                      </w:r>
                    </w:p>
                  </w:txbxContent>
                </v:textbox>
                <w10:wrap type="topAndBottom" anchorx="page"/>
              </v:shape>
            </w:pict>
          </mc:Fallback>
        </mc:AlternateContent>
      </w:r>
      <w:r>
        <w:br w:type="page"/>
      </w:r>
    </w:p>
    <w:tbl>
      <w:tblPr>
        <w:tblOverlap w:val="never"/>
        <w:jc w:val="center"/>
        <w:tblLayout w:type="fixed"/>
      </w:tblPr>
      <w:tblGrid>
        <w:gridCol w:w="3192"/>
        <w:gridCol w:w="3192"/>
        <w:gridCol w:w="3197"/>
      </w:tblGrid>
      <w:tr>
        <w:trPr>
          <w:trHeight w:val="4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2,811,422.20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8,519,974.32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1,589,956.51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-3,179,091.60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4,401,378.71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5,340,882.72</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987" w:name="bookmark987"/>
      <w:bookmarkStart w:id="988" w:name="bookmark988"/>
      <w:bookmarkStart w:id="989" w:name="bookmark989"/>
      <w:bookmarkStart w:id="990" w:name="bookmark990"/>
      <w:r>
        <w:rPr>
          <w:color w:val="000000"/>
          <w:spacing w:val="0"/>
          <w:w w:val="100"/>
          <w:position w:val="0"/>
        </w:rPr>
        <w:t>（</w:t>
      </w:r>
      <w:bookmarkEnd w:id="989"/>
      <w:r>
        <w:rPr>
          <w:rFonts w:ascii="Times New Roman" w:eastAsia="Times New Roman" w:hAnsi="Times New Roman" w:cs="Times New Roman"/>
          <w:color w:val="000000"/>
          <w:spacing w:val="0"/>
          <w:w w:val="100"/>
          <w:position w:val="0"/>
        </w:rPr>
        <w:t>2</w:t>
      </w:r>
      <w:r>
        <w:rPr>
          <w:color w:val="000000"/>
          <w:spacing w:val="0"/>
          <w:w w:val="100"/>
          <w:position w:val="0"/>
        </w:rPr>
        <w:t>）递延所得税的变动分析</w:t>
      </w:r>
      <w:bookmarkEnd w:id="987"/>
      <w:bookmarkEnd w:id="988"/>
      <w:bookmarkEnd w:id="990"/>
    </w:p>
    <w:tbl>
      <w:tblPr>
        <w:tblOverlap w:val="never"/>
        <w:jc w:val="center"/>
        <w:tblLayout w:type="fixed"/>
      </w:tblPr>
      <w:tblGrid>
        <w:gridCol w:w="5222"/>
        <w:gridCol w:w="1982"/>
        <w:gridCol w:w="2299"/>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暂时性差异的转回</w:t>
            </w:r>
            <w:r>
              <w:rPr>
                <w:rFonts w:ascii="Times New Roman" w:eastAsia="Times New Roman" w:hAnsi="Times New Roman" w:cs="Times New Roman"/>
                <w:color w:val="000000"/>
                <w:spacing w:val="0"/>
                <w:w w:val="100"/>
                <w:position w:val="0"/>
              </w:rPr>
              <w:t>/ （</w:t>
            </w:r>
            <w:r>
              <w:rPr>
                <w:color w:val="000000"/>
                <w:spacing w:val="0"/>
                <w:w w:val="100"/>
                <w:position w:val="0"/>
              </w:rPr>
              <w:t>产生</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1,589,956.51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(2,501,740.82)</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2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40" w:firstLine="0"/>
              <w:jc w:val="right"/>
            </w:pPr>
            <w:r>
              <w:rPr>
                <w:rFonts w:ascii="Times New Roman" w:eastAsia="Times New Roman" w:hAnsi="Times New Roman" w:cs="Times New Roman"/>
                <w:color w:val="000000"/>
                <w:spacing w:val="0"/>
                <w:w w:val="100"/>
                <w:position w:val="0"/>
              </w:rPr>
              <w:t>(677,350.78)</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1,589,956.51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(3,179,091.60)</w:t>
            </w:r>
          </w:p>
        </w:tc>
      </w:tr>
    </w:tbl>
    <w:p>
      <w:pPr>
        <w:widowControl w:val="0"/>
        <w:spacing w:after="659" w:line="1" w:lineRule="exact"/>
      </w:pPr>
    </w:p>
    <w:p>
      <w:pPr>
        <w:pStyle w:val="Style31"/>
        <w:keepNext/>
        <w:keepLines/>
        <w:widowControl w:val="0"/>
        <w:shd w:val="clear" w:color="auto" w:fill="auto"/>
        <w:bidi w:val="0"/>
        <w:spacing w:before="0" w:after="340" w:line="240" w:lineRule="auto"/>
        <w:ind w:left="0" w:right="0" w:firstLine="0"/>
        <w:jc w:val="left"/>
      </w:pPr>
      <w:bookmarkStart w:id="991" w:name="bookmark991"/>
      <w:bookmarkStart w:id="992" w:name="bookmark992"/>
      <w:bookmarkStart w:id="993" w:name="bookmark993"/>
      <w:bookmarkStart w:id="994" w:name="bookmark994"/>
      <w:r>
        <w:rPr>
          <w:color w:val="000000"/>
          <w:spacing w:val="0"/>
          <w:w w:val="100"/>
          <w:position w:val="0"/>
        </w:rPr>
        <w:t>（</w:t>
      </w:r>
      <w:bookmarkEnd w:id="993"/>
      <w:r>
        <w:rPr>
          <w:rFonts w:ascii="Times New Roman" w:eastAsia="Times New Roman" w:hAnsi="Times New Roman" w:cs="Times New Roman"/>
          <w:color w:val="000000"/>
          <w:spacing w:val="0"/>
          <w:w w:val="100"/>
          <w:position w:val="0"/>
        </w:rPr>
        <w:t>3</w:t>
      </w:r>
      <w:r>
        <w:rPr>
          <w:color w:val="000000"/>
          <w:spacing w:val="0"/>
          <w:w w:val="100"/>
          <w:position w:val="0"/>
        </w:rPr>
        <w:t>）会计利润与所得税费用调整过程</w:t>
      </w:r>
      <w:bookmarkEnd w:id="991"/>
      <w:bookmarkEnd w:id="992"/>
      <w:bookmarkEnd w:id="99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101"/>
        <w:gridCol w:w="348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51,984,551.98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00" w:right="0" w:firstLine="0"/>
              <w:jc w:val="both"/>
            </w:pPr>
            <w:r>
              <w:rPr>
                <w:rFonts w:ascii="Times New Roman" w:eastAsia="Times New Roman" w:hAnsi="Times New Roman" w:cs="Times New Roman"/>
                <w:color w:val="000000"/>
                <w:spacing w:val="0"/>
                <w:w w:val="100"/>
                <w:position w:val="0"/>
              </w:rPr>
              <w:t>7,797,682.80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-144,346.40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-155,495.51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-69,207.61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00" w:right="0" w:firstLine="0"/>
              <w:jc w:val="both"/>
            </w:pPr>
            <w:r>
              <w:rPr>
                <w:rFonts w:ascii="Times New Roman" w:eastAsia="Times New Roman" w:hAnsi="Times New Roman" w:cs="Times New Roman"/>
                <w:color w:val="000000"/>
                <w:spacing w:val="0"/>
                <w:w w:val="100"/>
                <w:position w:val="0"/>
              </w:rPr>
              <w:t>1,429,795.64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-408,315.45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491,665.21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-4,540,399.97</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00" w:right="0" w:firstLine="0"/>
              <w:jc w:val="both"/>
            </w:pPr>
            <w:r>
              <w:rPr>
                <w:rFonts w:ascii="Times New Roman" w:eastAsia="Times New Roman" w:hAnsi="Times New Roman" w:cs="Times New Roman"/>
                <w:color w:val="000000"/>
                <w:spacing w:val="0"/>
                <w:w w:val="100"/>
                <w:position w:val="0"/>
              </w:rPr>
              <w:t>4,401,378.71</w:t>
            </w:r>
          </w:p>
        </w:tc>
      </w:tr>
    </w:tbl>
    <w:p>
      <w:pPr>
        <w:widowControl w:val="0"/>
        <w:spacing w:after="659" w:line="1" w:lineRule="exact"/>
      </w:pPr>
    </w:p>
    <w:p>
      <w:pPr>
        <w:pStyle w:val="Style31"/>
        <w:keepNext/>
        <w:keepLines/>
        <w:widowControl w:val="0"/>
        <w:shd w:val="clear" w:color="auto" w:fill="auto"/>
        <w:bidi w:val="0"/>
        <w:spacing w:before="0" w:after="340" w:line="240" w:lineRule="auto"/>
        <w:ind w:left="0" w:right="0" w:firstLine="0"/>
        <w:jc w:val="left"/>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4</w:t>
      </w:r>
      <w:bookmarkEnd w:id="997"/>
      <w:r>
        <w:rPr>
          <w:rFonts w:ascii="Times New Roman" w:eastAsia="Times New Roman" w:hAnsi="Times New Roman" w:cs="Times New Roman"/>
          <w:color w:val="000000"/>
          <w:spacing w:val="0"/>
          <w:w w:val="100"/>
          <w:position w:val="0"/>
        </w:rPr>
        <w:t>7</w:t>
      </w:r>
      <w:r>
        <w:rPr>
          <w:color w:val="000000"/>
          <w:spacing w:val="0"/>
          <w:w w:val="100"/>
          <w:position w:val="0"/>
        </w:rPr>
        <w:t>、现金流量表项目</w:t>
      </w:r>
      <w:bookmarkEnd w:id="995"/>
      <w:bookmarkEnd w:id="996"/>
      <w:bookmarkEnd w:id="998"/>
    </w:p>
    <w:p>
      <w:pPr>
        <w:pStyle w:val="Style31"/>
        <w:keepNext/>
        <w:keepLines/>
        <w:widowControl w:val="0"/>
        <w:shd w:val="clear" w:color="auto" w:fill="auto"/>
        <w:bidi w:val="0"/>
        <w:spacing w:before="0" w:after="340" w:line="240" w:lineRule="auto"/>
        <w:ind w:left="0" w:right="0" w:firstLine="0"/>
        <w:jc w:val="left"/>
      </w:pPr>
      <w:bookmarkStart w:id="995" w:name="bookmark995"/>
      <w:bookmarkStart w:id="996" w:name="bookmark996"/>
      <w:bookmarkStart w:id="999" w:name="bookmark9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995"/>
      <w:bookmarkEnd w:id="996"/>
      <w:bookmarkEnd w:id="99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16,294,430.78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28,170,247.06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1,368,254.85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918,544.71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收到的往来款项及其他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8,026,868.96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38,704,960.84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25,689,554.59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67,793,752.61</w:t>
            </w:r>
          </w:p>
        </w:tc>
      </w:tr>
    </w:tbl>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1"/>
        <w:keepNext/>
        <w:keepLines/>
        <w:widowControl w:val="0"/>
        <w:shd w:val="clear" w:color="auto" w:fill="auto"/>
        <w:bidi w:val="0"/>
        <w:spacing w:before="0" w:after="380" w:line="240" w:lineRule="auto"/>
        <w:ind w:left="0" w:right="0" w:firstLine="0"/>
        <w:jc w:val="left"/>
      </w:pPr>
      <w:bookmarkStart w:id="1000" w:name="bookmark1000"/>
      <w:bookmarkStart w:id="1001" w:name="bookmark1001"/>
      <w:bookmarkStart w:id="1002" w:name="bookmark1002"/>
      <w:bookmarkStart w:id="1003" w:name="bookmark1003"/>
      <w:r>
        <w:rPr>
          <w:color w:val="000000"/>
          <w:spacing w:val="0"/>
          <w:w w:val="100"/>
          <w:position w:val="0"/>
        </w:rPr>
        <w:t>（</w:t>
      </w:r>
      <w:bookmarkEnd w:id="1002"/>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000"/>
      <w:bookmarkEnd w:id="1001"/>
      <w:bookmarkEnd w:id="100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7,737,985.17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20,300,406.96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差旅及交通费用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16,340,931.70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13,911,913.17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30,939,287.20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5,698,671.89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55,018,204.07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39,910,992.02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p>
    <w:p>
      <w:pPr>
        <w:widowControl w:val="0"/>
        <w:spacing w:after="379" w:line="1" w:lineRule="exact"/>
      </w:pPr>
    </w:p>
    <w:p>
      <w:pPr>
        <w:pStyle w:val="Style31"/>
        <w:keepNext/>
        <w:keepLines/>
        <w:widowControl w:val="0"/>
        <w:shd w:val="clear" w:color="auto" w:fill="auto"/>
        <w:tabs>
          <w:tab w:pos="493" w:val="left"/>
        </w:tabs>
        <w:bidi w:val="0"/>
        <w:spacing w:before="0" w:after="380" w:line="240" w:lineRule="auto"/>
        <w:ind w:left="0" w:right="0" w:firstLine="0"/>
        <w:jc w:val="left"/>
      </w:pPr>
      <w:bookmarkStart w:id="1004" w:name="bookmark1004"/>
      <w:bookmarkStart w:id="1005" w:name="bookmark1005"/>
      <w:bookmarkStart w:id="1006" w:name="bookmark1006"/>
      <w:bookmarkStart w:id="1007" w:name="bookmark1007"/>
      <w:r>
        <w:rPr>
          <w:color w:val="000000"/>
          <w:spacing w:val="0"/>
          <w:w w:val="100"/>
          <w:position w:val="0"/>
        </w:rPr>
        <w:t>（</w:t>
      </w:r>
      <w:bookmarkEnd w:id="1006"/>
      <w:r>
        <w:rPr>
          <w:rFonts w:ascii="Times New Roman" w:eastAsia="Times New Roman" w:hAnsi="Times New Roman" w:cs="Times New Roman"/>
          <w:color w:val="000000"/>
          <w:spacing w:val="0"/>
          <w:w w:val="100"/>
          <w:position w:val="0"/>
        </w:rPr>
        <w:t>3</w:t>
      </w:r>
      <w:r>
        <w:rPr>
          <w:color w:val="000000"/>
          <w:spacing w:val="0"/>
          <w:w w:val="100"/>
          <w:position w:val="0"/>
        </w:rPr>
        <w:t>）</w:t>
        <w:tab/>
        <w:t>收到的其他与投资活动有关的现金</w:t>
      </w:r>
      <w:bookmarkEnd w:id="1004"/>
      <w:bookmarkEnd w:id="1005"/>
      <w:bookmarkEnd w:id="1007"/>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008" w:name="bookmark1008"/>
      <w:bookmarkStart w:id="1009" w:name="bookmark1009"/>
      <w:bookmarkStart w:id="1010" w:name="bookmark1010"/>
      <w:bookmarkStart w:id="1011" w:name="bookmark1011"/>
      <w:r>
        <w:rPr>
          <w:color w:val="000000"/>
          <w:spacing w:val="0"/>
          <w:w w:val="100"/>
          <w:position w:val="0"/>
        </w:rPr>
        <w:t>（</w:t>
      </w:r>
      <w:bookmarkEnd w:id="1010"/>
      <w:r>
        <w:rPr>
          <w:rFonts w:ascii="Times New Roman" w:eastAsia="Times New Roman" w:hAnsi="Times New Roman" w:cs="Times New Roman"/>
          <w:color w:val="000000"/>
          <w:spacing w:val="0"/>
          <w:w w:val="100"/>
          <w:position w:val="0"/>
        </w:rPr>
        <w:t>4</w:t>
      </w:r>
      <w:r>
        <w:rPr>
          <w:color w:val="000000"/>
          <w:spacing w:val="0"/>
          <w:w w:val="100"/>
          <w:position w:val="0"/>
        </w:rPr>
        <w:t>）</w:t>
        <w:tab/>
        <w:t>支付的其他与投资活动有关的现金</w:t>
      </w:r>
      <w:bookmarkEnd w:id="1008"/>
      <w:bookmarkEnd w:id="1009"/>
      <w:bookmarkEnd w:id="1011"/>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012" w:name="bookmark1012"/>
      <w:bookmarkStart w:id="1013" w:name="bookmark1013"/>
      <w:bookmarkStart w:id="1014" w:name="bookmark1014"/>
      <w:bookmarkStart w:id="1015" w:name="bookmark1015"/>
      <w:r>
        <w:rPr>
          <w:color w:val="000000"/>
          <w:spacing w:val="0"/>
          <w:w w:val="100"/>
          <w:position w:val="0"/>
        </w:rPr>
        <w:t>（</w:t>
      </w:r>
      <w:bookmarkEnd w:id="1014"/>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1012"/>
      <w:bookmarkEnd w:id="1013"/>
      <w:bookmarkEnd w:id="1015"/>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016" w:name="bookmark1016"/>
      <w:bookmarkStart w:id="1017" w:name="bookmark1017"/>
      <w:bookmarkStart w:id="1018" w:name="bookmark1018"/>
      <w:bookmarkStart w:id="1019" w:name="bookmark1019"/>
      <w:r>
        <w:rPr>
          <w:color w:val="000000"/>
          <w:spacing w:val="0"/>
          <w:w w:val="100"/>
          <w:position w:val="0"/>
        </w:rPr>
        <w:t>（</w:t>
      </w:r>
      <w:bookmarkEnd w:id="1018"/>
      <w:r>
        <w:rPr>
          <w:rFonts w:ascii="Times New Roman" w:eastAsia="Times New Roman" w:hAnsi="Times New Roman" w:cs="Times New Roman"/>
          <w:color w:val="000000"/>
          <w:spacing w:val="0"/>
          <w:w w:val="100"/>
          <w:position w:val="0"/>
        </w:rPr>
        <w:t>6</w:t>
      </w:r>
      <w:r>
        <w:rPr>
          <w:color w:val="000000"/>
          <w:spacing w:val="0"/>
          <w:w w:val="100"/>
          <w:position w:val="0"/>
        </w:rPr>
        <w:t>）</w:t>
        <w:tab/>
        <w:t>支付的其他与筹资活动有关的现金</w:t>
      </w:r>
      <w:bookmarkEnd w:id="1016"/>
      <w:bookmarkEnd w:id="1017"/>
      <w:bookmarkEnd w:id="101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支付的租赁负债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20,989,449.08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20,989,449.08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支付的其他与筹资活动有关的现金说明：无。</w:t>
      </w:r>
    </w:p>
    <w:p>
      <w:pPr>
        <w:pStyle w:val="Style31"/>
        <w:keepNext/>
        <w:keepLines/>
        <w:widowControl w:val="0"/>
        <w:shd w:val="clear" w:color="auto" w:fill="auto"/>
        <w:bidi w:val="0"/>
        <w:spacing w:before="0" w:after="380" w:line="240" w:lineRule="auto"/>
        <w:ind w:left="0" w:right="0" w:firstLine="0"/>
        <w:jc w:val="left"/>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4</w:t>
      </w:r>
      <w:bookmarkEnd w:id="1022"/>
      <w:r>
        <w:rPr>
          <w:rFonts w:ascii="Times New Roman" w:eastAsia="Times New Roman" w:hAnsi="Times New Roman" w:cs="Times New Roman"/>
          <w:color w:val="000000"/>
          <w:spacing w:val="0"/>
          <w:w w:val="100"/>
          <w:position w:val="0"/>
        </w:rPr>
        <w:t>8</w:t>
      </w:r>
      <w:r>
        <w:rPr>
          <w:color w:val="000000"/>
          <w:spacing w:val="0"/>
          <w:w w:val="100"/>
          <w:position w:val="0"/>
        </w:rPr>
        <w:t>、现金流量表补充资料</w:t>
      </w:r>
      <w:bookmarkEnd w:id="1020"/>
      <w:bookmarkEnd w:id="1021"/>
      <w:bookmarkEnd w:id="1023"/>
    </w:p>
    <w:p>
      <w:pPr>
        <w:pStyle w:val="Style31"/>
        <w:keepNext/>
        <w:keepLines/>
        <w:widowControl w:val="0"/>
        <w:shd w:val="clear" w:color="auto" w:fill="auto"/>
        <w:bidi w:val="0"/>
        <w:spacing w:before="0" w:after="380" w:line="240" w:lineRule="auto"/>
        <w:ind w:left="0" w:right="0" w:firstLine="0"/>
        <w:jc w:val="left"/>
      </w:pPr>
      <w:bookmarkStart w:id="1020" w:name="bookmark1020"/>
      <w:bookmarkStart w:id="1021" w:name="bookmark1021"/>
      <w:bookmarkStart w:id="1024" w:name="bookmark10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020"/>
      <w:bookmarkEnd w:id="1021"/>
      <w:bookmarkEnd w:id="102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350"/>
        <w:gridCol w:w="1450"/>
        <w:gridCol w:w="1781"/>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47,583,173.27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47,047,692.75</w:t>
            </w:r>
          </w:p>
        </w:tc>
      </w:tr>
    </w:tbl>
    <w:p>
      <w:pPr>
        <w:sectPr>
          <w:footnotePr>
            <w:pos w:val="pageBottom"/>
            <w:numFmt w:val="decimal"/>
            <w:numRestart w:val="continuous"/>
          </w:footnotePr>
          <w:pgSz w:w="11900" w:h="16840"/>
          <w:pgMar w:top="1484" w:right="1093" w:bottom="1474" w:left="1091" w:header="0" w:footer="3" w:gutter="0"/>
          <w:cols w:space="720"/>
          <w:noEndnote/>
          <w:rtlGutter w:val="0"/>
          <w:docGrid w:linePitch="360"/>
        </w:sectPr>
      </w:pPr>
    </w:p>
    <w:tbl>
      <w:tblPr>
        <w:tblOverlap w:val="never"/>
        <w:jc w:val="center"/>
        <w:tblLayout w:type="fixed"/>
      </w:tblPr>
      <w:tblGrid>
        <w:gridCol w:w="6350"/>
        <w:gridCol w:w="1450"/>
        <w:gridCol w:w="1781"/>
      </w:tblGrid>
      <w:tr>
        <w:trPr>
          <w:trHeight w:val="4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6,194,360.08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11,847,154.43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21,006,365.18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18,734,826.45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18,875,555.35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11,018,597.83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10,217,284.31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10,382,876.96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11,593,703.66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处置固定资产的（收益）</w:t>
            </w:r>
            <w:r>
              <w:rPr>
                <w:rFonts w:ascii="Times New Roman" w:eastAsia="Times New Roman" w:hAnsi="Times New Roman" w:cs="Times New Roman"/>
                <w:color w:val="000000"/>
                <w:spacing w:val="0"/>
                <w:w w:val="100"/>
                <w:position w:val="0"/>
              </w:rPr>
              <w:t>/</w:t>
            </w:r>
            <w:r>
              <w:rPr>
                <w:color w:val="000000"/>
                <w:spacing w:val="0"/>
                <w:w w:val="100"/>
                <w:position w:val="0"/>
              </w:rPr>
              <w:t>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-16,052.21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99,622.82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3,945,417.40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1,011,550.33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180,317.71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-326,217.72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1,621,022.84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-3,179,091.60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-31,066.33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存货的增加（增加以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-31,636.25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-57,091,888.77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-97,259,424.06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-12,143,205.17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58,966,583.94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递延收益（减少）</w:t>
            </w:r>
            <w:r>
              <w:rPr>
                <w:rFonts w:ascii="Times New Roman" w:eastAsia="Times New Roman" w:hAnsi="Times New Roman" w:cs="Times New Roman"/>
                <w:color w:val="000000"/>
                <w:spacing w:val="0"/>
                <w:w w:val="100"/>
                <w:position w:val="0"/>
              </w:rPr>
              <w:t>/</w:t>
            </w:r>
            <w:r>
              <w:rPr>
                <w:color w:val="000000"/>
                <w:spacing w:val="0"/>
                <w:w w:val="100"/>
                <w:position w:val="0"/>
              </w:rPr>
              <w:t>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-9,485,118.78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6,931,272.09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42,039,477.98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65,653,321.15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208,814,392.79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241,360,212.83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241,360,212.83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200,785,027.19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-32,545,820.04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40,575,185.64</w:t>
            </w:r>
          </w:p>
        </w:tc>
      </w:tr>
    </w:tbl>
    <w:p>
      <w:pPr>
        <w:widowControl w:val="0"/>
        <w:spacing w:after="319" w:line="1" w:lineRule="exact"/>
      </w:pPr>
    </w:p>
    <w:p>
      <w:pPr>
        <w:pStyle w:val="Style31"/>
        <w:keepNext/>
        <w:keepLines/>
        <w:widowControl w:val="0"/>
        <w:shd w:val="clear" w:color="auto" w:fill="auto"/>
        <w:tabs>
          <w:tab w:pos="493" w:val="left"/>
        </w:tabs>
        <w:bidi w:val="0"/>
        <w:spacing w:before="0" w:after="380" w:line="240" w:lineRule="auto"/>
        <w:ind w:left="0" w:right="0" w:firstLine="0"/>
        <w:jc w:val="left"/>
      </w:pPr>
      <w:bookmarkStart w:id="1025" w:name="bookmark1025"/>
      <w:bookmarkStart w:id="1026" w:name="bookmark1026"/>
      <w:bookmarkStart w:id="1027" w:name="bookmark1027"/>
      <w:bookmarkStart w:id="1028" w:name="bookmark1028"/>
      <w:r>
        <w:rPr>
          <w:color w:val="000000"/>
          <w:spacing w:val="0"/>
          <w:w w:val="100"/>
          <w:position w:val="0"/>
        </w:rPr>
        <w:t>（</w:t>
      </w:r>
      <w:bookmarkEnd w:id="1027"/>
      <w:r>
        <w:rPr>
          <w:rFonts w:ascii="Times New Roman" w:eastAsia="Times New Roman" w:hAnsi="Times New Roman" w:cs="Times New Roman"/>
          <w:color w:val="000000"/>
          <w:spacing w:val="0"/>
          <w:w w:val="100"/>
          <w:position w:val="0"/>
        </w:rPr>
        <w:t>2</w:t>
      </w:r>
      <w:r>
        <w:rPr>
          <w:color w:val="000000"/>
          <w:spacing w:val="0"/>
          <w:w w:val="100"/>
          <w:position w:val="0"/>
        </w:rPr>
        <w:t>）</w:t>
        <w:tab/>
        <w:t>本期支付的取得子公司的现金净额</w:t>
      </w:r>
      <w:bookmarkEnd w:id="1025"/>
      <w:bookmarkEnd w:id="1026"/>
      <w:bookmarkEnd w:id="1028"/>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029" w:name="bookmark1029"/>
      <w:bookmarkStart w:id="1030" w:name="bookmark1030"/>
      <w:bookmarkStart w:id="1031" w:name="bookmark1031"/>
      <w:bookmarkStart w:id="1032" w:name="bookmark1032"/>
      <w:r>
        <w:rPr>
          <w:color w:val="000000"/>
          <w:spacing w:val="0"/>
          <w:w w:val="100"/>
          <w:position w:val="0"/>
        </w:rPr>
        <w:t>（</w:t>
      </w:r>
      <w:bookmarkEnd w:id="1031"/>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029"/>
      <w:bookmarkEnd w:id="1030"/>
      <w:bookmarkEnd w:id="1032"/>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sectPr>
          <w:footnotePr>
            <w:pos w:val="pageBottom"/>
            <w:numFmt w:val="decimal"/>
            <w:numRestart w:val="continuous"/>
          </w:footnotePr>
          <w:pgSz w:w="11900" w:h="16840"/>
          <w:pgMar w:top="1436" w:right="1162" w:bottom="1892" w:left="1109" w:header="0" w:footer="3" w:gutter="0"/>
          <w:cols w:space="720"/>
          <w:noEndnote/>
          <w:rtlGutter w:val="0"/>
          <w:docGrid w:linePitch="360"/>
        </w:sectPr>
      </w:pPr>
      <w:bookmarkStart w:id="1033" w:name="bookmark1033"/>
      <w:bookmarkStart w:id="1034" w:name="bookmark1034"/>
      <w:bookmarkStart w:id="1035" w:name="bookmark1035"/>
      <w:bookmarkStart w:id="1036" w:name="bookmark1036"/>
      <w:r>
        <w:rPr>
          <w:color w:val="000000"/>
          <w:spacing w:val="0"/>
          <w:w w:val="100"/>
          <w:position w:val="0"/>
        </w:rPr>
        <w:t>（</w:t>
      </w:r>
      <w:bookmarkEnd w:id="1035"/>
      <w:r>
        <w:rPr>
          <w:rFonts w:ascii="Times New Roman" w:eastAsia="Times New Roman" w:hAnsi="Times New Roman" w:cs="Times New Roman"/>
          <w:color w:val="000000"/>
          <w:spacing w:val="0"/>
          <w:w w:val="100"/>
          <w:position w:val="0"/>
        </w:rPr>
        <w:t>4</w:t>
      </w:r>
      <w:r>
        <w:rPr>
          <w:color w:val="000000"/>
          <w:spacing w:val="0"/>
          <w:w w:val="100"/>
          <w:position w:val="0"/>
        </w:rPr>
        <w:t>）</w:t>
        <w:tab/>
        <w:t>现金和现金等价物的构成</w:t>
      </w:r>
      <w:bookmarkEnd w:id="1033"/>
      <w:bookmarkEnd w:id="1034"/>
      <w:bookmarkEnd w:id="1036"/>
    </w:p>
    <w:tbl>
      <w:tblPr>
        <w:tblOverlap w:val="never"/>
        <w:jc w:val="center"/>
        <w:tblLayout w:type="fixed"/>
      </w:tblPr>
      <w:tblGrid>
        <w:gridCol w:w="3389"/>
        <w:gridCol w:w="3058"/>
        <w:gridCol w:w="3254"/>
      </w:tblGrid>
      <w:tr>
        <w:trPr>
          <w:trHeight w:val="629" w:hRule="exact"/>
        </w:trPr>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年年度报告全文</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208,814,392.79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241,360,212.83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170,287.39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91,167.39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208,644,105.40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241,269,045.44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208,814,392.79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241,360,212.83</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4</w:t>
      </w:r>
      <w:bookmarkEnd w:id="1039"/>
      <w:r>
        <w:rPr>
          <w:rFonts w:ascii="Times New Roman" w:eastAsia="Times New Roman" w:hAnsi="Times New Roman" w:cs="Times New Roman"/>
          <w:color w:val="000000"/>
          <w:spacing w:val="0"/>
          <w:w w:val="100"/>
          <w:position w:val="0"/>
        </w:rPr>
        <w:t>9</w:t>
      </w:r>
      <w:r>
        <w:rPr>
          <w:color w:val="000000"/>
          <w:spacing w:val="0"/>
          <w:w w:val="100"/>
          <w:position w:val="0"/>
        </w:rPr>
        <w:t>、所有权或使用权受到限制的资产</w:t>
      </w:r>
      <w:bookmarkEnd w:id="1037"/>
      <w:bookmarkEnd w:id="1038"/>
      <w:bookmarkEnd w:id="1040"/>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15,584,867.20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保函保证金、代建户</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55,129,801.70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用于抵押借款</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394,651,249.73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用于抵押借款</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465,365,918.63</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5</w:t>
      </w:r>
      <w:bookmarkEnd w:id="1043"/>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41"/>
      <w:bookmarkEnd w:id="1042"/>
      <w:bookmarkEnd w:id="1044"/>
    </w:p>
    <w:p>
      <w:pPr>
        <w:pStyle w:val="Style31"/>
        <w:keepNext/>
        <w:keepLines/>
        <w:widowControl w:val="0"/>
        <w:shd w:val="clear" w:color="auto" w:fill="auto"/>
        <w:bidi w:val="0"/>
        <w:spacing w:before="0" w:after="380" w:line="240" w:lineRule="auto"/>
        <w:ind w:left="0" w:right="0" w:firstLine="0"/>
        <w:jc w:val="left"/>
      </w:pPr>
      <w:bookmarkStart w:id="1041" w:name="bookmark1041"/>
      <w:bookmarkStart w:id="1042" w:name="bookmark1042"/>
      <w:bookmarkStart w:id="1045" w:name="bookmark10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041"/>
      <w:bookmarkEnd w:id="1042"/>
      <w:bookmarkEnd w:id="1045"/>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6101"/>
        <w:gridCol w:w="1272"/>
        <w:gridCol w:w="994"/>
        <w:gridCol w:w="1214"/>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计入当期损益</w:t>
            </w:r>
          </w:p>
          <w:p>
            <w:pPr>
              <w:pStyle w:val="Style23"/>
              <w:keepNext w:val="0"/>
              <w:keepLines w:val="0"/>
              <w:widowControl w:val="0"/>
              <w:shd w:val="clear" w:color="auto" w:fill="auto"/>
              <w:bidi w:val="0"/>
              <w:spacing w:before="0" w:after="0" w:line="240" w:lineRule="auto"/>
              <w:ind w:left="0" w:right="340" w:firstLine="0"/>
              <w:jc w:val="right"/>
            </w:pPr>
            <w:r>
              <w:rPr>
                <w:color w:val="000000"/>
                <w:spacing w:val="0"/>
                <w:w w:val="100"/>
                <w:position w:val="0"/>
              </w:rPr>
              <w:t>的金额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深发改【</w:t>
            </w:r>
            <w:r>
              <w:rPr>
                <w:rFonts w:ascii="Times New Roman" w:eastAsia="Times New Roman" w:hAnsi="Times New Roman" w:cs="Times New Roman"/>
                <w:color w:val="000000"/>
                <w:spacing w:val="0"/>
                <w:w w:val="100"/>
                <w:position w:val="0"/>
              </w:rPr>
              <w:t>2015</w:t>
            </w:r>
            <w:r>
              <w:rPr>
                <w:color w:val="000000"/>
                <w:spacing w:val="0"/>
                <w:w w:val="100"/>
                <w:position w:val="0"/>
              </w:rPr>
              <w:t>】</w:t>
            </w:r>
            <w:r>
              <w:rPr>
                <w:rFonts w:ascii="Times New Roman" w:eastAsia="Times New Roman" w:hAnsi="Times New Roman" w:cs="Times New Roman"/>
                <w:color w:val="000000"/>
                <w:spacing w:val="0"/>
                <w:w w:val="100"/>
                <w:position w:val="0"/>
              </w:rPr>
              <w:t>200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中美低碳建筑与社区创新实验中心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深发改【</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1137</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低碳检测服务机构培育工程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529,317.00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启动区碳排放实时监测公共平台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2,348,406.86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国际低碳城碳认证服务中心项目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1,453,689.54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建科大楼</w:t>
            </w:r>
            <w:r>
              <w:rPr>
                <w:color w:val="000000"/>
                <w:spacing w:val="0"/>
                <w:w w:val="100"/>
                <w:position w:val="0"/>
              </w:rPr>
              <w:t>（</w:t>
            </w:r>
            <w:r>
              <w:rPr>
                <w:color w:val="000000"/>
                <w:spacing w:val="0"/>
                <w:w w:val="100"/>
                <w:position w:val="0"/>
              </w:rPr>
              <w:t>节能贴息</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101,650.96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深发改【</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1132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深圳国际低碳城中美中心建设渣土资源化利用示范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1,344,000.00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城市地面关键公共基础设施的性能评估、性能预测与安全预警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641,603.31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既有城市工业区废弃物资源化利用技术研究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630,121.23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基于直流配电的净零能耗建筑综合能源管控与能效提升技术研究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52,893.79</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福田区配套资助</w:t>
            </w:r>
            <w:r>
              <w:rPr>
                <w:rFonts w:ascii="Times New Roman" w:eastAsia="Times New Roman" w:hAnsi="Times New Roman" w:cs="Times New Roman"/>
                <w:color w:val="000000"/>
                <w:spacing w:val="0"/>
                <w:w w:val="100"/>
                <w:position w:val="0"/>
              </w:rPr>
              <w:t>-</w:t>
            </w:r>
            <w:r>
              <w:rPr>
                <w:color w:val="000000"/>
                <w:spacing w:val="0"/>
                <w:w w:val="100"/>
                <w:position w:val="0"/>
              </w:rPr>
              <w:t>住宅通风和空气净化过滤技术实施及效果评测及节能、经 济、适用的通风及空气质量控制方法和技术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绿色建筑节能示范工程补贴</w:t>
            </w:r>
            <w:r>
              <w:rPr>
                <w:color w:val="000000"/>
                <w:spacing w:val="0"/>
                <w:w w:val="100"/>
                <w:position w:val="0"/>
              </w:rPr>
              <w:t>（</w:t>
            </w:r>
            <w:r>
              <w:rPr>
                <w:color w:val="000000"/>
                <w:spacing w:val="0"/>
                <w:w w:val="100"/>
                <w:position w:val="0"/>
              </w:rPr>
              <w:t>建科大楼</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城市节能和低碳解决方案的工具研究与开发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366,856.70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深圳市低碳试点示范项目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533,322.35</w:t>
            </w:r>
          </w:p>
        </w:tc>
      </w:tr>
    </w:tbl>
    <w:p>
      <w:pPr>
        <w:sectPr>
          <w:footnotePr>
            <w:pos w:val="pageBottom"/>
            <w:numFmt w:val="decimal"/>
            <w:numRestart w:val="continuous"/>
          </w:footnotePr>
          <w:pgSz w:w="11900" w:h="16840"/>
          <w:pgMar w:top="822" w:right="1100" w:bottom="1153" w:left="1100" w:header="0" w:footer="3" w:gutter="0"/>
          <w:cols w:space="720"/>
          <w:noEndnote/>
          <w:rtlGutter w:val="0"/>
          <w:docGrid w:linePitch="360"/>
        </w:sectPr>
      </w:pPr>
    </w:p>
    <w:tbl>
      <w:tblPr>
        <w:tblOverlap w:val="never"/>
        <w:jc w:val="center"/>
        <w:tblLayout w:type="fixed"/>
      </w:tblPr>
      <w:tblGrid>
        <w:gridCol w:w="6101"/>
        <w:gridCol w:w="1272"/>
        <w:gridCol w:w="994"/>
        <w:gridCol w:w="1214"/>
      </w:tblGrid>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低压直流建筑关键技术验证与产品研发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1,828,681.14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其他与收益相关项目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1,224,579.25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3,524,955.15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1,168,509.75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1,168,509.75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增值税进项税加计扣除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397,127.50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397,127.50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产业发展专项资金等与收益相关的政府补助项目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1,353,295.50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1,353,295.50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046" w:name="bookmark1046"/>
      <w:bookmarkStart w:id="1047" w:name="bookmark1047"/>
      <w:bookmarkStart w:id="1048" w:name="bookmark10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046"/>
      <w:bookmarkEnd w:id="1047"/>
      <w:bookmarkEnd w:id="1048"/>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5</w:t>
      </w:r>
      <w:bookmarkEnd w:id="1051"/>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1049"/>
      <w:bookmarkEnd w:id="1050"/>
      <w:bookmarkEnd w:id="1052"/>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基本每股收益和稀释每股收益的计算过程</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基本每股收益以归属于本公司普通股股东的合并净利润除以本公司发行在外普通股的加权平均数计算:</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24"/>
        <w:gridCol w:w="2832"/>
        <w:gridCol w:w="25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归属于本公司普通股股东的合并净利润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44,506,790.56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43,866,588.22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本公司发行在外普通股的加权平均数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146,666,700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146,666,700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r>
              <w:rPr>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0.3035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0.2991</w:t>
            </w:r>
          </w:p>
        </w:tc>
      </w:tr>
    </w:tbl>
    <w:p>
      <w:pPr>
        <w:widowControl w:val="0"/>
        <w:spacing w:after="79"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普通股的加权平均数计算过程如下:</w:t>
      </w:r>
    </w:p>
    <w:tbl>
      <w:tblPr>
        <w:tblOverlap w:val="never"/>
        <w:jc w:val="center"/>
        <w:tblLayout w:type="fixed"/>
      </w:tblPr>
      <w:tblGrid>
        <w:gridCol w:w="4224"/>
        <w:gridCol w:w="2832"/>
        <w:gridCol w:w="252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年初及年末已发行普通股股数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146,666,700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146,666,700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年初及年末普通股的加权平均数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146,666,700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146,666,700</w:t>
            </w:r>
          </w:p>
        </w:tc>
      </w:tr>
    </w:tbl>
    <w:p>
      <w:pPr>
        <w:widowControl w:val="0"/>
        <w:spacing w:after="79" w:line="1" w:lineRule="exact"/>
      </w:pP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本公司无稀释性潜在普通股。</w:t>
      </w:r>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利润表补充资料</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对利润表中的费用按性质分类:</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24"/>
        <w:gridCol w:w="2832"/>
        <w:gridCol w:w="25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502,831,397.93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506,457,668.54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减：职工薪酬费用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238,697,977.13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209,393,416.12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42,857,054.59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89,061,653.85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固定资产折旧及无形资产摊销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42,407,839.97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38,120,091.02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7,737,985.17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20,300,406.96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18,875,555.35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-13,375,498.03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-19,036,458.65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办公及会务费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14,430,529.36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13,938,663.53</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课题研发经费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16,006,152.41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10,221,211.12</w:t>
            </w:r>
          </w:p>
        </w:tc>
      </w:tr>
    </w:tbl>
    <w:p>
      <w:pPr>
        <w:spacing w:lineRule="exact" w:line="1"/>
        <w:rPr>
          <w:sz w:val="2"/>
          <w:szCs w:val="2"/>
        </w:rPr>
      </w:pPr>
      <w:r>
        <w:br w:type="page"/>
      </w:r>
    </w:p>
    <w:tbl>
      <w:tblPr>
        <w:tblOverlap w:val="never"/>
        <w:jc w:val="center"/>
        <w:tblLayout w:type="fixed"/>
      </w:tblPr>
      <w:tblGrid>
        <w:gridCol w:w="4224"/>
        <w:gridCol w:w="2832"/>
        <w:gridCol w:w="2525"/>
      </w:tblGrid>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1,024,046.89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1,597,261.30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5,170,313.19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10,249,893.13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5,908,030.46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8,492,499.53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2,719,032.43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240,991.02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2,191,475.30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1,946,780.19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69,671,655.79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71,853,772.03</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48,509,247.92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50,077,487.39</w:t>
            </w:r>
          </w:p>
        </w:tc>
      </w:tr>
    </w:tbl>
    <w:p>
      <w:pPr>
        <w:widowControl w:val="0"/>
        <w:spacing w:after="299" w:line="1" w:lineRule="exact"/>
      </w:pPr>
    </w:p>
    <w:p>
      <w:pPr>
        <w:pStyle w:val="Style26"/>
        <w:keepNext w:val="0"/>
        <w:keepLines w:val="0"/>
        <w:widowControl w:val="0"/>
        <w:shd w:val="clear" w:color="auto" w:fill="auto"/>
        <w:bidi w:val="0"/>
        <w:spacing w:before="0" w:after="360" w:line="240" w:lineRule="auto"/>
        <w:ind w:left="0" w:right="0" w:firstLine="0"/>
        <w:jc w:val="left"/>
      </w:pPr>
      <w:bookmarkStart w:id="1053" w:name="bookmark1053"/>
      <w:r>
        <w:rPr>
          <w:color w:val="000000"/>
          <w:spacing w:val="0"/>
          <w:w w:val="100"/>
          <w:position w:val="0"/>
          <w:sz w:val="24"/>
          <w:szCs w:val="24"/>
        </w:rPr>
        <w:t>八</w:t>
      </w:r>
      <w:bookmarkEnd w:id="1053"/>
      <w:r>
        <w:rPr>
          <w:color w:val="000000"/>
          <w:spacing w:val="0"/>
          <w:w w:val="100"/>
          <w:position w:val="0"/>
          <w:sz w:val="24"/>
          <w:szCs w:val="24"/>
        </w:rPr>
        <w:t>、合并范围的变更</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本报告期不存在合并范围的变更。</w:t>
      </w:r>
    </w:p>
    <w:p>
      <w:pPr>
        <w:pStyle w:val="Style26"/>
        <w:keepNext w:val="0"/>
        <w:keepLines w:val="0"/>
        <w:widowControl w:val="0"/>
        <w:shd w:val="clear" w:color="auto" w:fill="auto"/>
        <w:bidi w:val="0"/>
        <w:spacing w:before="0" w:after="360" w:line="240" w:lineRule="auto"/>
        <w:ind w:left="0" w:right="0" w:firstLine="0"/>
        <w:jc w:val="left"/>
      </w:pPr>
      <w:bookmarkStart w:id="1054" w:name="bookmark1054"/>
      <w:r>
        <w:rPr>
          <w:color w:val="000000"/>
          <w:spacing w:val="0"/>
          <w:w w:val="100"/>
          <w:position w:val="0"/>
          <w:sz w:val="24"/>
          <w:szCs w:val="24"/>
        </w:rPr>
        <w:t>九</w:t>
      </w:r>
      <w:bookmarkEnd w:id="1054"/>
      <w:r>
        <w:rPr>
          <w:color w:val="000000"/>
          <w:spacing w:val="0"/>
          <w:w w:val="100"/>
          <w:position w:val="0"/>
          <w:sz w:val="24"/>
          <w:szCs w:val="24"/>
        </w:rPr>
        <w:t>、在其他主体中的权益</w:t>
      </w:r>
    </w:p>
    <w:p>
      <w:pPr>
        <w:pStyle w:val="Style31"/>
        <w:keepNext/>
        <w:keepLines/>
        <w:widowControl w:val="0"/>
        <w:shd w:val="clear" w:color="auto" w:fill="auto"/>
        <w:bidi w:val="0"/>
        <w:spacing w:before="0" w:line="240" w:lineRule="auto"/>
        <w:ind w:left="0" w:right="0" w:firstLine="0"/>
        <w:jc w:val="left"/>
      </w:pPr>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055"/>
      <w:bookmarkEnd w:id="1056"/>
      <w:bookmarkEnd w:id="1057"/>
    </w:p>
    <w:p>
      <w:pPr>
        <w:pStyle w:val="Style31"/>
        <w:keepNext/>
        <w:keepLines/>
        <w:widowControl w:val="0"/>
        <w:shd w:val="clear" w:color="auto" w:fill="auto"/>
        <w:bidi w:val="0"/>
        <w:spacing w:before="0" w:after="300" w:line="240" w:lineRule="auto"/>
        <w:ind w:left="0" w:right="0" w:firstLine="0"/>
        <w:jc w:val="left"/>
      </w:pPr>
      <w:bookmarkStart w:id="1055" w:name="bookmark1055"/>
      <w:bookmarkStart w:id="1056" w:name="bookmark1056"/>
      <w:bookmarkStart w:id="1058" w:name="bookmark10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055"/>
      <w:bookmarkEnd w:id="1056"/>
      <w:bookmarkEnd w:id="1058"/>
    </w:p>
    <w:tbl>
      <w:tblPr>
        <w:tblOverlap w:val="never"/>
        <w:jc w:val="center"/>
        <w:tblLayout w:type="fixed"/>
      </w:tblPr>
      <w:tblGrid>
        <w:gridCol w:w="1277"/>
        <w:gridCol w:w="706"/>
        <w:gridCol w:w="710"/>
        <w:gridCol w:w="3542"/>
        <w:gridCol w:w="850"/>
        <w:gridCol w:w="571"/>
        <w:gridCol w:w="566"/>
        <w:gridCol w:w="974"/>
      </w:tblGrid>
      <w:tr>
        <w:trPr>
          <w:trHeight w:val="40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主要经</w:t>
            </w:r>
          </w:p>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营地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注册资本</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万元</w:t>
            </w:r>
            <w:r>
              <w:rPr>
                <w:rFonts w:ascii="Times New Roman" w:eastAsia="Times New Roman" w:hAnsi="Times New Roman" w:cs="Times New Roman"/>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取得方式</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直接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迪赛恩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信息工程监理、咨询；建筑 工程、环艺设计与咨询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艾科筑业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住宅产业化和可再生资源与 建筑一体化的研究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市政中心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市政建设及规划咨询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无偿划转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北京艾科城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工程设计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深圳艾科城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建筑工程设计与咨询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建研检测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建筑工程检测、监测、测量， 建筑材料与部品检测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常州城建艾 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绿色城市与绿色建筑研发服务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上海爱轲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生态科技领域内的技术开发、 技术咨询、技术服务、技术 转让；房地产经纪，物业管理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深圳玖伊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绿色建筑与园区运营管理； 文化艺术交流策划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雄安玖壹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生态环境技术开发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绿研检验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工程检测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sectPr>
          <w:footnotePr>
            <w:pos w:val="pageBottom"/>
            <w:numFmt w:val="decimal"/>
            <w:numRestart w:val="continuous"/>
          </w:footnotePr>
          <w:pgSz w:w="11900" w:h="16840"/>
          <w:pgMar w:top="1462" w:right="1121" w:bottom="1439" w:left="1093" w:header="0" w:footer="3" w:gutter="0"/>
          <w:cols w:space="720"/>
          <w:noEndnote/>
          <w:rtlGutter w:val="0"/>
          <w:docGrid w:linePitch="360"/>
        </w:sectPr>
      </w:pPr>
    </w:p>
    <w:tbl>
      <w:tblPr>
        <w:tblOverlap w:val="never"/>
        <w:jc w:val="center"/>
        <w:tblLayout w:type="fixed"/>
      </w:tblPr>
      <w:tblGrid>
        <w:gridCol w:w="1277"/>
        <w:gridCol w:w="706"/>
        <w:gridCol w:w="710"/>
        <w:gridCol w:w="3542"/>
        <w:gridCol w:w="850"/>
        <w:gridCol w:w="571"/>
        <w:gridCol w:w="566"/>
        <w:gridCol w:w="974"/>
      </w:tblGrid>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建信筑和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软件与信息技术服务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湖北建胜</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荆门市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荆门市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建筑工程安全生产评价，工程</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技术咨询及指导服务，工程造价信息咨询服</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务，工程技术专家</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论证服务，房屋租赁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3,103.85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收购</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精兴建设</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荆门市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荆门市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建设工程检测，地基与基础</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工程检测，主体结构工程 现场检测等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收购</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图强建设</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一类及一类以下建筑工程施 工图设计文件审查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领航培训</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荆门市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荆门市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建筑行业从业人员职业技能 培训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收购</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丰天工程</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荆门市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荆门市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工程项目招标代理服务，工程</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项目咨询、代理服务，政府采购代理服务，</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不动产测绘等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收购</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湾区绿色技 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工程项目管理及相关技术服务；环境工程咨 询；绿色节能改造工程咨询与施工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湾区规划设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城市规划设计、建筑工程设计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0"/>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截至本报告期末，本集团所持湖北建胜及其子公司的股权比例为</w:t>
      </w:r>
      <w:r>
        <w:rPr>
          <w:rFonts w:ascii="Times New Roman" w:eastAsia="Times New Roman" w:hAnsi="Times New Roman" w:cs="Times New Roman"/>
          <w:color w:val="000000"/>
          <w:spacing w:val="0"/>
          <w:w w:val="100"/>
          <w:position w:val="0"/>
        </w:rPr>
        <w:t>40%</w:t>
      </w:r>
      <w:r>
        <w:rPr>
          <w:color w:val="000000"/>
          <w:spacing w:val="0"/>
          <w:w w:val="100"/>
          <w:position w:val="0"/>
        </w:rPr>
        <w:t>，根据湖北建胜公司章程中关于表决权的约定，本集团 可以控制湖北建胜及其子公司。</w:t>
      </w:r>
    </w:p>
    <w:p>
      <w:pPr>
        <w:pStyle w:val="Style31"/>
        <w:keepNext/>
        <w:keepLines/>
        <w:widowControl w:val="0"/>
        <w:shd w:val="clear" w:color="auto" w:fill="auto"/>
        <w:bidi w:val="0"/>
        <w:spacing w:before="0" w:after="380" w:line="240" w:lineRule="auto"/>
        <w:ind w:left="0" w:right="0" w:firstLine="0"/>
        <w:jc w:val="left"/>
      </w:pPr>
      <w:bookmarkStart w:id="1059" w:name="bookmark1059"/>
      <w:bookmarkStart w:id="1060" w:name="bookmark1060"/>
      <w:bookmarkStart w:id="1061" w:name="bookmark10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059"/>
      <w:bookmarkEnd w:id="1060"/>
      <w:bookmarkEnd w:id="106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0"/>
      </w:tblGrid>
      <w:tr>
        <w:trPr>
          <w:trHeight w:val="76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湖北建胜</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2,832,136.15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1,900,900.00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23,778,569.02</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062" w:name="bookmark1062"/>
      <w:bookmarkStart w:id="1063" w:name="bookmark1063"/>
      <w:bookmarkStart w:id="1064" w:name="bookmark1064"/>
      <w:bookmarkStart w:id="1065" w:name="bookmark1065"/>
      <w:r>
        <w:rPr>
          <w:color w:val="000000"/>
          <w:spacing w:val="0"/>
          <w:w w:val="100"/>
          <w:position w:val="0"/>
        </w:rPr>
        <w:t>（</w:t>
      </w:r>
      <w:bookmarkEnd w:id="1064"/>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062"/>
      <w:bookmarkEnd w:id="1063"/>
      <w:bookmarkEnd w:id="106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9"/>
        <w:gridCol w:w="734"/>
        <w:gridCol w:w="734"/>
        <w:gridCol w:w="734"/>
        <w:gridCol w:w="739"/>
        <w:gridCol w:w="734"/>
        <w:gridCol w:w="734"/>
        <w:gridCol w:w="734"/>
        <w:gridCol w:w="734"/>
        <w:gridCol w:w="739"/>
        <w:gridCol w:w="74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湖北建</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胜及其</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25,145,1</w:t>
            </w:r>
          </w:p>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95.33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20,386,8</w:t>
            </w:r>
          </w:p>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45,532,0</w:t>
            </w:r>
          </w:p>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5,134,27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766,791.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5,901,06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23,560,6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20,982,9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44,543,5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6,142,80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321,952.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6,464,75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w:t>
            </w:r>
          </w:p>
        </w:tc>
      </w:tr>
    </w:tbl>
    <w:p>
      <w:pPr>
        <w:sectPr>
          <w:footnotePr>
            <w:pos w:val="pageBottom"/>
            <w:numFmt w:val="decimal"/>
            <w:numRestart w:val="continuous"/>
          </w:footnotePr>
          <w:pgSz w:w="11900" w:h="16840"/>
          <w:pgMar w:top="1436" w:right="1109" w:bottom="1738" w:left="1104" w:header="0" w:footer="3" w:gutter="0"/>
          <w:cols w:space="720"/>
          <w:noEndnote/>
          <w:rtlGutter w:val="0"/>
          <w:docGrid w:linePitch="360"/>
        </w:sectPr>
      </w:pPr>
    </w:p>
    <w:tbl>
      <w:tblPr>
        <w:tblOverlap w:val="never"/>
        <w:jc w:val="center"/>
        <w:tblLayout w:type="fixed"/>
      </w:tblPr>
      <w:tblGrid>
        <w:gridCol w:w="1066"/>
        <w:gridCol w:w="1061"/>
        <w:gridCol w:w="1061"/>
        <w:gridCol w:w="1066"/>
        <w:gridCol w:w="1080"/>
        <w:gridCol w:w="1046"/>
        <w:gridCol w:w="1066"/>
        <w:gridCol w:w="1061"/>
        <w:gridCol w:w="1075"/>
      </w:tblGrid>
      <w:tr>
        <w:trPr>
          <w:trHeight w:val="422"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经营活动现</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经营活动现</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湖北建胜及</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40,835,847.0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4,720,226.92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4,720,226.92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9,373,827.45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35,598,514.7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4,824,531.45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4,824,531.45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9,872,758.11</w:t>
            </w:r>
          </w:p>
        </w:tc>
      </w:tr>
    </w:tbl>
    <w:p>
      <w:pPr>
        <w:pStyle w:val="Style20"/>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上表列示了上述子公司的主要财务信息，这些子公司的主要财务信息是集团内部交易抵销前的金额，但是经过了合并日公 允价值以及统一会计政策的调整。</w:t>
      </w:r>
    </w:p>
    <w:p>
      <w:pPr>
        <w:pStyle w:val="Style31"/>
        <w:keepNext/>
        <w:keepLines/>
        <w:widowControl w:val="0"/>
        <w:shd w:val="clear" w:color="auto" w:fill="auto"/>
        <w:bidi w:val="0"/>
        <w:spacing w:before="0" w:line="240" w:lineRule="auto"/>
        <w:ind w:left="0" w:right="0" w:firstLine="0"/>
        <w:jc w:val="left"/>
      </w:pPr>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066"/>
      <w:bookmarkEnd w:id="1067"/>
      <w:bookmarkEnd w:id="1068"/>
    </w:p>
    <w:p>
      <w:pPr>
        <w:pStyle w:val="Style31"/>
        <w:keepNext/>
        <w:keepLines/>
        <w:widowControl w:val="0"/>
        <w:shd w:val="clear" w:color="auto" w:fill="auto"/>
        <w:bidi w:val="0"/>
        <w:spacing w:before="0" w:line="240" w:lineRule="auto"/>
        <w:ind w:left="0" w:right="0" w:firstLine="0"/>
        <w:jc w:val="left"/>
      </w:pPr>
      <w:bookmarkStart w:id="1066" w:name="bookmark1066"/>
      <w:bookmarkStart w:id="1067" w:name="bookmark1067"/>
      <w:bookmarkStart w:id="1069" w:name="bookmark10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）不重要的合营企业和联营企业的汇总财务信息</w:t>
      </w:r>
      <w:bookmarkEnd w:id="1066"/>
      <w:bookmarkEnd w:id="1067"/>
      <w:bookmarkEnd w:id="106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58"/>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3,430,264.03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3,610,696.80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-180,432.77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-126,780.92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-180,432.77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-126,780.92</w:t>
            </w:r>
          </w:p>
        </w:tc>
      </w:tr>
    </w:tbl>
    <w:p>
      <w:pPr>
        <w:widowControl w:val="0"/>
        <w:spacing w:after="3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680" w:line="240" w:lineRule="auto"/>
        <w:ind w:left="0" w:right="0" w:firstLine="0"/>
        <w:jc w:val="left"/>
      </w:pPr>
      <w:r>
        <w:rPr>
          <w:color w:val="000000"/>
          <w:spacing w:val="0"/>
          <w:w w:val="100"/>
          <w:position w:val="0"/>
        </w:rPr>
        <w:t>本集团无合营企业。</w:t>
      </w:r>
    </w:p>
    <w:p>
      <w:pPr>
        <w:pStyle w:val="Style26"/>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十、与金融工具相关的风险</w:t>
      </w:r>
    </w:p>
    <w:p>
      <w:pPr>
        <w:pStyle w:val="Style20"/>
        <w:keepNext w:val="0"/>
        <w:keepLines w:val="0"/>
        <w:widowControl w:val="0"/>
        <w:shd w:val="clear" w:color="auto" w:fill="auto"/>
        <w:bidi w:val="0"/>
        <w:spacing w:before="0" w:after="40" w:line="314" w:lineRule="exact"/>
        <w:ind w:left="0" w:right="0" w:firstLine="0"/>
        <w:jc w:val="both"/>
      </w:pPr>
      <w:r>
        <w:rPr>
          <w:color w:val="000000"/>
          <w:spacing w:val="0"/>
          <w:w w:val="100"/>
          <w:position w:val="0"/>
        </w:rPr>
        <w:t>本公司的主要金融工具包括应收款项、应付款项等，各项金融工具的详细情况说明见本附注五相关项目。与这些金融工具有 关的风险，以及本公司为降低这些风险所采取的风险管理政策如下所述。本公司管理层对这些风险敞口进行管理和监控以确 保将上述风险控制在限定的范围之内。</w:t>
      </w:r>
    </w:p>
    <w:p>
      <w:pPr>
        <w:pStyle w:val="Style20"/>
        <w:keepNext w:val="0"/>
        <w:keepLines w:val="0"/>
        <w:widowControl w:val="0"/>
        <w:shd w:val="clear" w:color="auto" w:fill="auto"/>
        <w:bidi w:val="0"/>
        <w:spacing w:before="0" w:after="140" w:line="314" w:lineRule="exact"/>
        <w:ind w:left="0" w:right="0" w:firstLine="0"/>
        <w:jc w:val="both"/>
      </w:pPr>
      <w:r>
        <w:rPr>
          <w:color w:val="000000"/>
          <w:spacing w:val="0"/>
          <w:w w:val="100"/>
          <w:position w:val="0"/>
        </w:rPr>
        <w:t>本集团在日常活动中面临各种金融工具的风险，主要包括：</w:t>
      </w:r>
    </w:p>
    <w:p>
      <w:pPr>
        <w:pStyle w:val="Style20"/>
        <w:keepNext w:val="0"/>
        <w:keepLines w:val="0"/>
        <w:widowControl w:val="0"/>
        <w:numPr>
          <w:ilvl w:val="0"/>
          <w:numId w:val="89"/>
        </w:numPr>
        <w:shd w:val="clear" w:color="auto" w:fill="auto"/>
        <w:tabs>
          <w:tab w:pos="421" w:val="left"/>
        </w:tabs>
        <w:bidi w:val="0"/>
        <w:spacing w:before="0" w:after="40"/>
        <w:ind w:left="0" w:right="0" w:firstLine="0"/>
        <w:jc w:val="both"/>
      </w:pPr>
      <w:bookmarkStart w:id="1070" w:name="bookmark1070"/>
      <w:bookmarkEnd w:id="1070"/>
      <w:r>
        <w:rPr>
          <w:color w:val="000000"/>
          <w:spacing w:val="0"/>
          <w:w w:val="100"/>
          <w:position w:val="0"/>
        </w:rPr>
        <w:t>信用风险</w:t>
      </w:r>
    </w:p>
    <w:p>
      <w:pPr>
        <w:pStyle w:val="Style20"/>
        <w:keepNext w:val="0"/>
        <w:keepLines w:val="0"/>
        <w:widowControl w:val="0"/>
        <w:numPr>
          <w:ilvl w:val="0"/>
          <w:numId w:val="89"/>
        </w:numPr>
        <w:shd w:val="clear" w:color="auto" w:fill="auto"/>
        <w:tabs>
          <w:tab w:pos="421" w:val="left"/>
        </w:tabs>
        <w:bidi w:val="0"/>
        <w:spacing w:before="0" w:after="40"/>
        <w:ind w:left="0" w:right="0" w:firstLine="0"/>
        <w:jc w:val="both"/>
      </w:pPr>
      <w:bookmarkStart w:id="1071" w:name="bookmark1071"/>
      <w:bookmarkEnd w:id="1071"/>
      <w:r>
        <w:rPr>
          <w:color w:val="000000"/>
          <w:spacing w:val="0"/>
          <w:w w:val="100"/>
          <w:position w:val="0"/>
        </w:rPr>
        <w:t>流动性风险</w:t>
      </w:r>
    </w:p>
    <w:p>
      <w:pPr>
        <w:pStyle w:val="Style20"/>
        <w:keepNext w:val="0"/>
        <w:keepLines w:val="0"/>
        <w:widowControl w:val="0"/>
        <w:numPr>
          <w:ilvl w:val="0"/>
          <w:numId w:val="89"/>
        </w:numPr>
        <w:shd w:val="clear" w:color="auto" w:fill="auto"/>
        <w:tabs>
          <w:tab w:pos="421" w:val="left"/>
        </w:tabs>
        <w:bidi w:val="0"/>
        <w:spacing w:before="0" w:after="40"/>
        <w:ind w:left="0" w:right="0" w:firstLine="0"/>
        <w:jc w:val="both"/>
      </w:pPr>
      <w:bookmarkStart w:id="1072" w:name="bookmark1072"/>
      <w:bookmarkEnd w:id="1072"/>
      <w:r>
        <w:rPr>
          <w:color w:val="000000"/>
          <w:spacing w:val="0"/>
          <w:w w:val="100"/>
          <w:position w:val="0"/>
        </w:rPr>
        <w:t>利率风险</w:t>
      </w:r>
    </w:p>
    <w:p>
      <w:pPr>
        <w:pStyle w:val="Style20"/>
        <w:keepNext w:val="0"/>
        <w:keepLines w:val="0"/>
        <w:widowControl w:val="0"/>
        <w:numPr>
          <w:ilvl w:val="0"/>
          <w:numId w:val="89"/>
        </w:numPr>
        <w:shd w:val="clear" w:color="auto" w:fill="auto"/>
        <w:tabs>
          <w:tab w:pos="421" w:val="left"/>
        </w:tabs>
        <w:bidi w:val="0"/>
        <w:spacing w:before="0" w:after="40"/>
        <w:ind w:left="0" w:right="0" w:firstLine="0"/>
        <w:jc w:val="both"/>
      </w:pPr>
      <w:bookmarkStart w:id="1073" w:name="bookmark1073"/>
      <w:bookmarkEnd w:id="1073"/>
      <w:r>
        <w:rPr>
          <w:color w:val="000000"/>
          <w:spacing w:val="0"/>
          <w:w w:val="100"/>
          <w:position w:val="0"/>
        </w:rPr>
        <w:t>汇率风险</w:t>
      </w:r>
    </w:p>
    <w:p>
      <w:pPr>
        <w:pStyle w:val="Style20"/>
        <w:keepNext w:val="0"/>
        <w:keepLines w:val="0"/>
        <w:widowControl w:val="0"/>
        <w:numPr>
          <w:ilvl w:val="0"/>
          <w:numId w:val="89"/>
        </w:numPr>
        <w:shd w:val="clear" w:color="auto" w:fill="auto"/>
        <w:tabs>
          <w:tab w:pos="421" w:val="left"/>
        </w:tabs>
        <w:bidi w:val="0"/>
        <w:spacing w:before="0" w:after="0"/>
        <w:ind w:left="0" w:right="0" w:firstLine="0"/>
        <w:jc w:val="both"/>
      </w:pPr>
      <w:bookmarkStart w:id="1074" w:name="bookmark1074"/>
      <w:bookmarkEnd w:id="1074"/>
      <w:r>
        <w:rPr>
          <w:color w:val="000000"/>
          <w:spacing w:val="0"/>
          <w:w w:val="100"/>
          <w:position w:val="0"/>
        </w:rPr>
        <w:t>其他价格风险</w:t>
      </w:r>
    </w:p>
    <w:p>
      <w:pPr>
        <w:pStyle w:val="Style20"/>
        <w:keepNext w:val="0"/>
        <w:keepLines w:val="0"/>
        <w:widowControl w:val="0"/>
        <w:shd w:val="clear" w:color="auto" w:fill="auto"/>
        <w:bidi w:val="0"/>
        <w:spacing w:before="0" w:after="40" w:line="317" w:lineRule="exact"/>
        <w:ind w:left="0" w:right="0" w:firstLine="0"/>
        <w:jc w:val="both"/>
      </w:pPr>
      <w:r>
        <w:rPr>
          <w:color w:val="000000"/>
          <w:spacing w:val="0"/>
          <w:w w:val="100"/>
          <w:position w:val="0"/>
        </w:rPr>
        <w:t>下文主要论述上述风险敞口及其形成原因以及在本年发生的变化、风险管理目标、政策和程序以及计量风险的方法及其在本 年发生的变化等。</w:t>
      </w:r>
    </w:p>
    <w:p>
      <w:pPr>
        <w:pStyle w:val="Style20"/>
        <w:keepNext w:val="0"/>
        <w:keepLines w:val="0"/>
        <w:widowControl w:val="0"/>
        <w:shd w:val="clear" w:color="auto" w:fill="auto"/>
        <w:bidi w:val="0"/>
        <w:spacing w:before="0" w:after="140" w:line="312" w:lineRule="exact"/>
        <w:ind w:left="0" w:right="0" w:firstLine="0"/>
        <w:jc w:val="both"/>
      </w:pPr>
      <w:r>
        <w:rPr>
          <w:color w:val="000000"/>
          <w:spacing w:val="0"/>
          <w:w w:val="100"/>
          <w:position w:val="0"/>
        </w:rPr>
        <w:t xml:space="preserve">本集团从事风险管理的目标是在风险和收益之间取得适当的平衡，力求降低金融风险对本集团财务业绩的不利影响。基于该 风险管理目标，本集团已制定风险管理政策以辨别和分析本集团所面临的风险，设定适当的风险可接受水平并设计相应的内 部控制程序，以监控本集团的风险水平。本集团会定期审阅这些风险管理政策及有关内部控制系统，以适应市场情况或本集 </w:t>
      </w:r>
      <w:r>
        <w:rPr>
          <w:color w:val="000000"/>
          <w:spacing w:val="0"/>
          <w:w w:val="100"/>
          <w:position w:val="0"/>
        </w:rPr>
        <w:t>团经营活动的改变。</w:t>
      </w:r>
    </w:p>
    <w:p>
      <w:pPr>
        <w:pStyle w:val="Style20"/>
        <w:keepNext w:val="0"/>
        <w:keepLines w:val="0"/>
        <w:widowControl w:val="0"/>
        <w:shd w:val="clear" w:color="auto" w:fill="auto"/>
        <w:tabs>
          <w:tab w:pos="317" w:val="left"/>
        </w:tabs>
        <w:bidi w:val="0"/>
        <w:spacing w:before="0" w:after="0"/>
        <w:ind w:left="0" w:right="0" w:firstLine="0"/>
        <w:jc w:val="left"/>
      </w:pPr>
      <w:bookmarkStart w:id="1075" w:name="bookmark1075"/>
      <w:r>
        <w:rPr>
          <w:rFonts w:ascii="Times New Roman" w:eastAsia="Times New Roman" w:hAnsi="Times New Roman" w:cs="Times New Roman"/>
          <w:color w:val="000000"/>
          <w:spacing w:val="0"/>
          <w:w w:val="100"/>
          <w:position w:val="0"/>
        </w:rPr>
        <w:t>1</w:t>
      </w:r>
      <w:bookmarkEnd w:id="1075"/>
      <w:r>
        <w:rPr>
          <w:color w:val="000000"/>
          <w:spacing w:val="0"/>
          <w:w w:val="100"/>
          <w:position w:val="0"/>
        </w:rPr>
        <w:t>、</w:t>
        <w:tab/>
        <w:t>信用风险</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信用风险，是指金融工具的一方不能履行义务，造成另一方发生财务损失的风险。本集团的信用风险主要来自货币资金、应 收款项、合同资产、交易性金融资产等。管理层会持续监控这些信用风险的敞口。</w:t>
      </w:r>
    </w:p>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本集团除现金以外的货币资金主要存放于信用良好的金融机构，管理层认为其不存在重大的信用风险，预期不会因为对方违 约而给本集团造成损失。</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本集团所承受的最大信用风险敞口为资产负债表中每项金融资产</w:t>
      </w:r>
      <w:r>
        <w:rPr>
          <w:color w:val="000000"/>
          <w:spacing w:val="0"/>
          <w:w w:val="100"/>
          <w:position w:val="0"/>
        </w:rPr>
        <w:t>（</w:t>
      </w:r>
      <w:r>
        <w:rPr>
          <w:color w:val="000000"/>
          <w:spacing w:val="0"/>
          <w:w w:val="100"/>
          <w:position w:val="0"/>
        </w:rPr>
        <w:t>包括交易性金融资产</w:t>
      </w:r>
      <w:r>
        <w:rPr>
          <w:color w:val="000000"/>
          <w:spacing w:val="0"/>
          <w:w w:val="100"/>
          <w:position w:val="0"/>
        </w:rPr>
        <w:t>）</w:t>
      </w:r>
      <w:r>
        <w:rPr>
          <w:color w:val="000000"/>
          <w:spacing w:val="0"/>
          <w:w w:val="100"/>
          <w:position w:val="0"/>
        </w:rPr>
        <w:t>的账面金额。</w:t>
      </w:r>
    </w:p>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应收账款和合同资产</w:t>
      </w:r>
    </w:p>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本集团信用风险主要是受每个客户自身特性的影响，而不是客户所在的行业或国家和地区。因此重大信用风险集中的情况主 要源自本集团存在对个别客户的重大应收账款和合同资产。于资产负债表日，本集团的前五大客户的应收账款和合同资产占 本集团应收账款和合同资产总额的</w:t>
      </w:r>
      <w:r>
        <w:rPr>
          <w:rFonts w:ascii="Times New Roman" w:eastAsia="Times New Roman" w:hAnsi="Times New Roman" w:cs="Times New Roman"/>
          <w:color w:val="000000"/>
          <w:spacing w:val="0"/>
          <w:w w:val="100"/>
          <w:position w:val="0"/>
        </w:rPr>
        <w:t>33% （2020</w:t>
      </w:r>
      <w:r>
        <w:rPr>
          <w:color w:val="000000"/>
          <w:spacing w:val="0"/>
          <w:w w:val="100"/>
          <w:position w:val="0"/>
        </w:rPr>
        <w:t>年：</w:t>
      </w:r>
      <w:r>
        <w:rPr>
          <w:rFonts w:ascii="Times New Roman" w:eastAsia="Times New Roman" w:hAnsi="Times New Roman" w:cs="Times New Roman"/>
          <w:color w:val="000000"/>
          <w:spacing w:val="0"/>
          <w:w w:val="100"/>
          <w:position w:val="0"/>
        </w:rPr>
        <w:t>30%）</w:t>
      </w:r>
      <w:r>
        <w:rPr>
          <w:color w:val="000000"/>
          <w:spacing w:val="0"/>
          <w:w w:val="100"/>
          <w:position w:val="0"/>
        </w:rPr>
        <w:t>。</w:t>
      </w:r>
    </w:p>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对于应收账款，本集团风险管理委员会已根据实际情况制定了信用政策，对客户进行信用评估以确定赊销额度与信用期限。 信用评估主要根据客户的财务状况、外部评级及银行信用记录</w:t>
      </w:r>
      <w:r>
        <w:rPr>
          <w:color w:val="000000"/>
          <w:spacing w:val="0"/>
          <w:w w:val="100"/>
          <w:position w:val="0"/>
        </w:rPr>
        <w:t>（</w:t>
      </w:r>
      <w:r>
        <w:rPr>
          <w:color w:val="000000"/>
          <w:spacing w:val="0"/>
          <w:w w:val="100"/>
          <w:position w:val="0"/>
        </w:rPr>
        <w:t>如有可能</w:t>
      </w:r>
      <w:r>
        <w:rPr>
          <w:color w:val="000000"/>
          <w:spacing w:val="0"/>
          <w:w w:val="100"/>
          <w:position w:val="0"/>
        </w:rPr>
        <w:t>）</w:t>
      </w:r>
      <w:r>
        <w:rPr>
          <w:color w:val="000000"/>
          <w:spacing w:val="0"/>
          <w:w w:val="100"/>
          <w:position w:val="0"/>
        </w:rPr>
        <w:t>。有关的应收账款自出具账单日起</w:t>
      </w:r>
      <w:r>
        <w:rPr>
          <w:rFonts w:ascii="Times New Roman" w:eastAsia="Times New Roman" w:hAnsi="Times New Roman" w:cs="Times New Roman"/>
          <w:color w:val="000000"/>
          <w:spacing w:val="0"/>
          <w:w w:val="100"/>
          <w:position w:val="0"/>
        </w:rPr>
        <w:t>90</w:t>
      </w:r>
      <w:r>
        <w:rPr>
          <w:color w:val="000000"/>
          <w:spacing w:val="0"/>
          <w:w w:val="100"/>
          <w:position w:val="0"/>
        </w:rPr>
        <w:t>天内到期。 在一般情况下，本集团不会要求客户提供抵押品。</w:t>
      </w:r>
    </w:p>
    <w:p>
      <w:pPr>
        <w:pStyle w:val="Style20"/>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有关应收账款和合同资产的具体信息，请参见附注七、</w:t>
      </w:r>
      <w:r>
        <w:rPr>
          <w:rFonts w:ascii="Times New Roman" w:eastAsia="Times New Roman" w:hAnsi="Times New Roman" w:cs="Times New Roman"/>
          <w:color w:val="000000"/>
          <w:spacing w:val="0"/>
          <w:w w:val="100"/>
          <w:position w:val="0"/>
        </w:rPr>
        <w:t>3</w:t>
      </w:r>
      <w:r>
        <w:rPr>
          <w:color w:val="000000"/>
          <w:spacing w:val="0"/>
          <w:w w:val="100"/>
          <w:position w:val="0"/>
        </w:rPr>
        <w:t>和</w:t>
      </w:r>
      <w:r>
        <w:rPr>
          <w:rFonts w:ascii="Times New Roman" w:eastAsia="Times New Roman" w:hAnsi="Times New Roman" w:cs="Times New Roman"/>
          <w:color w:val="000000"/>
          <w:spacing w:val="0"/>
          <w:w w:val="100"/>
          <w:position w:val="0"/>
        </w:rPr>
        <w:t>8</w:t>
      </w:r>
      <w:r>
        <w:rPr>
          <w:color w:val="000000"/>
          <w:spacing w:val="0"/>
          <w:w w:val="100"/>
          <w:position w:val="0"/>
        </w:rPr>
        <w:t>的相关披露。</w:t>
      </w:r>
    </w:p>
    <w:p>
      <w:pPr>
        <w:pStyle w:val="Style20"/>
        <w:keepNext w:val="0"/>
        <w:keepLines w:val="0"/>
        <w:widowControl w:val="0"/>
        <w:shd w:val="clear" w:color="auto" w:fill="auto"/>
        <w:tabs>
          <w:tab w:pos="336" w:val="left"/>
        </w:tabs>
        <w:bidi w:val="0"/>
        <w:spacing w:before="0" w:after="0"/>
        <w:ind w:left="0" w:right="0" w:firstLine="0"/>
        <w:jc w:val="both"/>
      </w:pPr>
      <w:bookmarkStart w:id="1076" w:name="bookmark1076"/>
      <w:r>
        <w:rPr>
          <w:rFonts w:ascii="Times New Roman" w:eastAsia="Times New Roman" w:hAnsi="Times New Roman" w:cs="Times New Roman"/>
          <w:color w:val="000000"/>
          <w:spacing w:val="0"/>
          <w:w w:val="100"/>
          <w:position w:val="0"/>
        </w:rPr>
        <w:t>2</w:t>
      </w:r>
      <w:bookmarkEnd w:id="1076"/>
      <w:r>
        <w:rPr>
          <w:color w:val="000000"/>
          <w:spacing w:val="0"/>
          <w:w w:val="100"/>
          <w:position w:val="0"/>
        </w:rPr>
        <w:t>、</w:t>
        <w:tab/>
        <w:t>流动性风险</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流动性风险，是指企业在履行以交付现金或其他金融资产的方式结算的义务时发生资金短缺的风险。本集团实行现金统一管 理，包括现金盈余的短期投资和筹措贷款以应付预计现金需求</w:t>
      </w:r>
      <w:r>
        <w:rPr>
          <w:color w:val="000000"/>
          <w:spacing w:val="0"/>
          <w:w w:val="100"/>
          <w:position w:val="0"/>
        </w:rPr>
        <w:t>（</w:t>
      </w:r>
      <w:r>
        <w:rPr>
          <w:color w:val="000000"/>
          <w:spacing w:val="0"/>
          <w:w w:val="100"/>
          <w:position w:val="0"/>
        </w:rPr>
        <w:t>如果借款额超过某些预设授权上限，便需获得本公司董事会 的批准</w:t>
      </w:r>
      <w:r>
        <w:rPr>
          <w:color w:val="000000"/>
          <w:spacing w:val="0"/>
          <w:w w:val="100"/>
          <w:position w:val="0"/>
        </w:rPr>
        <w:t>）</w:t>
      </w:r>
      <w:r>
        <w:rPr>
          <w:color w:val="000000"/>
          <w:spacing w:val="0"/>
          <w:w w:val="100"/>
          <w:position w:val="0"/>
        </w:rPr>
        <w:t>。本集团的政策是定期监控短期和长期的流动资金需求，以及是否符合借款协议的规定，以确保维持充裕的现金储 备和可供随时变现的有价证券，同时获得主要金融机构承诺提供足够的备用资金，以满足短期和较长期的流动资金需求。</w:t>
      </w:r>
    </w:p>
    <w:p>
      <w:pPr>
        <w:pStyle w:val="Style20"/>
        <w:keepNext w:val="0"/>
        <w:keepLines w:val="0"/>
        <w:widowControl w:val="0"/>
        <w:shd w:val="clear" w:color="auto" w:fill="auto"/>
        <w:bidi w:val="0"/>
        <w:spacing w:before="0" w:after="140" w:line="317" w:lineRule="exact"/>
        <w:ind w:left="0" w:right="0" w:firstLine="0"/>
        <w:jc w:val="both"/>
      </w:pPr>
      <w:r>
        <w:rPr>
          <w:color w:val="000000"/>
          <w:spacing w:val="0"/>
          <w:w w:val="100"/>
          <w:position w:val="0"/>
        </w:rPr>
        <w:t>本集团于资产负债表日的金融负债按未折现的合同现金流量</w:t>
      </w:r>
      <w:r>
        <w:rPr>
          <w:color w:val="000000"/>
          <w:spacing w:val="0"/>
          <w:w w:val="100"/>
          <w:position w:val="0"/>
        </w:rPr>
        <w:t>（</w:t>
      </w:r>
      <w:r>
        <w:rPr>
          <w:color w:val="000000"/>
          <w:spacing w:val="0"/>
          <w:w w:val="100"/>
          <w:position w:val="0"/>
        </w:rPr>
        <w:t>包括按合同利率</w:t>
      </w:r>
      <w:r>
        <w:rPr>
          <w:color w:val="000000"/>
          <w:spacing w:val="0"/>
          <w:w w:val="100"/>
          <w:position w:val="0"/>
        </w:rPr>
        <w:t>（</w:t>
      </w:r>
      <w:r>
        <w:rPr>
          <w:color w:val="000000"/>
          <w:spacing w:val="0"/>
          <w:w w:val="100"/>
          <w:position w:val="0"/>
        </w:rPr>
        <w:t>如果是浮动利率则按</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日的现行利 率</w:t>
      </w:r>
      <w:r>
        <w:rPr>
          <w:color w:val="000000"/>
          <w:spacing w:val="0"/>
          <w:w w:val="100"/>
          <w:position w:val="0"/>
        </w:rPr>
        <w:t>）</w:t>
      </w:r>
      <w:r>
        <w:rPr>
          <w:color w:val="000000"/>
          <w:spacing w:val="0"/>
          <w:w w:val="100"/>
          <w:position w:val="0"/>
        </w:rPr>
        <w:t>计算的利息</w:t>
      </w:r>
      <w:r>
        <w:rPr>
          <w:color w:val="000000"/>
          <w:spacing w:val="0"/>
          <w:w w:val="100"/>
          <w:position w:val="0"/>
        </w:rPr>
        <w:t>）</w:t>
      </w:r>
      <w:r>
        <w:rPr>
          <w:color w:val="000000"/>
          <w:spacing w:val="0"/>
          <w:w w:val="100"/>
          <w:position w:val="0"/>
        </w:rPr>
        <w:t>的剩余合约期限，以及被要求支付的最早日期如下：</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7"/>
        <w:gridCol w:w="1416"/>
        <w:gridCol w:w="1277"/>
        <w:gridCol w:w="1277"/>
        <w:gridCol w:w="1416"/>
        <w:gridCol w:w="1421"/>
        <w:gridCol w:w="1426"/>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年未折现的合同现金流量</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资产负债表日</w:t>
            </w:r>
          </w:p>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r>
      <w:tr>
        <w:trPr>
          <w:trHeight w:val="75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340"/>
              <w:jc w:val="left"/>
            </w:pPr>
            <w:r>
              <w:rPr>
                <w:rFonts w:ascii="Times New Roman" w:eastAsia="Times New Roman" w:hAnsi="Times New Roman" w:cs="Times New Roman"/>
                <w:color w:val="000000"/>
                <w:spacing w:val="0"/>
                <w:w w:val="100"/>
                <w:position w:val="0"/>
              </w:rPr>
              <w:t>1</w:t>
            </w:r>
            <w:r>
              <w:rPr>
                <w:color w:val="000000"/>
                <w:spacing w:val="0"/>
                <w:w w:val="100"/>
                <w:position w:val="0"/>
              </w:rPr>
              <w:t>年内或</w:t>
            </w:r>
          </w:p>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实时偿还</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年至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年至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122,128,410.96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122,128,410.96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120,115,000.00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212,421,783.50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212,421,783.50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212,421,783.50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25,385,776.82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25,385,776.82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25,385,776.82</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长期借款</w:t>
            </w:r>
            <w:r>
              <w:rPr>
                <w:rFonts w:ascii="Times New Roman" w:eastAsia="Times New Roman" w:hAnsi="Times New Roman" w:cs="Times New Roman"/>
                <w:color w:val="000000"/>
                <w:spacing w:val="0"/>
                <w:w w:val="100"/>
                <w:position w:val="0"/>
              </w:rPr>
              <w:t>（</w:t>
            </w:r>
            <w:r>
              <w:rPr>
                <w:color w:val="000000"/>
                <w:spacing w:val="0"/>
                <w:w w:val="100"/>
                <w:position w:val="0"/>
              </w:rPr>
              <w:t>含一年 内到期的部分</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16,564,879.72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10,474,239.17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31,422,717.50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296,991,228.87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355,453,065.26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249,677,597.94</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租赁负债</w:t>
            </w:r>
            <w:r>
              <w:rPr>
                <w:rFonts w:ascii="Times New Roman" w:eastAsia="Times New Roman" w:hAnsi="Times New Roman" w:cs="Times New Roman"/>
                <w:color w:val="000000"/>
                <w:spacing w:val="0"/>
                <w:w w:val="100"/>
                <w:position w:val="0"/>
              </w:rPr>
              <w:t>（</w:t>
            </w:r>
            <w:r>
              <w:rPr>
                <w:color w:val="000000"/>
                <w:spacing w:val="0"/>
                <w:w w:val="100"/>
                <w:position w:val="0"/>
              </w:rPr>
              <w:t>含一年 内到期的部分</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23,852,499.47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5,190,490.60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7,022,196.99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36,065,187.06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33,839,315.23</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400,353,350.47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15,664,729.77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38,444,914.49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296,991,228.87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751,454,223.60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641,439,473.49</w:t>
            </w:r>
          </w:p>
        </w:tc>
      </w:tr>
    </w:tbl>
    <w:p>
      <w:pPr>
        <w:widowControl w:val="0"/>
        <w:spacing w:after="7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70"/>
        <w:gridCol w:w="1421"/>
        <w:gridCol w:w="1416"/>
        <w:gridCol w:w="1416"/>
        <w:gridCol w:w="850"/>
        <w:gridCol w:w="1421"/>
        <w:gridCol w:w="1426"/>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年未折现的合同现金流量</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资产负债表日</w:t>
            </w:r>
          </w:p>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r>
      <w:tr>
        <w:trPr>
          <w:trHeight w:val="75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年内或</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实时偿还</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年至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112,269,544.44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112,269,544.44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110,099,944.44</w:t>
            </w:r>
          </w:p>
        </w:tc>
      </w:tr>
    </w:tbl>
    <w:p>
      <w:pPr>
        <w:sectPr>
          <w:footnotePr>
            <w:pos w:val="pageBottom"/>
            <w:numFmt w:val="decimal"/>
            <w:numRestart w:val="continuous"/>
          </w:footnotePr>
          <w:pgSz w:w="11900" w:h="16840"/>
          <w:pgMar w:top="1464" w:right="1041" w:bottom="1498" w:left="1082" w:header="0" w:footer="3" w:gutter="0"/>
          <w:cols w:space="720"/>
          <w:noEndnote/>
          <w:rtlGutter w:val="0"/>
          <w:docGrid w:linePitch="360"/>
        </w:sectPr>
      </w:pPr>
    </w:p>
    <w:tbl>
      <w:tblPr>
        <w:tblOverlap w:val="never"/>
        <w:jc w:val="center"/>
        <w:tblLayout w:type="fixed"/>
      </w:tblPr>
      <w:tblGrid>
        <w:gridCol w:w="1728"/>
        <w:gridCol w:w="1421"/>
        <w:gridCol w:w="1416"/>
        <w:gridCol w:w="1421"/>
        <w:gridCol w:w="840"/>
        <w:gridCol w:w="1426"/>
        <w:gridCol w:w="1450"/>
      </w:tblGrid>
      <w:tr>
        <w:trPr>
          <w:trHeight w:val="629" w:hRule="exact"/>
        </w:trPr>
        <w:tc>
          <w:tcPr>
            <w:gridSpan w:val="2"/>
            <w:tcBorders/>
            <w:shd w:val="clear" w:color="auto" w:fill="FFFFFF"/>
            <w:vAlign w:val="top"/>
          </w:tcPr>
          <w:p>
            <w:pPr>
              <w:widowControl w:val="0"/>
              <w:rPr>
                <w:sz w:val="10"/>
                <w:szCs w:val="10"/>
              </w:rPr>
            </w:pPr>
          </w:p>
        </w:tc>
        <w:tc>
          <w:tcPr>
            <w:gridSpan w:val="2"/>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深圳市建筑科</w:t>
            </w:r>
          </w:p>
        </w:tc>
        <w:tc>
          <w:tcPr>
            <w:gridSpan w:val="2"/>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卜学研究院股份有限公司</w:t>
            </w:r>
            <w:r>
              <w:rPr>
                <w:rFonts w:ascii="Times New Roman" w:eastAsia="Times New Roman" w:hAnsi="Times New Roman" w:cs="Times New Roman"/>
                <w:color w:val="000000"/>
                <w:spacing w:val="0"/>
                <w:w w:val="100"/>
                <w:position w:val="0"/>
              </w:rPr>
              <w:t>2021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年年度报告全文</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214,364,677.43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214,364,677.43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214,364,677.43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66,269,232.78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66,269,232.78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66,269,232.78</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长期借款</w:t>
            </w:r>
            <w:r>
              <w:rPr>
                <w:rFonts w:ascii="Times New Roman" w:eastAsia="Times New Roman" w:hAnsi="Times New Roman" w:cs="Times New Roman"/>
                <w:color w:val="000000"/>
                <w:spacing w:val="0"/>
                <w:w w:val="100"/>
                <w:position w:val="0"/>
              </w:rPr>
              <w:t>（</w:t>
            </w:r>
            <w:r>
              <w:rPr>
                <w:color w:val="000000"/>
                <w:spacing w:val="0"/>
                <w:w w:val="100"/>
                <w:position w:val="0"/>
              </w:rPr>
              <w:t>含一年内 到期的部分</w:t>
            </w: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360"/>
              <w:jc w:val="left"/>
            </w:pPr>
            <w:r>
              <w:rPr>
                <w:rFonts w:ascii="Times New Roman" w:eastAsia="Times New Roman" w:hAnsi="Times New Roman" w:cs="Times New Roman"/>
                <w:color w:val="000000"/>
                <w:spacing w:val="0"/>
                <w:w w:val="100"/>
                <w:position w:val="0"/>
              </w:rPr>
              <w:t>10,785,527.78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260"/>
              <w:jc w:val="both"/>
            </w:pPr>
            <w:r>
              <w:rPr>
                <w:rFonts w:ascii="Times New Roman" w:eastAsia="Times New Roman" w:hAnsi="Times New Roman" w:cs="Times New Roman"/>
                <w:color w:val="000000"/>
                <w:spacing w:val="0"/>
                <w:w w:val="100"/>
                <w:position w:val="0"/>
              </w:rPr>
              <w:t>118,491,500.00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126,804,984.59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260"/>
              <w:jc w:val="both"/>
            </w:pPr>
            <w:r>
              <w:rPr>
                <w:rFonts w:ascii="Times New Roman" w:eastAsia="Times New Roman" w:hAnsi="Times New Roman" w:cs="Times New Roman"/>
                <w:color w:val="000000"/>
                <w:spacing w:val="0"/>
                <w:w w:val="100"/>
                <w:position w:val="0"/>
              </w:rPr>
              <w:t>256,082,012.37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260"/>
              <w:jc w:val="left"/>
            </w:pPr>
            <w:r>
              <w:rPr>
                <w:rFonts w:ascii="Times New Roman" w:eastAsia="Times New Roman" w:hAnsi="Times New Roman" w:cs="Times New Roman"/>
                <w:color w:val="000000"/>
                <w:spacing w:val="0"/>
                <w:w w:val="100"/>
                <w:position w:val="0"/>
              </w:rPr>
              <w:t>228,294,027.78</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403,688,982.43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118,491,500.00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126,804,984.59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648,985,467.02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619,027,882.43</w:t>
            </w:r>
          </w:p>
        </w:tc>
      </w:tr>
    </w:tbl>
    <w:p>
      <w:pPr>
        <w:widowControl w:val="0"/>
        <w:spacing w:after="279" w:line="1" w:lineRule="exact"/>
      </w:pPr>
    </w:p>
    <w:p>
      <w:pPr>
        <w:pStyle w:val="Style20"/>
        <w:keepNext w:val="0"/>
        <w:keepLines w:val="0"/>
        <w:widowControl w:val="0"/>
        <w:shd w:val="clear" w:color="auto" w:fill="auto"/>
        <w:bidi w:val="0"/>
        <w:spacing w:before="0" w:after="0" w:line="317" w:lineRule="exact"/>
        <w:ind w:left="0" w:right="0" w:firstLine="0"/>
        <w:jc w:val="left"/>
      </w:pPr>
      <w:bookmarkStart w:id="1077" w:name="bookmark1077"/>
      <w:r>
        <w:rPr>
          <w:rFonts w:ascii="Times New Roman" w:eastAsia="Times New Roman" w:hAnsi="Times New Roman" w:cs="Times New Roman"/>
          <w:color w:val="000000"/>
          <w:spacing w:val="0"/>
          <w:w w:val="100"/>
          <w:position w:val="0"/>
        </w:rPr>
        <w:t>3</w:t>
      </w:r>
      <w:bookmarkEnd w:id="1077"/>
      <w:r>
        <w:rPr>
          <w:color w:val="000000"/>
          <w:spacing w:val="0"/>
          <w:w w:val="100"/>
          <w:position w:val="0"/>
        </w:rPr>
        <w:t>、利率风险</w:t>
      </w:r>
    </w:p>
    <w:p>
      <w:pPr>
        <w:pStyle w:val="Style2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固定利率和浮动利率的带息金融工具分别使本集团面临公允价值利率风险及现金流量利率风险。本集团根据市场环境来决 定固定利率与浮动利率工具的比例，并通过定期审阅与监察维持适当的固定和浮动利率工具组合。</w:t>
      </w:r>
    </w:p>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本集团于</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日持有的计息金融工具如下：</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固定利率金融工具：</w:t>
      </w:r>
    </w:p>
    <w:p>
      <w:pPr>
        <w:pStyle w:val="Style20"/>
        <w:keepNext w:val="0"/>
        <w:keepLines w:val="0"/>
        <w:widowControl w:val="0"/>
        <w:shd w:val="clear" w:color="auto" w:fill="auto"/>
        <w:bidi w:val="0"/>
        <w:spacing w:before="0" w:after="80" w:line="317" w:lineRule="exact"/>
        <w:ind w:left="0" w:right="0" w:firstLine="0"/>
        <w:jc w:val="right"/>
      </w:pPr>
      <w:r>
        <w:rPr>
          <w:color w:val="000000"/>
          <w:spacing w:val="0"/>
          <w:w w:val="100"/>
          <w:position w:val="0"/>
        </w:rPr>
        <w:t>单位：元</w:t>
      </w:r>
    </w:p>
    <w:tbl>
      <w:tblPr>
        <w:tblOverlap w:val="never"/>
        <w:jc w:val="center"/>
        <w:tblLayout w:type="fixed"/>
      </w:tblPr>
      <w:tblGrid>
        <w:gridCol w:w="1954"/>
        <w:gridCol w:w="1843"/>
        <w:gridCol w:w="1843"/>
        <w:gridCol w:w="2126"/>
        <w:gridCol w:w="185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3.4000%-3.6000%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长期借款（含一年内 到期部分）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3.6000% - 5.4625%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228,000,000.00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228,000,000.00</w:t>
            </w:r>
          </w:p>
        </w:tc>
      </w:tr>
    </w:tbl>
    <w:p>
      <w:pPr>
        <w:widowControl w:val="0"/>
        <w:spacing w:after="419"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浮动利率金融工具:</w:t>
      </w:r>
    </w:p>
    <w:tbl>
      <w:tblPr>
        <w:tblOverlap w:val="never"/>
        <w:jc w:val="center"/>
        <w:tblLayout w:type="fixed"/>
      </w:tblPr>
      <w:tblGrid>
        <w:gridCol w:w="2098"/>
        <w:gridCol w:w="1699"/>
        <w:gridCol w:w="1843"/>
        <w:gridCol w:w="1987"/>
        <w:gridCol w:w="1992"/>
      </w:tblGrid>
      <w:tr>
        <w:trPr>
          <w:trHeight w:val="312" w:hRule="exact"/>
        </w:trPr>
        <w:tc>
          <w:tcPr>
            <w:gridSpan w:val="5"/>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实际利率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短期借款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 xml:space="preserve">3.4400%-3.9150% </w:t>
            </w:r>
            <w:r>
              <w:rPr>
                <w:color w:val="000000"/>
                <w:spacing w:val="0"/>
                <w:w w:val="100"/>
                <w:position w:val="0"/>
              </w:rPr>
              <w:t>（基于</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LPR</w:t>
            </w:r>
            <w:r>
              <w:rPr>
                <w:color w:val="000000"/>
                <w:spacing w:val="0"/>
                <w:w w:val="100"/>
                <w:position w:val="0"/>
              </w:rPr>
              <w:t>浮动）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110,000,000.00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长期借款（含一年内到 期部分）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4.2000% </w:t>
            </w:r>
            <w:r>
              <w:rPr>
                <w:color w:val="000000"/>
                <w:spacing w:val="0"/>
                <w:w w:val="100"/>
                <w:position w:val="0"/>
              </w:rPr>
              <w:t xml:space="preserve">（基于 </w:t>
            </w:r>
            <w:r>
              <w:rPr>
                <w:rFonts w:ascii="Times New Roman" w:eastAsia="Times New Roman" w:hAnsi="Times New Roman" w:cs="Times New Roman"/>
                <w:color w:val="000000"/>
                <w:spacing w:val="0"/>
                <w:w w:val="100"/>
                <w:position w:val="0"/>
              </w:rPr>
              <w:t>LPR</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浮动）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680"/>
              <w:jc w:val="both"/>
            </w:pPr>
            <w:r>
              <w:rPr>
                <w:rFonts w:ascii="Times New Roman" w:eastAsia="Times New Roman" w:hAnsi="Times New Roman" w:cs="Times New Roman"/>
                <w:color w:val="000000"/>
                <w:spacing w:val="0"/>
                <w:w w:val="100"/>
                <w:position w:val="0"/>
              </w:rPr>
              <w:t>249,386,646.85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租赁负债（含一年内到 期部分）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4.2000% </w:t>
            </w:r>
            <w:r>
              <w:rPr>
                <w:color w:val="000000"/>
                <w:spacing w:val="0"/>
                <w:w w:val="100"/>
                <w:position w:val="0"/>
              </w:rPr>
              <w:t xml:space="preserve">（基于 </w:t>
            </w:r>
            <w:r>
              <w:rPr>
                <w:rFonts w:ascii="Times New Roman" w:eastAsia="Times New Roman" w:hAnsi="Times New Roman" w:cs="Times New Roman"/>
                <w:color w:val="000000"/>
                <w:spacing w:val="0"/>
                <w:w w:val="100"/>
                <w:position w:val="0"/>
              </w:rPr>
              <w:t>LPR</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浮动）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33,839,315.23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283,225,962.08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110,000,000.00</w:t>
            </w:r>
          </w:p>
        </w:tc>
      </w:tr>
    </w:tbl>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敏感性分析：</w:t>
      </w:r>
    </w:p>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假定其他因素不变，截止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i/>
          <w:iCs/>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日，利率每上升</w:t>
      </w:r>
      <w:r>
        <w:rPr>
          <w:rFonts w:ascii="Times New Roman" w:eastAsia="Times New Roman" w:hAnsi="Times New Roman" w:cs="Times New Roman"/>
          <w:color w:val="000000"/>
          <w:spacing w:val="0"/>
          <w:w w:val="100"/>
          <w:position w:val="0"/>
        </w:rPr>
        <w:t>50</w:t>
      </w:r>
      <w:r>
        <w:rPr>
          <w:color w:val="000000"/>
          <w:spacing w:val="0"/>
          <w:w w:val="100"/>
          <w:position w:val="0"/>
        </w:rPr>
        <w:t xml:space="preserve">个基点将会导致集团净利润以及股东权益减少约人民币 </w:t>
      </w:r>
      <w:r>
        <w:rPr>
          <w:rFonts w:ascii="Times New Roman" w:eastAsia="Times New Roman" w:hAnsi="Times New Roman" w:cs="Times New Roman"/>
          <w:color w:val="000000"/>
          <w:spacing w:val="0"/>
          <w:w w:val="100"/>
          <w:position w:val="0"/>
        </w:rPr>
        <w:t xml:space="preserve">307,606.56 </w:t>
      </w:r>
      <w:r>
        <w:rPr>
          <w:color w:val="000000"/>
          <w:spacing w:val="0"/>
          <w:w w:val="100"/>
          <w:position w:val="0"/>
        </w:rPr>
        <w:t>元</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 xml:space="preserve">日：人民币 </w:t>
      </w:r>
      <w:r>
        <w:rPr>
          <w:rFonts w:ascii="Times New Roman" w:eastAsia="Times New Roman" w:hAnsi="Times New Roman" w:cs="Times New Roman"/>
          <w:color w:val="000000"/>
          <w:spacing w:val="0"/>
          <w:w w:val="100"/>
          <w:position w:val="0"/>
        </w:rPr>
        <w:t xml:space="preserve">43,111.09 </w:t>
      </w:r>
      <w:r>
        <w:rPr>
          <w:color w:val="000000"/>
          <w:spacing w:val="0"/>
          <w:w w:val="100"/>
          <w:position w:val="0"/>
        </w:rPr>
        <w:t>元</w:t>
      </w:r>
      <w:r>
        <w:rPr>
          <w:color w:val="000000"/>
          <w:spacing w:val="0"/>
          <w:w w:val="100"/>
          <w:position w:val="0"/>
        </w:rPr>
        <w:t>）</w:t>
      </w:r>
      <w:r>
        <w:rPr>
          <w:color w:val="000000"/>
          <w:spacing w:val="0"/>
          <w:w w:val="100"/>
          <w:position w:val="0"/>
        </w:rPr>
        <w:t>。</w:t>
      </w:r>
    </w:p>
    <w:p>
      <w:pPr>
        <w:pStyle w:val="Style20"/>
        <w:keepNext w:val="0"/>
        <w:keepLines w:val="0"/>
        <w:widowControl w:val="0"/>
        <w:shd w:val="clear" w:color="auto" w:fill="auto"/>
        <w:bidi w:val="0"/>
        <w:spacing w:before="0" w:after="60" w:line="314" w:lineRule="exact"/>
        <w:ind w:left="0" w:right="0" w:firstLine="0"/>
        <w:jc w:val="both"/>
        <w:sectPr>
          <w:footnotePr>
            <w:pos w:val="pageBottom"/>
            <w:numFmt w:val="decimal"/>
            <w:numRestart w:val="continuous"/>
          </w:footnotePr>
          <w:pgSz w:w="11900" w:h="16840"/>
          <w:pgMar w:top="822" w:right="1023" w:bottom="1153" w:left="1099" w:header="0" w:footer="3" w:gutter="0"/>
          <w:cols w:space="720"/>
          <w:noEndnote/>
          <w:rtlGutter w:val="0"/>
          <w:docGrid w:linePitch="360"/>
        </w:sectPr>
      </w:pPr>
      <w:r>
        <w:rPr>
          <w:color w:val="000000"/>
          <w:spacing w:val="0"/>
          <w:w w:val="100"/>
          <w:position w:val="0"/>
        </w:rPr>
        <w:t>对于本集团在资产负债表日持有的使本集团面临公允价值利率风险的金融工具，上述敏感性分析中的净利润及股东权益的 影响是假设在资产负债表日利率发生变动，按照新利率对上述金融工具进行重新计量后的影响。对于资产负债表日持有的、 使本集团面临现金流量利率风险的浮动利率非衍生工具，上述敏感性分析中的净利润及股东权益的影响是上述利率变动对</w:t>
      </w:r>
    </w:p>
    <w:p>
      <w:pPr>
        <w:pStyle w:val="Style20"/>
        <w:keepNext w:val="0"/>
        <w:keepLines w:val="0"/>
        <w:widowControl w:val="0"/>
        <w:pBdr>
          <w:top w:val="single" w:sz="4" w:space="0" w:color="auto"/>
        </w:pBdr>
        <w:shd w:val="clear" w:color="auto" w:fill="auto"/>
        <w:bidi w:val="0"/>
        <w:spacing w:before="0" w:after="120" w:line="240" w:lineRule="auto"/>
        <w:ind w:left="0" w:right="0" w:firstLine="0"/>
        <w:jc w:val="left"/>
      </w:pPr>
      <w:r>
        <w:rPr>
          <w:color w:val="000000"/>
          <w:spacing w:val="0"/>
          <w:w w:val="100"/>
          <w:position w:val="0"/>
        </w:rPr>
        <w:t>按年度估算的利息费用或收入的影响，并考虑了借款利息资本</w:t>
      </w:r>
    </w:p>
    <w:p>
      <w:pPr>
        <w:pStyle w:val="Style20"/>
        <w:keepNext w:val="0"/>
        <w:keepLines w:val="0"/>
        <w:widowControl w:val="0"/>
        <w:shd w:val="clear" w:color="auto" w:fill="auto"/>
        <w:bidi w:val="0"/>
        <w:spacing w:before="0" w:after="120" w:line="240" w:lineRule="auto"/>
        <w:ind w:left="0" w:right="0" w:firstLine="0"/>
        <w:jc w:val="left"/>
      </w:pPr>
      <w:bookmarkStart w:id="1078" w:name="bookmark1078"/>
      <w:r>
        <w:rPr>
          <w:rFonts w:ascii="Times New Roman" w:eastAsia="Times New Roman" w:hAnsi="Times New Roman" w:cs="Times New Roman"/>
          <w:color w:val="000000"/>
          <w:spacing w:val="0"/>
          <w:w w:val="100"/>
          <w:position w:val="0"/>
        </w:rPr>
        <w:t>4</w:t>
      </w:r>
      <w:bookmarkEnd w:id="1078"/>
      <w:r>
        <w:rPr>
          <w:color w:val="000000"/>
          <w:spacing w:val="0"/>
          <w:w w:val="100"/>
          <w:position w:val="0"/>
        </w:rPr>
        <w:t>、汇率风险</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公司的主要经营业务来源于中国境内，主要业务以人民币结算，本集团存在的汇率风险较小。</w:t>
      </w:r>
    </w:p>
    <w:p>
      <w:pPr>
        <w:pStyle w:val="Style26"/>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rPr>
        <w:t>十^一、公允价值的披露</w:t>
      </w:r>
    </w:p>
    <w:p>
      <w:pPr>
        <w:pStyle w:val="Style20"/>
        <w:keepNext w:val="0"/>
        <w:keepLines w:val="0"/>
        <w:widowControl w:val="0"/>
        <w:shd w:val="clear" w:color="auto" w:fill="auto"/>
        <w:bidi w:val="0"/>
        <w:spacing w:before="0" w:after="360" w:line="312" w:lineRule="exact"/>
        <w:ind w:left="0" w:right="0" w:firstLine="0"/>
        <w:jc w:val="left"/>
      </w:pPr>
      <w:r>
        <mc:AlternateContent>
          <mc:Choice Requires="wps">
            <w:drawing>
              <wp:anchor distT="76200" distB="76200" distL="76200" distR="76200" simplePos="0" relativeHeight="125829406" behindDoc="0" locked="0" layoutInCell="1" allowOverlap="1">
                <wp:simplePos x="0" y="0"/>
                <wp:positionH relativeFrom="page">
                  <wp:posOffset>1771015</wp:posOffset>
                </wp:positionH>
                <wp:positionV relativeFrom="paragraph">
                  <wp:posOffset>596900</wp:posOffset>
                </wp:positionV>
                <wp:extent cx="3453130" cy="606425"/>
                <wp:wrapSquare wrapText="left"/>
                <wp:docPr id="30" name="Shape 30"/>
                <a:graphic xmlns:a="http://schemas.openxmlformats.org/drawingml/2006/main">
                  <a:graphicData uri="http://schemas.microsoft.com/office/word/2010/wordprocessingShape">
                    <wps:wsp>
                      <wps:cNvSpPr txBox="1"/>
                      <wps:spPr>
                        <a:xfrm>
                          <a:ext cx="3453130" cy="606425"/>
                        </a:xfrm>
                        <a:prstGeom prst="rect"/>
                        <a:noFill/>
                      </wps:spPr>
                      <wps:txbx>
                        <w:txbxContent>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在计量日能够取得的相同资产或负债在活跃市场上未经调整的报价; 除第一层次输入值外相关资产或负债直接或间接可观察的输入值； 相关资产或负债的不可观察输入值。</w:t>
                            </w:r>
                          </w:p>
                        </w:txbxContent>
                      </wps:txbx>
                      <wps:bodyPr lIns="0" tIns="0" rIns="0" bIns="0">
                        <a:noAutoFit/>
                      </wps:bodyPr>
                    </wps:wsp>
                  </a:graphicData>
                </a:graphic>
              </wp:anchor>
            </w:drawing>
          </mc:Choice>
          <mc:Fallback>
            <w:pict>
              <v:shape id="_x0000_s1056" type="#_x0000_t202" style="position:absolute;margin-left:139.45000000000002pt;margin-top:47.pt;width:271.89999999999998pt;height:47.75pt;z-index:-125829347;mso-wrap-distance-left:6.pt;mso-wrap-distance-top:6.pt;mso-wrap-distance-right:6.pt;mso-wrap-distance-bottom:6.pt;mso-position-horizontal-relative:page" filled="f" stroked="f">
                <v:textbox inset="0,0,0,0">
                  <w:txbxContent>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在计量日能够取得的相同资产或负债在活跃市场上未经调整的报价; 除第一层次输入值外相关资产或负债直接或间接可观察的输入值； 相关资产或负债的不可观察输入值。</w:t>
                      </w:r>
                    </w:p>
                  </w:txbxContent>
                </v:textbox>
                <w10:wrap type="square" side="left" anchorx="page"/>
              </v:shape>
            </w:pict>
          </mc:Fallback>
        </mc:AlternateContent>
      </w:r>
      <w:r>
        <w:rPr>
          <w:color w:val="000000"/>
          <w:spacing w:val="0"/>
          <w:w w:val="100"/>
          <w:position w:val="0"/>
        </w:rPr>
        <w:t>下表列示了本集团在每个资产负债表日持续和非持续以公允价值计量的资产和负债于本报告期末的公允价值信息及其公允 价值计量的层次。公允价值计量结果所属层次取决于对公允价值计量整体而言具有重要意义的最低层次的输入值。三个层次 输入值的定义如下： 第一层次输入值： 第二层次输入值： 第三层次输入值：</w:t>
      </w:r>
    </w:p>
    <w:p>
      <w:pPr>
        <w:pStyle w:val="Style31"/>
        <w:keepNext/>
        <w:keepLines/>
        <w:widowControl w:val="0"/>
        <w:shd w:val="clear" w:color="auto" w:fill="auto"/>
        <w:bidi w:val="0"/>
        <w:spacing w:before="0" w:line="240" w:lineRule="auto"/>
        <w:ind w:left="0" w:right="0" w:firstLine="0"/>
        <w:jc w:val="left"/>
      </w:pPr>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079"/>
      <w:bookmarkEnd w:id="1080"/>
      <w:bookmarkEnd w:id="108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5"/>
        <w:gridCol w:w="758"/>
        <w:gridCol w:w="1306"/>
        <w:gridCol w:w="1301"/>
        <w:gridCol w:w="1306"/>
        <w:gridCol w:w="1747"/>
      </w:tblGrid>
      <w:tr>
        <w:trPr>
          <w:trHeight w:val="32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gridSpan w:val="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right"/>
            </w:pPr>
            <w:r>
              <w:rPr>
                <w:color w:val="000000"/>
                <w:spacing w:val="0"/>
                <w:w w:val="100"/>
                <w:position w:val="0"/>
              </w:rPr>
              <w:t>第一层次 公允价值计量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right"/>
            </w:pPr>
            <w:r>
              <w:rPr>
                <w:color w:val="000000"/>
                <w:spacing w:val="0"/>
                <w:w w:val="100"/>
                <w:position w:val="0"/>
              </w:rPr>
              <w:t>第二层次 公允价值计量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right"/>
            </w:pPr>
            <w:r>
              <w:rPr>
                <w:color w:val="000000"/>
                <w:spacing w:val="0"/>
                <w:w w:val="100"/>
                <w:position w:val="0"/>
              </w:rPr>
              <w:t>第三层次 公允价值计量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4,640,936.86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4,640,936.86</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持续以公允价值计量的资产总额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4,640,936.86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4,640,936.86</w:t>
            </w:r>
          </w:p>
        </w:tc>
      </w:tr>
    </w:tbl>
    <w:p>
      <w:pPr>
        <w:widowControl w:val="0"/>
        <w:spacing w:after="7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5"/>
        <w:gridCol w:w="758"/>
        <w:gridCol w:w="1306"/>
        <w:gridCol w:w="1301"/>
        <w:gridCol w:w="1306"/>
        <w:gridCol w:w="1747"/>
      </w:tblGrid>
      <w:tr>
        <w:trPr>
          <w:trHeight w:val="32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gridSpan w:val="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第一层次</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公允价值计量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第二层次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公允价值计量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第三层次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公允价值计量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10,000.00</w:t>
            </w:r>
          </w:p>
        </w:tc>
      </w:tr>
      <w:tr>
        <w:trPr>
          <w:trHeight w:val="33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持续以公允价值计量的资产总额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10,000.00</w:t>
            </w:r>
          </w:p>
        </w:tc>
      </w:tr>
    </w:tbl>
    <w:p>
      <w:pPr>
        <w:widowControl w:val="0"/>
        <w:spacing w:after="679" w:line="1" w:lineRule="exact"/>
      </w:pPr>
    </w:p>
    <w:p>
      <w:pPr>
        <w:pStyle w:val="Style31"/>
        <w:keepNext/>
        <w:keepLines/>
        <w:widowControl w:val="0"/>
        <w:shd w:val="clear" w:color="auto" w:fill="auto"/>
        <w:bidi w:val="0"/>
        <w:spacing w:before="0" w:after="280" w:line="240" w:lineRule="auto"/>
        <w:ind w:left="0" w:right="0" w:firstLine="0"/>
        <w:jc w:val="left"/>
      </w:pPr>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2</w:t>
      </w:r>
      <w:r>
        <w:rPr>
          <w:color w:val="000000"/>
          <w:spacing w:val="0"/>
          <w:w w:val="100"/>
          <w:position w:val="0"/>
        </w:rPr>
        <w:t>、持续第二层次公允价值计量项目，采用的估值技术和重要参数的定性及定量信息</w:t>
      </w:r>
      <w:bookmarkEnd w:id="1082"/>
      <w:bookmarkEnd w:id="1083"/>
      <w:bookmarkEnd w:id="1084"/>
    </w:p>
    <w:p>
      <w:pPr>
        <w:pStyle w:val="Style20"/>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持续以第二层次公允价值计量的应收款项融资主要为本集团持有的银行承兑汇票及理财产品。本集团按面值扣减预期信用 损失确认公允价值。</w:t>
      </w:r>
    </w:p>
    <w:p>
      <w:pPr>
        <w:pStyle w:val="Style31"/>
        <w:keepNext/>
        <w:keepLines/>
        <w:widowControl w:val="0"/>
        <w:shd w:val="clear" w:color="auto" w:fill="auto"/>
        <w:bidi w:val="0"/>
        <w:spacing w:before="0" w:line="331" w:lineRule="exact"/>
        <w:ind w:left="380" w:right="0" w:hanging="380"/>
        <w:jc w:val="left"/>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3</w:t>
      </w:r>
      <w:bookmarkEnd w:id="1087"/>
      <w:r>
        <w:rPr>
          <w:color w:val="000000"/>
          <w:spacing w:val="0"/>
          <w:w w:val="100"/>
          <w:position w:val="0"/>
        </w:rPr>
        <w:t>、本集团截止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日不以公允价值计量的各项金融资产和金融负债的 账面价值与公允价值之间无重大差异。</w:t>
      </w:r>
      <w:bookmarkEnd w:id="1085"/>
      <w:bookmarkEnd w:id="1086"/>
      <w:bookmarkEnd w:id="1088"/>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4"/>
          <w:szCs w:val="24"/>
        </w:rPr>
        <w:t>十二、关联方及关联交易</w:t>
      </w:r>
    </w:p>
    <w:p>
      <w:pPr>
        <w:pStyle w:val="Style31"/>
        <w:keepNext/>
        <w:keepLines/>
        <w:widowControl w:val="0"/>
        <w:shd w:val="clear" w:color="auto" w:fill="auto"/>
        <w:bidi w:val="0"/>
        <w:spacing w:before="0" w:after="280" w:line="240" w:lineRule="auto"/>
        <w:ind w:left="0" w:right="0" w:firstLine="0"/>
        <w:jc w:val="left"/>
      </w:pPr>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089"/>
      <w:bookmarkEnd w:id="1090"/>
      <w:bookmarkEnd w:id="1091"/>
    </w:p>
    <w:tbl>
      <w:tblPr>
        <w:tblOverlap w:val="never"/>
        <w:jc w:val="center"/>
        <w:tblLayout w:type="fixed"/>
      </w:tblPr>
      <w:tblGrid>
        <w:gridCol w:w="3120"/>
        <w:gridCol w:w="854"/>
        <w:gridCol w:w="989"/>
        <w:gridCol w:w="1416"/>
        <w:gridCol w:w="1594"/>
        <w:gridCol w:w="1608"/>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母公司对本企业的</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母公司对本企业的</w:t>
            </w:r>
          </w:p>
        </w:tc>
      </w:tr>
    </w:tbl>
    <w:p>
      <w:pPr>
        <w:sectPr>
          <w:footnotePr>
            <w:pos w:val="pageBottom"/>
            <w:numFmt w:val="decimal"/>
            <w:numRestart w:val="continuous"/>
          </w:footnotePr>
          <w:pgSz w:w="11900" w:h="16840"/>
          <w:pgMar w:top="1527" w:right="1110" w:bottom="1450" w:left="1100" w:header="0" w:footer="3" w:gutter="0"/>
          <w:cols w:space="720"/>
          <w:noEndnote/>
          <w:rtlGutter w:val="0"/>
          <w:docGrid w:linePitch="360"/>
        </w:sectPr>
      </w:pPr>
    </w:p>
    <w:p>
      <w:pPr>
        <w:widowControl w:val="0"/>
        <w:jc w:val="left"/>
        <w:rPr>
          <w:sz w:val="2"/>
          <w:szCs w:val="2"/>
        </w:rPr>
      </w:pPr>
      <w:r>
        <w:drawing>
          <wp:inline>
            <wp:extent cx="494030" cy="328930"/>
            <wp:docPr id="32" name="Picutre 32"/>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7"/>
                    <a:stretch/>
                  </pic:blipFill>
                  <pic:spPr>
                    <a:xfrm>
                      <a:ext cx="494030" cy="328930"/>
                    </a:xfrm>
                    <a:prstGeom prst="rect"/>
                  </pic:spPr>
                </pic:pic>
              </a:graphicData>
            </a:graphic>
          </wp:inline>
        </w:drawing>
      </w:r>
    </w:p>
    <w:p>
      <w:pPr>
        <w:widowControl w:val="0"/>
        <w:spacing w:after="79" w:line="1" w:lineRule="exact"/>
      </w:pPr>
    </w:p>
    <w:tbl>
      <w:tblPr>
        <w:tblOverlap w:val="never"/>
        <w:jc w:val="center"/>
        <w:tblLayout w:type="fixed"/>
      </w:tblPr>
      <w:tblGrid>
        <w:gridCol w:w="3120"/>
        <w:gridCol w:w="854"/>
        <w:gridCol w:w="989"/>
        <w:gridCol w:w="1416"/>
        <w:gridCol w:w="1594"/>
        <w:gridCol w:w="1608"/>
      </w:tblGrid>
      <w:tr>
        <w:trPr>
          <w:trHeight w:val="38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持股比例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表决权比例</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深圳市资本运营集团有限公司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投资业务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1,462,000.00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42.86%</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w:t>
      </w:r>
    </w:p>
    <w:p>
      <w:pPr>
        <w:pStyle w:val="Style26"/>
        <w:keepNext w:val="0"/>
        <w:keepLines w:val="0"/>
        <w:widowControl w:val="0"/>
        <w:shd w:val="clear" w:color="auto" w:fill="auto"/>
        <w:bidi w:val="0"/>
        <w:spacing w:before="0" w:after="80" w:line="240" w:lineRule="auto"/>
        <w:ind w:left="0" w:right="0" w:firstLine="0"/>
        <w:jc w:val="left"/>
        <w:rPr>
          <w:sz w:val="22"/>
          <w:szCs w:val="22"/>
        </w:rPr>
      </w:pPr>
      <w:r>
        <w:rPr>
          <w:b w:val="0"/>
          <w:bCs w:val="0"/>
          <w:color w:val="000000"/>
          <w:spacing w:val="0"/>
          <w:w w:val="100"/>
          <w:position w:val="0"/>
          <w:sz w:val="22"/>
          <w:szCs w:val="22"/>
        </w:rPr>
        <w:t>无</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本企业最终控制方是深圳市资本运营集团有限公司。</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8" w:val="left"/>
        </w:tabs>
        <w:bidi w:val="0"/>
        <w:spacing w:before="0" w:after="380" w:line="240" w:lineRule="auto"/>
        <w:ind w:left="0" w:right="0" w:firstLine="0"/>
        <w:jc w:val="left"/>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2</w:t>
      </w:r>
      <w:bookmarkEnd w:id="1094"/>
      <w:r>
        <w:rPr>
          <w:color w:val="000000"/>
          <w:spacing w:val="0"/>
          <w:w w:val="100"/>
          <w:position w:val="0"/>
        </w:rPr>
        <w:t>、</w:t>
        <w:tab/>
        <w:t>本企业的子公司情况</w:t>
      </w:r>
      <w:bookmarkEnd w:id="1092"/>
      <w:bookmarkEnd w:id="1093"/>
      <w:bookmarkEnd w:id="1095"/>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31"/>
        <w:keepNext/>
        <w:keepLines/>
        <w:widowControl w:val="0"/>
        <w:shd w:val="clear" w:color="auto" w:fill="auto"/>
        <w:tabs>
          <w:tab w:pos="378" w:val="left"/>
        </w:tabs>
        <w:bidi w:val="0"/>
        <w:spacing w:before="0" w:after="380" w:line="240" w:lineRule="auto"/>
        <w:ind w:left="0" w:right="0" w:firstLine="0"/>
        <w:jc w:val="left"/>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3</w:t>
      </w:r>
      <w:bookmarkEnd w:id="1098"/>
      <w:r>
        <w:rPr>
          <w:color w:val="000000"/>
          <w:spacing w:val="0"/>
          <w:w w:val="100"/>
          <w:position w:val="0"/>
        </w:rPr>
        <w:t>、</w:t>
        <w:tab/>
        <w:t>本企业合营和联营企业情况</w:t>
      </w:r>
      <w:bookmarkEnd w:id="1096"/>
      <w:bookmarkEnd w:id="1097"/>
      <w:bookmarkEnd w:id="1099"/>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雄安绿研智库有限公司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20" w:line="240" w:lineRule="auto"/>
        <w:ind w:left="0" w:right="0" w:firstLine="0"/>
        <w:jc w:val="left"/>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4</w:t>
      </w:r>
      <w:bookmarkEnd w:id="1102"/>
      <w:r>
        <w:rPr>
          <w:color w:val="000000"/>
          <w:spacing w:val="0"/>
          <w:w w:val="100"/>
          <w:position w:val="0"/>
        </w:rPr>
        <w:t>、其他关联方情况</w:t>
      </w:r>
      <w:bookmarkEnd w:id="1100"/>
      <w:bookmarkEnd w:id="1101"/>
      <w:bookmarkEnd w:id="1103"/>
    </w:p>
    <w:tbl>
      <w:tblPr>
        <w:tblOverlap w:val="never"/>
        <w:jc w:val="center"/>
        <w:tblLayout w:type="fixed"/>
      </w:tblPr>
      <w:tblGrid>
        <w:gridCol w:w="5357"/>
        <w:gridCol w:w="422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万和证券股份有限公司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控股股东的控股子公司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深圳市科陆电子科技股份有限公司</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控股股东的控股子公司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深圳市创新投资集团有限公司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控股股东董事长出任董事的公司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万科企业股份有限公司</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控股股东董事长出任董事的公司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深圳市天健</w:t>
            </w:r>
            <w:r>
              <w:rPr>
                <w:color w:val="000000"/>
                <w:spacing w:val="0"/>
                <w:w w:val="100"/>
                <w:position w:val="0"/>
              </w:rPr>
              <w:t>（</w:t>
            </w:r>
            <w:r>
              <w:rPr>
                <w:color w:val="000000"/>
                <w:spacing w:val="0"/>
                <w:w w:val="100"/>
                <w:position w:val="0"/>
              </w:rPr>
              <w:t>集团</w:t>
            </w:r>
            <w:r>
              <w:rPr>
                <w:color w:val="000000"/>
                <w:spacing w:val="0"/>
                <w:w w:val="100"/>
                <w:position w:val="0"/>
              </w:rPr>
              <w:t>）</w:t>
            </w:r>
            <w:r>
              <w:rPr>
                <w:color w:val="000000"/>
                <w:spacing w:val="0"/>
                <w:w w:val="100"/>
                <w:position w:val="0"/>
              </w:rPr>
              <w:t>股份有限公司</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本集团非独立董事出任董事的公司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前海再保险股份有限公司</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本集团离任非独立董事出任董事的公司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深圳市建设工程标准学会</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本集团董事长出任会长的社会组织</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中关村发展集团股份有限公司（以下简称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中关村发展</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本集团监事任职公司的控股股东</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北京中关村科技园区建设投资有限公司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中关村发展的控股子公司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北京中关村前沿技术产业发展有限公司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中关村发展的控股子公司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北京中关村软件园发展有限责任公司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中关村发展的控股子公司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北京中关村生命科学园发展有限责任公司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中关村发展的控股子公司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北京中关村微纳能源投资有限公司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中关村发展的控股子公司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北京中关村信息谷资产管理有限责任公司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中关村发展的控股子公司</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中关村医疗器械园有限公司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中关村发展的控股子公司</w:t>
            </w:r>
          </w:p>
        </w:tc>
      </w:tr>
    </w:tbl>
    <w:p>
      <w:pPr>
        <w:sectPr>
          <w:footnotePr>
            <w:pos w:val="pageBottom"/>
            <w:numFmt w:val="decimal"/>
            <w:numRestart w:val="continuous"/>
          </w:footnotePr>
          <w:pgSz w:w="11900" w:h="16840"/>
          <w:pgMar w:top="850" w:right="1162" w:bottom="1152" w:left="1104" w:header="0" w:footer="3" w:gutter="0"/>
          <w:cols w:space="720"/>
          <w:noEndnote/>
          <w:rtlGutter w:val="0"/>
          <w:docGrid w:linePitch="360"/>
        </w:sectPr>
      </w:pPr>
    </w:p>
    <w:tbl>
      <w:tblPr>
        <w:tblOverlap w:val="never"/>
        <w:jc w:val="center"/>
        <w:tblLayout w:type="fixed"/>
      </w:tblPr>
      <w:tblGrid>
        <w:gridCol w:w="5410"/>
        <w:gridCol w:w="4291"/>
      </w:tblGrid>
      <w:tr>
        <w:trPr>
          <w:trHeight w:val="629"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4940" w:right="0" w:firstLine="0"/>
              <w:jc w:val="left"/>
            </w:pPr>
            <w:r>
              <w:rPr>
                <w:color w:val="000000"/>
                <w:spacing w:val="0"/>
                <w:w w:val="100"/>
                <w:position w:val="0"/>
              </w:rPr>
              <w:t>深圳市</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亍建筑科学研究院股份有限公司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年年度报告全文</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北京中关村延庆园建设发展有限公司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中关村发展的控股子公司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北京中关村京西建设发展有限公司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中关村发展的控股子公司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北京中关村国际环保产业促进中心有限公司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r>
              <w:rPr>
                <w:rFonts w:ascii="Times New Roman" w:eastAsia="Times New Roman" w:hAnsi="Times New Roman" w:cs="Times New Roman"/>
                <w:color w:val="000000"/>
                <w:spacing w:val="0"/>
                <w:w w:val="100"/>
                <w:position w:val="0"/>
              </w:rPr>
              <w:t>2021</w:t>
            </w:r>
            <w:r>
              <w:rPr>
                <w:color w:val="000000"/>
                <w:spacing w:val="0"/>
                <w:w w:val="100"/>
                <w:position w:val="0"/>
              </w:rPr>
              <w:t>年起不再为本集团关联方</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北京怀柔科学城建设发展有限公司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r>
              <w:rPr>
                <w:rFonts w:ascii="Times New Roman" w:eastAsia="Times New Roman" w:hAnsi="Times New Roman" w:cs="Times New Roman"/>
                <w:color w:val="000000"/>
                <w:spacing w:val="0"/>
                <w:w w:val="100"/>
                <w:position w:val="0"/>
              </w:rPr>
              <w:t>2021</w:t>
            </w:r>
            <w:r>
              <w:rPr>
                <w:color w:val="000000"/>
                <w:spacing w:val="0"/>
                <w:w w:val="100"/>
                <w:position w:val="0"/>
              </w:rPr>
              <w:t>年起不再为本集团关联方</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深圳市投资控股有限公司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r>
              <w:rPr>
                <w:rFonts w:ascii="Times New Roman" w:eastAsia="Times New Roman" w:hAnsi="Times New Roman" w:cs="Times New Roman"/>
                <w:color w:val="000000"/>
                <w:spacing w:val="0"/>
                <w:w w:val="100"/>
                <w:position w:val="0"/>
              </w:rPr>
              <w:t>2021</w:t>
            </w:r>
            <w:r>
              <w:rPr>
                <w:color w:val="000000"/>
                <w:spacing w:val="0"/>
                <w:w w:val="100"/>
                <w:position w:val="0"/>
              </w:rPr>
              <w:t>年起不再为本集团关联方</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前海科创投控股有限公司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r>
              <w:rPr>
                <w:rFonts w:ascii="Times New Roman" w:eastAsia="Times New Roman" w:hAnsi="Times New Roman" w:cs="Times New Roman"/>
                <w:color w:val="000000"/>
                <w:spacing w:val="0"/>
                <w:w w:val="100"/>
                <w:position w:val="0"/>
              </w:rPr>
              <w:t>2021</w:t>
            </w:r>
            <w:r>
              <w:rPr>
                <w:color w:val="000000"/>
                <w:spacing w:val="0"/>
                <w:w w:val="100"/>
                <w:position w:val="0"/>
              </w:rPr>
              <w:t>年起不再为本集团关联方</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深圳排放权交易所有限公司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r>
              <w:rPr>
                <w:rFonts w:ascii="Times New Roman" w:eastAsia="Times New Roman" w:hAnsi="Times New Roman" w:cs="Times New Roman"/>
                <w:color w:val="000000"/>
                <w:spacing w:val="0"/>
                <w:w w:val="100"/>
                <w:position w:val="0"/>
              </w:rPr>
              <w:t>2021</w:t>
            </w:r>
            <w:r>
              <w:rPr>
                <w:color w:val="000000"/>
                <w:spacing w:val="0"/>
                <w:w w:val="100"/>
                <w:position w:val="0"/>
              </w:rPr>
              <w:t>年起不再为本集团关联方</w:t>
            </w:r>
          </w:p>
        </w:tc>
      </w:tr>
      <w:tr>
        <w:trPr>
          <w:trHeight w:val="274" w:hRule="exact"/>
        </w:trPr>
        <w:tc>
          <w:tcPr>
            <w:gridSpan w:val="2"/>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该公司自</w:t>
            </w:r>
            <w:r>
              <w:rPr>
                <w:rFonts w:ascii="Times New Roman" w:eastAsia="Times New Roman" w:hAnsi="Times New Roman" w:cs="Times New Roman"/>
                <w:color w:val="000000"/>
                <w:spacing w:val="0"/>
                <w:w w:val="100"/>
                <w:position w:val="0"/>
              </w:rPr>
              <w:t>2021</w:t>
            </w:r>
            <w:r>
              <w:rPr>
                <w:color w:val="000000"/>
                <w:spacing w:val="0"/>
                <w:w w:val="100"/>
                <w:position w:val="0"/>
              </w:rPr>
              <w:t>年起为本集团关联方。</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5</w:t>
      </w:r>
      <w:bookmarkEnd w:id="1106"/>
      <w:r>
        <w:rPr>
          <w:color w:val="000000"/>
          <w:spacing w:val="0"/>
          <w:w w:val="100"/>
          <w:position w:val="0"/>
        </w:rPr>
        <w:t>、关联交易情况</w:t>
      </w:r>
      <w:bookmarkEnd w:id="1104"/>
      <w:bookmarkEnd w:id="1105"/>
      <w:bookmarkEnd w:id="1107"/>
    </w:p>
    <w:p>
      <w:pPr>
        <w:pStyle w:val="Style31"/>
        <w:keepNext/>
        <w:keepLines/>
        <w:widowControl w:val="0"/>
        <w:shd w:val="clear" w:color="auto" w:fill="auto"/>
        <w:bidi w:val="0"/>
        <w:spacing w:before="0" w:line="240" w:lineRule="auto"/>
        <w:ind w:left="0" w:right="0" w:firstLine="0"/>
        <w:jc w:val="left"/>
      </w:pPr>
      <w:bookmarkStart w:id="1104" w:name="bookmark1104"/>
      <w:bookmarkStart w:id="1105" w:name="bookmark1105"/>
      <w:bookmarkStart w:id="1108" w:name="bookmark11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104"/>
      <w:bookmarkEnd w:id="1105"/>
      <w:bookmarkEnd w:id="1108"/>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698"/>
        <w:gridCol w:w="1699"/>
        <w:gridCol w:w="1138"/>
        <w:gridCol w:w="1416"/>
        <w:gridCol w:w="1560"/>
        <w:gridCol w:w="107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深圳市建设工程标准学会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采购服务等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251,128.71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雄安绿研智库有限公司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采购服务等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312,502.30</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326,128.71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312,502.30</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941"/>
        <w:gridCol w:w="1272"/>
        <w:gridCol w:w="2126"/>
        <w:gridCol w:w="224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深圳市天健</w:t>
            </w:r>
            <w:r>
              <w:rPr>
                <w:color w:val="000000"/>
                <w:spacing w:val="0"/>
                <w:w w:val="100"/>
                <w:position w:val="0"/>
              </w:rPr>
              <w:t>(</w:t>
            </w:r>
            <w:r>
              <w:rPr>
                <w:color w:val="000000"/>
                <w:spacing w:val="0"/>
                <w:w w:val="100"/>
                <w:position w:val="0"/>
              </w:rPr>
              <w:t>集团</w:t>
            </w:r>
            <w:r>
              <w:rPr>
                <w:color w:val="000000"/>
                <w:spacing w:val="0"/>
                <w:w w:val="100"/>
                <w:position w:val="0"/>
              </w:rPr>
              <w:t>)</w:t>
            </w:r>
            <w:r>
              <w:rPr>
                <w:color w:val="000000"/>
                <w:spacing w:val="0"/>
                <w:w w:val="100"/>
                <w:position w:val="0"/>
              </w:rPr>
              <w:t>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提供服务等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3,285,576.63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深圳市科陆电子科技股份有限公司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提供服务等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1,252,877.36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北京中关村微纳能源投资有限公司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提供服务等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684,528.29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611,608.49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北京中关村科技园区建设投资有限公司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提供服务等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518,867.93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深圳市资本运营集团有限公司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提供服务等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177,924.53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深圳市创新投资集团有限公司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提供服务等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161,250.57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67,924.53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雄安绿研智库有限公司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提供服务等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62,971.71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289,940.57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万科企业股份有限公司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提供服务等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61,056.60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北京中关村生命科学园发展有限责任公司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提供服务等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17,343.40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349,093.42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前海再保险股份有限公司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提供服务等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中关村医疗器械园有限公司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提供服务等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641,509.43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北京中关村软件园发展有限责任公司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提供服务等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114,101.04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北京中关村前沿技术产业发展有限公司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提供服务等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-247,578.92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北京中关村信息谷资产管理有限责任公司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提供服务等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754,716.98</w:t>
            </w:r>
          </w:p>
        </w:tc>
      </w:tr>
    </w:tbl>
    <w:p>
      <w:pPr>
        <w:spacing w:lineRule="exact" w:line="1"/>
        <w:rPr>
          <w:sz w:val="2"/>
          <w:szCs w:val="2"/>
        </w:rPr>
      </w:pPr>
      <w:r>
        <w:br w:type="page"/>
      </w:r>
    </w:p>
    <w:tbl>
      <w:tblPr>
        <w:tblOverlap w:val="never"/>
        <w:jc w:val="center"/>
        <w:tblLayout w:type="fixed"/>
      </w:tblPr>
      <w:tblGrid>
        <w:gridCol w:w="3998"/>
        <w:gridCol w:w="1282"/>
        <w:gridCol w:w="2107"/>
        <w:gridCol w:w="2314"/>
      </w:tblGrid>
      <w:tr>
        <w:trPr>
          <w:trHeight w:val="629" w:hRule="exact"/>
        </w:trPr>
        <w:tc>
          <w:tcPr>
            <w:tcBorders/>
            <w:shd w:val="clear" w:color="auto" w:fill="FFFFFF"/>
            <w:vAlign w:val="top"/>
          </w:tcPr>
          <w:p>
            <w:pPr>
              <w:widowControl w:val="0"/>
              <w:rPr>
                <w:sz w:val="10"/>
                <w:szCs w:val="10"/>
              </w:rPr>
            </w:pPr>
          </w:p>
        </w:tc>
        <w:tc>
          <w:tcPr>
            <w:gridSpan w:val="3"/>
            <w:tcBorders/>
            <w:shd w:val="clear" w:color="auto" w:fill="FFFFFF"/>
            <w:vAlign w:val="bottom"/>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年年度报告全文</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北京中关村延庆园建设发展有限责任公司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349,056.60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北京中关村京西建设发展有限公司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-171,698.11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深圳市投资控股有限公司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1,787,605.39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前海科创投控股有限公司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1,169,386.79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深圳排放权交易所有限公司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47,169.81</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5,976,233.19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6,010,414.94</w:t>
            </w:r>
          </w:p>
        </w:tc>
      </w:tr>
    </w:tbl>
    <w:p>
      <w:pPr>
        <w:widowControl w:val="0"/>
        <w:spacing w:after="299" w:line="1" w:lineRule="exact"/>
      </w:pPr>
    </w:p>
    <w:p>
      <w:pPr>
        <w:pStyle w:val="Style20"/>
        <w:keepNext w:val="0"/>
        <w:keepLines w:val="0"/>
        <w:widowControl w:val="0"/>
        <w:shd w:val="clear" w:color="auto" w:fill="auto"/>
        <w:bidi w:val="0"/>
        <w:spacing w:before="0" w:after="380" w:line="346" w:lineRule="exact"/>
        <w:ind w:left="0" w:right="0" w:firstLine="0"/>
        <w:jc w:val="left"/>
      </w:pPr>
      <w:r>
        <w:rPr>
          <w:color w:val="000000"/>
          <w:spacing w:val="0"/>
          <w:w w:val="100"/>
          <w:position w:val="0"/>
        </w:rPr>
        <w:t>购销商品、提供和接受劳务的关联交易说明 无。</w:t>
      </w:r>
    </w:p>
    <w:p>
      <w:pPr>
        <w:pStyle w:val="Style31"/>
        <w:keepNext/>
        <w:keepLines/>
        <w:widowControl w:val="0"/>
        <w:shd w:val="clear" w:color="auto" w:fill="auto"/>
        <w:bidi w:val="0"/>
        <w:spacing w:before="0" w:after="380" w:line="240" w:lineRule="auto"/>
        <w:ind w:left="0" w:right="0" w:firstLine="0"/>
        <w:jc w:val="left"/>
      </w:pPr>
      <w:bookmarkStart w:id="1109" w:name="bookmark1109"/>
      <w:bookmarkStart w:id="1110" w:name="bookmark1110"/>
      <w:bookmarkStart w:id="1111" w:name="bookmark11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109"/>
      <w:bookmarkEnd w:id="1110"/>
      <w:bookmarkEnd w:id="1111"/>
    </w:p>
    <w:tbl>
      <w:tblPr>
        <w:tblOverlap w:val="never"/>
        <w:jc w:val="center"/>
        <w:tblLayout w:type="fixed"/>
      </w:tblPr>
      <w:tblGrid>
        <w:gridCol w:w="2410"/>
        <w:gridCol w:w="2395"/>
        <w:gridCol w:w="2390"/>
        <w:gridCol w:w="2429"/>
      </w:tblGrid>
      <w:tr>
        <w:trPr>
          <w:trHeight w:val="662" w:hRule="exact"/>
        </w:trPr>
        <w:tc>
          <w:tcPr>
            <w:gridSpan w:val="3"/>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本公司作为出租方：</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雄安绿研智库有限公司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租赁场地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140,770.61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140,642.20</w:t>
            </w:r>
          </w:p>
        </w:tc>
      </w:tr>
    </w:tbl>
    <w:p>
      <w:pPr>
        <w:widowControl w:val="0"/>
        <w:spacing w:after="439" w:line="1" w:lineRule="exact"/>
      </w:pPr>
    </w:p>
    <w:p>
      <w:pPr>
        <w:pStyle w:val="Style20"/>
        <w:keepNext w:val="0"/>
        <w:keepLines w:val="0"/>
        <w:widowControl w:val="0"/>
        <w:shd w:val="clear" w:color="auto" w:fill="auto"/>
        <w:bidi w:val="0"/>
        <w:spacing w:before="0" w:after="440" w:line="240" w:lineRule="auto"/>
        <w:ind w:left="0" w:right="0" w:firstLine="0"/>
        <w:jc w:val="left"/>
      </w:pPr>
      <w:r>
        <w:rPr>
          <w:color w:val="000000"/>
          <w:spacing w:val="0"/>
          <w:w w:val="100"/>
          <w:position w:val="0"/>
        </w:rPr>
        <w:t>本公司作为承租方:</w:t>
      </w:r>
    </w:p>
    <w:tbl>
      <w:tblPr>
        <w:tblOverlap w:val="never"/>
        <w:jc w:val="center"/>
        <w:tblLayout w:type="fixed"/>
      </w:tblPr>
      <w:tblGrid>
        <w:gridCol w:w="2664"/>
        <w:gridCol w:w="2122"/>
        <w:gridCol w:w="2395"/>
        <w:gridCol w:w="240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中关村发展集团股份有限公司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租赁场地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3,139,949.97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2,969,967.08</w:t>
            </w:r>
          </w:p>
        </w:tc>
      </w:tr>
    </w:tbl>
    <w:p>
      <w:pPr>
        <w:widowControl w:val="0"/>
        <w:spacing w:after="679" w:line="1" w:lineRule="exact"/>
      </w:pPr>
    </w:p>
    <w:p>
      <w:pPr>
        <w:pStyle w:val="Style31"/>
        <w:keepNext/>
        <w:keepLines/>
        <w:widowControl w:val="0"/>
        <w:shd w:val="clear" w:color="auto" w:fill="auto"/>
        <w:bidi w:val="0"/>
        <w:spacing w:before="0" w:after="380" w:line="240" w:lineRule="auto"/>
        <w:ind w:left="0" w:right="0" w:firstLine="0"/>
        <w:jc w:val="left"/>
      </w:pPr>
      <w:bookmarkStart w:id="1112" w:name="bookmark1112"/>
      <w:bookmarkStart w:id="1113" w:name="bookmark1113"/>
      <w:bookmarkStart w:id="1114" w:name="bookmark1114"/>
      <w:bookmarkStart w:id="1115" w:name="bookmark1115"/>
      <w:r>
        <w:rPr>
          <w:color w:val="000000"/>
          <w:spacing w:val="0"/>
          <w:w w:val="100"/>
          <w:position w:val="0"/>
        </w:rPr>
        <w:t>（</w:t>
      </w:r>
      <w:bookmarkEnd w:id="1114"/>
      <w:r>
        <w:rPr>
          <w:rFonts w:ascii="Times New Roman" w:eastAsia="Times New Roman" w:hAnsi="Times New Roman" w:cs="Times New Roman"/>
          <w:color w:val="000000"/>
          <w:spacing w:val="0"/>
          <w:w w:val="100"/>
          <w:position w:val="0"/>
        </w:rPr>
        <w:t>3</w:t>
      </w:r>
      <w:r>
        <w:rPr>
          <w:color w:val="000000"/>
          <w:spacing w:val="0"/>
          <w:w w:val="100"/>
          <w:position w:val="0"/>
        </w:rPr>
        <w:t>）关键管理人员报酬</w:t>
      </w:r>
      <w:bookmarkEnd w:id="1112"/>
      <w:bookmarkEnd w:id="1113"/>
      <w:bookmarkEnd w:id="111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7,878,460.45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5,977,100.00</w:t>
            </w:r>
          </w:p>
        </w:tc>
      </w:tr>
    </w:tbl>
    <w:p>
      <w:pPr>
        <w:widowControl w:val="0"/>
        <w:spacing w:after="299" w:line="1" w:lineRule="exact"/>
      </w:pPr>
    </w:p>
    <w:p>
      <w:pPr>
        <w:pStyle w:val="Style31"/>
        <w:keepNext/>
        <w:keepLines/>
        <w:widowControl w:val="0"/>
        <w:shd w:val="clear" w:color="auto" w:fill="auto"/>
        <w:bidi w:val="0"/>
        <w:spacing w:before="0" w:after="380" w:line="240" w:lineRule="auto"/>
        <w:ind w:left="0" w:right="0" w:firstLine="0"/>
        <w:jc w:val="left"/>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6</w:t>
      </w:r>
      <w:bookmarkEnd w:id="1118"/>
      <w:r>
        <w:rPr>
          <w:color w:val="000000"/>
          <w:spacing w:val="0"/>
          <w:w w:val="100"/>
          <w:position w:val="0"/>
        </w:rPr>
        <w:t>、关联方应收应付款项</w:t>
      </w:r>
      <w:bookmarkEnd w:id="1116"/>
      <w:bookmarkEnd w:id="1117"/>
      <w:bookmarkEnd w:id="1119"/>
    </w:p>
    <w:p>
      <w:pPr>
        <w:pStyle w:val="Style31"/>
        <w:keepNext/>
        <w:keepLines/>
        <w:widowControl w:val="0"/>
        <w:shd w:val="clear" w:color="auto" w:fill="auto"/>
        <w:bidi w:val="0"/>
        <w:spacing w:before="0" w:after="380" w:line="240" w:lineRule="auto"/>
        <w:ind w:left="0" w:right="0" w:firstLine="0"/>
        <w:jc w:val="left"/>
      </w:pPr>
      <w:bookmarkStart w:id="1116" w:name="bookmark1116"/>
      <w:bookmarkStart w:id="1117" w:name="bookmark1117"/>
      <w:bookmarkStart w:id="1120" w:name="bookmark11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116"/>
      <w:bookmarkEnd w:id="1117"/>
      <w:bookmarkEnd w:id="112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7"/>
        <w:gridCol w:w="3686"/>
        <w:gridCol w:w="1133"/>
        <w:gridCol w:w="1277"/>
        <w:gridCol w:w="1133"/>
        <w:gridCol w:w="96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深圳市天健</w:t>
            </w:r>
            <w:r>
              <w:rPr>
                <w:color w:val="000000"/>
                <w:spacing w:val="0"/>
                <w:w w:val="100"/>
                <w:position w:val="0"/>
              </w:rPr>
              <w:t>（</w:t>
            </w:r>
            <w:r>
              <w:rPr>
                <w:color w:val="000000"/>
                <w:spacing w:val="0"/>
                <w:w w:val="100"/>
                <w:position w:val="0"/>
              </w:rPr>
              <w:t>集团</w:t>
            </w:r>
            <w:r>
              <w:rPr>
                <w:color w:val="000000"/>
                <w:spacing w:val="0"/>
                <w:w w:val="100"/>
                <w:position w:val="0"/>
              </w:rPr>
              <w:t>）</w:t>
            </w:r>
            <w:r>
              <w:rPr>
                <w:color w:val="000000"/>
                <w:spacing w:val="0"/>
                <w:w w:val="100"/>
                <w:position w:val="0"/>
              </w:rPr>
              <w:t>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3,167,920.86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195,048.92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北京中关村科技园区建设投资有限公司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20,554.26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sectPr>
          <w:footnotePr>
            <w:pos w:val="pageBottom"/>
            <w:numFmt w:val="decimal"/>
            <w:numRestart w:val="continuous"/>
          </w:footnotePr>
          <w:pgSz w:w="11900" w:h="16840"/>
          <w:pgMar w:top="822" w:right="1100" w:bottom="1414" w:left="1100" w:header="0" w:footer="3" w:gutter="0"/>
          <w:cols w:space="720"/>
          <w:noEndnote/>
          <w:rtlGutter w:val="0"/>
          <w:docGrid w:linePitch="360"/>
        </w:sectPr>
      </w:pPr>
    </w:p>
    <w:tbl>
      <w:tblPr>
        <w:tblOverlap w:val="never"/>
        <w:jc w:val="center"/>
        <w:tblLayout w:type="fixed"/>
      </w:tblPr>
      <w:tblGrid>
        <w:gridCol w:w="1387"/>
        <w:gridCol w:w="3686"/>
        <w:gridCol w:w="1133"/>
        <w:gridCol w:w="1277"/>
        <w:gridCol w:w="1133"/>
        <w:gridCol w:w="965"/>
      </w:tblGrid>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北京中关村信息谷资产管理有限责任公司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40,816.35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24,382.23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深圳市科陆电子科技股份有限公司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265,610.00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27,103.08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万科企业股份有限公司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215,467.00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18,708.03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北京中关村生命科学园发展有限责任公司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32,143.00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9,559.55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62,073.00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9,324.49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雄安绿研智库有限公司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20,187.00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1,079.72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52,837.00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3,217.66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北京中关村前沿技术产业发展有限公司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786,368.40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77,821.84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中关村医疗器械园有限公司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360,000.00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21,944.00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北京中关村微纳能源投资有限公司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10,972.00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北京中关村软件园发展有限公司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120,947.10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7,372.40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深圳市投资控股有限公司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5,959,484.00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715,001.31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北京中关村国际环保产业促进中心有限公司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74,000.00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31,328.70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北京怀柔科学城建设发展有限公司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8,906.72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4,501,327.86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312,869.91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8,085,709.50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910,271.35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深圳市天健(集团)股份有限公司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289,105.38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14,455.27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深圳市创新投资集团有限公司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170,925.60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8,546.28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460,030.98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23,001.55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中关村发展集团股份有限公司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947,173.65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94,717.37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815,009.88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192,929.94</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947,173.65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94,717.37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815,009.88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192,929.94</w:t>
            </w:r>
          </w:p>
        </w:tc>
      </w:tr>
    </w:tbl>
    <w:p>
      <w:pPr>
        <w:widowControl w:val="0"/>
        <w:spacing w:after="659" w:line="1" w:lineRule="exact"/>
      </w:pPr>
    </w:p>
    <w:p>
      <w:pPr>
        <w:pStyle w:val="Style31"/>
        <w:keepNext/>
        <w:keepLines/>
        <w:widowControl w:val="0"/>
        <w:shd w:val="clear" w:color="auto" w:fill="auto"/>
        <w:bidi w:val="0"/>
        <w:spacing w:before="0" w:after="380" w:line="240" w:lineRule="auto"/>
        <w:ind w:left="0" w:right="0" w:firstLine="0"/>
        <w:jc w:val="left"/>
      </w:pPr>
      <w:bookmarkStart w:id="1121" w:name="bookmark1121"/>
      <w:bookmarkStart w:id="1122" w:name="bookmark1122"/>
      <w:bookmarkStart w:id="1123" w:name="bookmark11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121"/>
      <w:bookmarkEnd w:id="1122"/>
      <w:bookmarkEnd w:id="112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818"/>
        <w:gridCol w:w="2126"/>
        <w:gridCol w:w="224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雄安绿研智库有限公司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247,641.51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238,679.25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万和证券股份有限公司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150,000.00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247,641.51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388,679.25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雄安绿研智库有限公司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12,775.00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12,775.00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深圳排放权交易所有限公司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12,775.00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13,175.00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雄安绿研智库有限公司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102,200.00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102,200.00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前海科创投控股有限公司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1,472,450.00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1,472,450.00</w:t>
            </w:r>
          </w:p>
        </w:tc>
      </w:tr>
    </w:tbl>
    <w:p>
      <w:pPr>
        <w:pStyle w:val="Style26"/>
        <w:keepNext w:val="0"/>
        <w:keepLines w:val="0"/>
        <w:widowControl w:val="0"/>
        <w:pBdr>
          <w:top w:val="single" w:sz="4" w:space="0" w:color="auto"/>
        </w:pBdr>
        <w:shd w:val="clear" w:color="auto" w:fill="auto"/>
        <w:bidi w:val="0"/>
        <w:spacing w:before="0" w:after="360" w:line="240" w:lineRule="auto"/>
        <w:ind w:left="0" w:right="0" w:firstLine="0"/>
        <w:jc w:val="left"/>
      </w:pPr>
      <w:r>
        <w:rPr>
          <w:color w:val="000000"/>
          <w:spacing w:val="0"/>
          <w:w w:val="100"/>
          <w:position w:val="0"/>
          <w:sz w:val="24"/>
          <w:szCs w:val="24"/>
        </w:rPr>
        <w:t>十三、股份支付</w:t>
      </w:r>
    </w:p>
    <w:p>
      <w:pPr>
        <w:pStyle w:val="Style31"/>
        <w:keepNext/>
        <w:keepLines/>
        <w:widowControl w:val="0"/>
        <w:shd w:val="clear" w:color="auto" w:fill="auto"/>
        <w:tabs>
          <w:tab w:pos="368" w:val="left"/>
        </w:tabs>
        <w:bidi w:val="0"/>
        <w:spacing w:before="0" w:line="240" w:lineRule="auto"/>
        <w:ind w:left="0" w:right="0" w:firstLine="0"/>
        <w:jc w:val="left"/>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1</w:t>
      </w:r>
      <w:bookmarkEnd w:id="1126"/>
      <w:r>
        <w:rPr>
          <w:color w:val="000000"/>
          <w:spacing w:val="0"/>
          <w:w w:val="100"/>
          <w:position w:val="0"/>
        </w:rPr>
        <w:t>、</w:t>
        <w:tab/>
        <w:t>股份支付总体情况</w:t>
      </w:r>
      <w:bookmarkEnd w:id="1124"/>
      <w:bookmarkEnd w:id="1125"/>
      <w:bookmarkEnd w:id="1127"/>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2</w:t>
      </w:r>
      <w:bookmarkEnd w:id="1130"/>
      <w:r>
        <w:rPr>
          <w:color w:val="000000"/>
          <w:spacing w:val="0"/>
          <w:w w:val="100"/>
          <w:position w:val="0"/>
        </w:rPr>
        <w:t>、</w:t>
        <w:tab/>
        <w:t>以权益结算的股份支付情况</w:t>
      </w:r>
      <w:bookmarkEnd w:id="1128"/>
      <w:bookmarkEnd w:id="1129"/>
      <w:bookmarkEnd w:id="1131"/>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3</w:t>
      </w:r>
      <w:bookmarkEnd w:id="1134"/>
      <w:r>
        <w:rPr>
          <w:color w:val="000000"/>
          <w:spacing w:val="0"/>
          <w:w w:val="100"/>
          <w:position w:val="0"/>
        </w:rPr>
        <w:t>、</w:t>
        <w:tab/>
        <w:t>以现金结算的股份支付情况</w:t>
      </w:r>
      <w:bookmarkEnd w:id="1132"/>
      <w:bookmarkEnd w:id="1133"/>
      <w:bookmarkEnd w:id="1135"/>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4</w:t>
      </w:r>
      <w:bookmarkEnd w:id="1138"/>
      <w:r>
        <w:rPr>
          <w:color w:val="000000"/>
          <w:spacing w:val="0"/>
          <w:w w:val="100"/>
          <w:position w:val="0"/>
        </w:rPr>
        <w:t>、</w:t>
        <w:tab/>
        <w:t>股份支付的修改、终止情况</w:t>
      </w:r>
      <w:bookmarkEnd w:id="1136"/>
      <w:bookmarkEnd w:id="1137"/>
      <w:bookmarkEnd w:id="1139"/>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8" w:val="left"/>
        </w:tabs>
        <w:bidi w:val="0"/>
        <w:spacing w:before="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5</w:t>
      </w:r>
      <w:bookmarkEnd w:id="1142"/>
      <w:r>
        <w:rPr>
          <w:color w:val="000000"/>
          <w:spacing w:val="0"/>
          <w:w w:val="100"/>
          <w:position w:val="0"/>
        </w:rPr>
        <w:t>、</w:t>
        <w:tab/>
        <w:t>其他</w:t>
      </w:r>
      <w:bookmarkEnd w:id="1140"/>
      <w:bookmarkEnd w:id="1141"/>
      <w:bookmarkEnd w:id="1143"/>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4"/>
          <w:szCs w:val="24"/>
        </w:rPr>
        <w:t>十四、承诺及或有事项</w:t>
      </w:r>
    </w:p>
    <w:p>
      <w:pPr>
        <w:pStyle w:val="Style31"/>
        <w:keepNext/>
        <w:keepLines/>
        <w:widowControl w:val="0"/>
        <w:shd w:val="clear" w:color="auto" w:fill="auto"/>
        <w:bidi w:val="0"/>
        <w:spacing w:before="0" w:line="240" w:lineRule="auto"/>
        <w:ind w:left="0" w:right="0" w:firstLine="0"/>
        <w:jc w:val="left"/>
      </w:pPr>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144"/>
      <w:bookmarkEnd w:id="1145"/>
      <w:bookmarkEnd w:id="1146"/>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资产负债表日存在的重要承诺</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资本承担</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3264"/>
        <w:gridCol w:w="351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未来大厦已签约的及已授权未签约 的资本承担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114,470,204.53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87,913,553.67</w:t>
            </w:r>
          </w:p>
        </w:tc>
      </w:tr>
    </w:tbl>
    <w:p>
      <w:pPr>
        <w:widowControl w:val="0"/>
        <w:spacing w:after="359" w:line="1" w:lineRule="exact"/>
      </w:pP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经营租赁承担</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根据不可撤销的有关房屋、车辆经营租赁协议，本集团于</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日以后应支付的最低租赁付款额如下:</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01"/>
        <w:gridCol w:w="41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1</w:t>
            </w:r>
            <w:r>
              <w:rPr>
                <w:color w:val="000000"/>
                <w:spacing w:val="0"/>
                <w:w w:val="100"/>
                <w:position w:val="0"/>
              </w:rPr>
              <w:t>年</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23,436,985.45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年以上</w:t>
            </w:r>
            <w:r>
              <w:rPr>
                <w:rFonts w:ascii="Times New Roman" w:eastAsia="Times New Roman" w:hAnsi="Times New Roman" w:cs="Times New Roman"/>
                <w:color w:val="000000"/>
                <w:spacing w:val="0"/>
                <w:w w:val="100"/>
                <w:position w:val="0"/>
              </w:rPr>
              <w:t>2</w:t>
            </w:r>
            <w:r>
              <w:rPr>
                <w:color w:val="000000"/>
                <w:spacing w:val="0"/>
                <w:w w:val="100"/>
                <w:position w:val="0"/>
              </w:rPr>
              <w:t>年以内</w:t>
            </w:r>
            <w:r>
              <w:rPr>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2</w:t>
            </w:r>
            <w:r>
              <w:rPr>
                <w:color w:val="000000"/>
                <w:spacing w:val="0"/>
                <w:w w:val="100"/>
                <w:position w:val="0"/>
              </w:rPr>
              <w:t>年</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22,060,003.25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年以上</w:t>
            </w:r>
            <w:r>
              <w:rPr>
                <w:rFonts w:ascii="Times New Roman" w:eastAsia="Times New Roman" w:hAnsi="Times New Roman" w:cs="Times New Roman"/>
                <w:color w:val="000000"/>
                <w:spacing w:val="0"/>
                <w:w w:val="100"/>
                <w:position w:val="0"/>
              </w:rPr>
              <w:t>3</w:t>
            </w:r>
            <w:r>
              <w:rPr>
                <w:color w:val="000000"/>
                <w:spacing w:val="0"/>
                <w:w w:val="100"/>
                <w:position w:val="0"/>
              </w:rPr>
              <w:t>年以内</w:t>
            </w:r>
            <w:r>
              <w:rPr>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3</w:t>
            </w:r>
            <w:r>
              <w:rPr>
                <w:color w:val="000000"/>
                <w:spacing w:val="0"/>
                <w:w w:val="100"/>
                <w:position w:val="0"/>
              </w:rPr>
              <w:t>年</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5,057,153.46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5,881,048.41</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56,435,190.57</w:t>
            </w:r>
          </w:p>
        </w:tc>
      </w:tr>
    </w:tbl>
    <w:p>
      <w:pPr>
        <w:pStyle w:val="Style31"/>
        <w:keepNext/>
        <w:keepLines/>
        <w:widowControl w:val="0"/>
        <w:shd w:val="clear" w:color="auto" w:fill="auto"/>
        <w:tabs>
          <w:tab w:pos="378" w:val="left"/>
        </w:tabs>
        <w:bidi w:val="0"/>
        <w:spacing w:before="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2</w:t>
      </w:r>
      <w:bookmarkEnd w:id="1149"/>
      <w:r>
        <w:rPr>
          <w:color w:val="000000"/>
          <w:spacing w:val="0"/>
          <w:w w:val="100"/>
          <w:position w:val="0"/>
        </w:rPr>
        <w:t>、</w:t>
        <w:tab/>
        <w:t>或有事项</w:t>
      </w:r>
      <w:bookmarkEnd w:id="1147"/>
      <w:bookmarkEnd w:id="1148"/>
      <w:bookmarkEnd w:id="1150"/>
    </w:p>
    <w:p>
      <w:pPr>
        <w:pStyle w:val="Style31"/>
        <w:keepNext/>
        <w:keepLines/>
        <w:widowControl w:val="0"/>
        <w:shd w:val="clear" w:color="auto" w:fill="auto"/>
        <w:tabs>
          <w:tab w:pos="493" w:val="left"/>
        </w:tabs>
        <w:bidi w:val="0"/>
        <w:spacing w:before="0" w:line="240" w:lineRule="auto"/>
        <w:ind w:left="0" w:right="0" w:firstLine="0"/>
        <w:jc w:val="left"/>
      </w:pPr>
      <w:bookmarkStart w:id="1147" w:name="bookmark1147"/>
      <w:bookmarkStart w:id="1148" w:name="bookmark1148"/>
      <w:bookmarkStart w:id="1151" w:name="bookmark1151"/>
      <w:bookmarkStart w:id="1152" w:name="bookmark1152"/>
      <w:r>
        <w:rPr>
          <w:color w:val="000000"/>
          <w:spacing w:val="0"/>
          <w:w w:val="100"/>
          <w:position w:val="0"/>
        </w:rPr>
        <w:t>（</w:t>
      </w:r>
      <w:bookmarkEnd w:id="1151"/>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147"/>
      <w:bookmarkEnd w:id="1148"/>
      <w:bookmarkEnd w:id="1152"/>
    </w:p>
    <w:p>
      <w:pPr>
        <w:pStyle w:val="Style31"/>
        <w:keepNext/>
        <w:keepLines/>
        <w:widowControl w:val="0"/>
        <w:shd w:val="clear" w:color="auto" w:fill="auto"/>
        <w:tabs>
          <w:tab w:pos="493" w:val="left"/>
        </w:tabs>
        <w:bidi w:val="0"/>
        <w:spacing w:before="0" w:line="240" w:lineRule="auto"/>
        <w:ind w:left="0" w:right="0" w:firstLine="0"/>
        <w:jc w:val="left"/>
      </w:pPr>
      <w:bookmarkStart w:id="1147" w:name="bookmark1147"/>
      <w:bookmarkStart w:id="1148" w:name="bookmark1148"/>
      <w:bookmarkStart w:id="1153" w:name="bookmark1153"/>
      <w:bookmarkStart w:id="1154" w:name="bookmark1154"/>
      <w:r>
        <w:rPr>
          <w:color w:val="000000"/>
          <w:spacing w:val="0"/>
          <w:w w:val="100"/>
          <w:position w:val="0"/>
        </w:rPr>
        <w:t>（</w:t>
      </w:r>
      <w:bookmarkEnd w:id="1153"/>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147"/>
      <w:bookmarkEnd w:id="1148"/>
      <w:bookmarkEnd w:id="1154"/>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31"/>
        <w:keepNext/>
        <w:keepLines/>
        <w:widowControl w:val="0"/>
        <w:shd w:val="clear" w:color="auto" w:fill="auto"/>
        <w:tabs>
          <w:tab w:pos="378" w:val="left"/>
        </w:tabs>
        <w:bidi w:val="0"/>
        <w:spacing w:before="0" w:line="240" w:lineRule="auto"/>
        <w:ind w:left="0" w:right="0" w:firstLine="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3</w:t>
      </w:r>
      <w:bookmarkEnd w:id="1157"/>
      <w:r>
        <w:rPr>
          <w:color w:val="000000"/>
          <w:spacing w:val="0"/>
          <w:w w:val="100"/>
          <w:position w:val="0"/>
        </w:rPr>
        <w:t>、</w:t>
        <w:tab/>
        <w:t>其他</w:t>
      </w:r>
      <w:bookmarkEnd w:id="1155"/>
      <w:bookmarkEnd w:id="1156"/>
      <w:bookmarkEnd w:id="1158"/>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4"/>
          <w:szCs w:val="24"/>
        </w:rPr>
        <w:t>十五、资产负债表日后事项</w:t>
      </w:r>
    </w:p>
    <w:p>
      <w:pPr>
        <w:pStyle w:val="Style31"/>
        <w:keepNext/>
        <w:keepLines/>
        <w:widowControl w:val="0"/>
        <w:shd w:val="clear" w:color="auto" w:fill="auto"/>
        <w:bidi w:val="0"/>
        <w:spacing w:before="0" w:line="240" w:lineRule="auto"/>
        <w:ind w:left="0" w:right="0" w:firstLine="0"/>
        <w:jc w:val="left"/>
      </w:pPr>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159"/>
      <w:bookmarkEnd w:id="1160"/>
      <w:bookmarkEnd w:id="1161"/>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14,666,670.00</w:t>
            </w:r>
          </w:p>
        </w:tc>
      </w:tr>
    </w:tbl>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于资产负债表日后提议分配的普通股股利：</w:t>
      </w:r>
    </w:p>
    <w:p>
      <w:pPr>
        <w:pStyle w:val="Style2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根据本公司</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日第三届董事会第九次定期会议，</w:t>
      </w:r>
      <w:r>
        <w:rPr>
          <w:rFonts w:ascii="Times New Roman" w:eastAsia="Times New Roman" w:hAnsi="Times New Roman" w:cs="Times New Roman"/>
          <w:color w:val="000000"/>
          <w:spacing w:val="0"/>
          <w:w w:val="100"/>
          <w:position w:val="0"/>
        </w:rPr>
        <w:t>2021</w:t>
      </w:r>
      <w:r>
        <w:rPr>
          <w:color w:val="000000"/>
          <w:spacing w:val="0"/>
          <w:w w:val="100"/>
          <w:position w:val="0"/>
        </w:rPr>
        <w:t>年年度利润分配预案为：公司拟以截至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日公司总股本</w:t>
      </w:r>
      <w:r>
        <w:rPr>
          <w:rFonts w:ascii="Times New Roman" w:eastAsia="Times New Roman" w:hAnsi="Times New Roman" w:cs="Times New Roman"/>
          <w:color w:val="000000"/>
          <w:spacing w:val="0"/>
          <w:w w:val="100"/>
          <w:position w:val="0"/>
        </w:rPr>
        <w:t>146,666,700</w:t>
      </w:r>
      <w:r>
        <w:rPr>
          <w:color w:val="000000"/>
          <w:spacing w:val="0"/>
          <w:w w:val="100"/>
          <w:position w:val="0"/>
        </w:rPr>
        <w:t>股为基数，向全体股东进行现金分红，每</w:t>
      </w:r>
      <w:r>
        <w:rPr>
          <w:rFonts w:ascii="Times New Roman" w:eastAsia="Times New Roman" w:hAnsi="Times New Roman" w:cs="Times New Roman"/>
          <w:color w:val="000000"/>
          <w:spacing w:val="0"/>
          <w:w w:val="100"/>
          <w:position w:val="0"/>
        </w:rPr>
        <w:t>10</w:t>
      </w:r>
      <w:r>
        <w:rPr>
          <w:color w:val="000000"/>
          <w:spacing w:val="0"/>
          <w:w w:val="100"/>
          <w:position w:val="0"/>
        </w:rPr>
        <w:t>股分配现金</w:t>
      </w:r>
      <w:r>
        <w:rPr>
          <w:rFonts w:ascii="Times New Roman" w:eastAsia="Times New Roman" w:hAnsi="Times New Roman" w:cs="Times New Roman"/>
          <w:color w:val="000000"/>
          <w:spacing w:val="0"/>
          <w:w w:val="100"/>
          <w:position w:val="0"/>
        </w:rPr>
        <w:t>1.00</w:t>
      </w:r>
      <w:r>
        <w:rPr>
          <w:color w:val="000000"/>
          <w:spacing w:val="0"/>
          <w:w w:val="100"/>
          <w:position w:val="0"/>
        </w:rPr>
        <w:t>元</w:t>
      </w:r>
      <w:r>
        <w:rPr>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，共计分配现金</w:t>
      </w:r>
      <w:r>
        <w:rPr>
          <w:rFonts w:ascii="Times New Roman" w:eastAsia="Times New Roman" w:hAnsi="Times New Roman" w:cs="Times New Roman"/>
          <w:color w:val="000000"/>
          <w:spacing w:val="0"/>
          <w:w w:val="100"/>
          <w:position w:val="0"/>
        </w:rPr>
        <w:t xml:space="preserve">14,666,670.00 </w:t>
      </w:r>
      <w:r>
        <w:rPr>
          <w:color w:val="000000"/>
          <w:spacing w:val="0"/>
          <w:w w:val="100"/>
          <w:position w:val="0"/>
        </w:rPr>
        <w:t>元</w:t>
      </w:r>
      <w:r>
        <w:rPr>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 xml:space="preserve">，不进行资本公积转增股本，不送红股。剩余未分配利润滚存至下一年度，用于支持公司经营发展。该方案须提交 </w:t>
      </w:r>
      <w:r>
        <w:rPr>
          <w:rFonts w:ascii="Times New Roman" w:eastAsia="Times New Roman" w:hAnsi="Times New Roman" w:cs="Times New Roman"/>
          <w:color w:val="000000"/>
          <w:spacing w:val="0"/>
          <w:w w:val="100"/>
          <w:position w:val="0"/>
        </w:rPr>
        <w:t>2022</w:t>
      </w:r>
      <w:r>
        <w:rPr>
          <w:color w:val="000000"/>
          <w:spacing w:val="0"/>
          <w:w w:val="100"/>
          <w:position w:val="0"/>
        </w:rPr>
        <w:t>年度股东大会审议。</w:t>
      </w:r>
    </w:p>
    <w:p>
      <w:pPr>
        <w:pStyle w:val="Style26"/>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rPr>
        <w:t>十六、其他重要事项</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本集团本年无需要披露的其他重要事项。</w:t>
      </w:r>
    </w:p>
    <w:p>
      <w:pPr>
        <w:pStyle w:val="Style20"/>
        <w:keepNext w:val="0"/>
        <w:keepLines w:val="0"/>
        <w:widowControl w:val="0"/>
        <w:shd w:val="clear" w:color="auto" w:fill="auto"/>
        <w:bidi w:val="0"/>
        <w:spacing w:before="0" w:after="680" w:line="312" w:lineRule="exact"/>
        <w:ind w:left="0" w:right="0" w:firstLine="0"/>
        <w:jc w:val="left"/>
      </w:pPr>
      <w:r>
        <w:rPr>
          <w:color w:val="000000"/>
          <w:spacing w:val="0"/>
          <w:w w:val="100"/>
          <w:position w:val="0"/>
        </w:rPr>
        <w:t>本集团各公司由集团统一管理，未设立报告分部。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4"/>
          <w:szCs w:val="24"/>
        </w:rPr>
        <w:t>十七、母公司财务报表主要项目注释</w:t>
      </w:r>
    </w:p>
    <w:p>
      <w:pPr>
        <w:pStyle w:val="Style31"/>
        <w:keepNext/>
        <w:keepLines/>
        <w:widowControl w:val="0"/>
        <w:shd w:val="clear" w:color="auto" w:fill="auto"/>
        <w:bidi w:val="0"/>
        <w:spacing w:before="0" w:line="240" w:lineRule="auto"/>
        <w:ind w:left="0" w:right="0" w:firstLine="0"/>
        <w:jc w:val="left"/>
      </w:pPr>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162"/>
      <w:bookmarkEnd w:id="1163"/>
      <w:bookmarkEnd w:id="1164"/>
    </w:p>
    <w:p>
      <w:pPr>
        <w:pStyle w:val="Style31"/>
        <w:keepNext/>
        <w:keepLines/>
        <w:widowControl w:val="0"/>
        <w:shd w:val="clear" w:color="auto" w:fill="auto"/>
        <w:bidi w:val="0"/>
        <w:spacing w:before="0" w:line="240" w:lineRule="auto"/>
        <w:ind w:left="0" w:right="0" w:firstLine="0"/>
        <w:jc w:val="left"/>
      </w:pPr>
      <w:bookmarkStart w:id="1162" w:name="bookmark1162"/>
      <w:bookmarkStart w:id="1163" w:name="bookmark1163"/>
      <w:bookmarkStart w:id="1165" w:name="bookmark11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62"/>
      <w:bookmarkEnd w:id="1163"/>
      <w:bookmarkEnd w:id="116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979"/>
        <w:gridCol w:w="763"/>
        <w:gridCol w:w="763"/>
        <w:gridCol w:w="763"/>
        <w:gridCol w:w="787"/>
        <w:gridCol w:w="778"/>
        <w:gridCol w:w="797"/>
        <w:gridCol w:w="797"/>
        <w:gridCol w:w="518"/>
        <w:gridCol w:w="121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计提 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6,371,102.5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805,505.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5,565,596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9,182,196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550,931.7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8,631,264.41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21"/>
        <w:gridCol w:w="979"/>
        <w:gridCol w:w="763"/>
        <w:gridCol w:w="763"/>
        <w:gridCol w:w="763"/>
        <w:gridCol w:w="787"/>
        <w:gridCol w:w="778"/>
        <w:gridCol w:w="797"/>
        <w:gridCol w:w="797"/>
        <w:gridCol w:w="518"/>
        <w:gridCol w:w="1214"/>
      </w:tblGrid>
      <w:tr>
        <w:trPr>
          <w:trHeight w:val="73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5,836,312.1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270,715.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5,565,596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9,182,196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550,931.7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6.00</w:t>
            </w:r>
          </w:p>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8,631,264.41</w:t>
            </w:r>
          </w:p>
        </w:tc>
      </w:tr>
      <w:tr>
        <w:trPr>
          <w:trHeight w:val="71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534,790.45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534,790.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356,086,159</w:t>
            </w:r>
          </w:p>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98.30%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57,401,4</w:t>
            </w:r>
          </w:p>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30.58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298,684,7</w:t>
            </w:r>
          </w:p>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28.57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379,407,2</w:t>
            </w:r>
          </w:p>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64.67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60,012,69 </w:t>
            </w:r>
            <w:r>
              <w:rPr>
                <w:rFonts w:ascii="Times New Roman" w:eastAsia="Times New Roman" w:hAnsi="Times New Roman" w:cs="Times New Roman"/>
                <w:color w:val="000000"/>
                <w:spacing w:val="0"/>
                <w:w w:val="100"/>
                <w:position w:val="0"/>
              </w:rPr>
              <w:t>1.82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15.82</w:t>
            </w:r>
          </w:p>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319,394,572.85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327,091,516</w:t>
            </w:r>
          </w:p>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90.20%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49,569,5</w:t>
            </w:r>
          </w:p>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92.27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277,521,9</w:t>
            </w:r>
          </w:p>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379,407,2</w:t>
            </w:r>
          </w:p>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64.67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60,012,69 </w:t>
            </w:r>
            <w:r>
              <w:rPr>
                <w:rFonts w:ascii="Times New Roman" w:eastAsia="Times New Roman" w:hAnsi="Times New Roman" w:cs="Times New Roman"/>
                <w:color w:val="000000"/>
                <w:spacing w:val="0"/>
                <w:w w:val="100"/>
                <w:position w:val="0"/>
              </w:rPr>
              <w:t>1.82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15.82</w:t>
            </w:r>
          </w:p>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319,394,572.85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28,994,643.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7,831,83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21,162,80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362,457,261</w:t>
            </w:r>
          </w:p>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58,206,9</w:t>
            </w:r>
          </w:p>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36.27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304,250,3</w:t>
            </w:r>
          </w:p>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388,589,4</w:t>
            </w:r>
          </w:p>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60.85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60,563,62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15.59</w:t>
            </w:r>
          </w:p>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328,025,837.26</w:t>
            </w:r>
          </w:p>
        </w:tc>
      </w:tr>
    </w:tbl>
    <w:p>
      <w:pPr>
        <w:pStyle w:val="Style20"/>
        <w:keepNext w:val="0"/>
        <w:keepLines w:val="0"/>
        <w:widowControl w:val="0"/>
        <w:numPr>
          <w:ilvl w:val="0"/>
          <w:numId w:val="91"/>
        </w:numPr>
        <w:shd w:val="clear" w:color="auto" w:fill="auto"/>
        <w:tabs>
          <w:tab w:pos="413" w:val="left"/>
        </w:tabs>
        <w:bidi w:val="0"/>
        <w:spacing w:before="0" w:after="40" w:line="308" w:lineRule="exact"/>
        <w:ind w:left="0" w:right="0" w:firstLine="0"/>
        <w:jc w:val="left"/>
      </w:pPr>
      <w:bookmarkStart w:id="1166" w:name="bookmark1166"/>
      <w:bookmarkEnd w:id="1166"/>
      <w:r>
        <w:rPr>
          <w:rFonts w:ascii="Times New Roman" w:eastAsia="Times New Roman" w:hAnsi="Times New Roman" w:cs="Times New Roman"/>
          <w:color w:val="000000"/>
          <w:spacing w:val="0"/>
          <w:w w:val="100"/>
          <w:position w:val="0"/>
        </w:rPr>
        <w:t>2021</w:t>
      </w:r>
      <w:r>
        <w:rPr>
          <w:color w:val="000000"/>
          <w:spacing w:val="0"/>
          <w:w w:val="100"/>
          <w:position w:val="0"/>
        </w:rPr>
        <w:t>年按单项计提坏账准备的计提理由：</w:t>
      </w:r>
    </w:p>
    <w:p>
      <w:pPr>
        <w:pStyle w:val="Style20"/>
        <w:keepNext w:val="0"/>
        <w:keepLines w:val="0"/>
        <w:widowControl w:val="0"/>
        <w:shd w:val="clear" w:color="auto" w:fill="auto"/>
        <w:bidi w:val="0"/>
        <w:spacing w:before="0" w:after="40" w:line="293" w:lineRule="exact"/>
        <w:ind w:left="0" w:right="0" w:firstLine="0"/>
        <w:jc w:val="left"/>
      </w:pPr>
      <w:r>
        <w:rPr>
          <w:color w:val="000000"/>
          <w:spacing w:val="0"/>
          <w:w w:val="100"/>
          <w:position w:val="0"/>
        </w:rPr>
        <w:t>个别政府单位合作项目的请款审批流程较长，考虑到这些政府单位的履约能力良好，结合这些政府单位历史回款情况、未 来</w:t>
      </w:r>
      <w:r>
        <w:rPr>
          <w:rFonts w:ascii="Times New Roman" w:eastAsia="Times New Roman" w:hAnsi="Times New Roman" w:cs="Times New Roman"/>
          <w:color w:val="000000"/>
          <w:spacing w:val="0"/>
          <w:w w:val="100"/>
          <w:position w:val="0"/>
        </w:rPr>
        <w:t>12</w:t>
      </w:r>
      <w:r>
        <w:rPr>
          <w:color w:val="000000"/>
          <w:spacing w:val="0"/>
          <w:w w:val="100"/>
          <w:position w:val="0"/>
        </w:rPr>
        <w:t>个月的回款承诺等因素，本集团按照</w:t>
      </w:r>
      <w:r>
        <w:rPr>
          <w:rFonts w:ascii="Times New Roman" w:eastAsia="Times New Roman" w:hAnsi="Times New Roman" w:cs="Times New Roman"/>
          <w:color w:val="000000"/>
          <w:spacing w:val="0"/>
          <w:w w:val="100"/>
          <w:position w:val="0"/>
        </w:rPr>
        <w:t>5%</w:t>
      </w:r>
      <w:r>
        <w:rPr>
          <w:color w:val="000000"/>
          <w:spacing w:val="0"/>
          <w:w w:val="100"/>
          <w:position w:val="0"/>
        </w:rPr>
        <w:t>对其计算预期信用损失。</w:t>
      </w:r>
    </w:p>
    <w:p>
      <w:pPr>
        <w:pStyle w:val="Style20"/>
        <w:keepNext w:val="0"/>
        <w:keepLines w:val="0"/>
        <w:widowControl w:val="0"/>
        <w:shd w:val="clear" w:color="auto" w:fill="auto"/>
        <w:bidi w:val="0"/>
        <w:spacing w:before="0" w:after="40" w:line="308" w:lineRule="exact"/>
        <w:ind w:left="0" w:right="0" w:firstLine="0"/>
        <w:jc w:val="left"/>
      </w:pPr>
      <w:r>
        <w:rPr>
          <w:color w:val="000000"/>
          <w:spacing w:val="0"/>
          <w:w w:val="100"/>
          <w:position w:val="0"/>
        </w:rPr>
        <w:t>个别房地产开发商客户存在公开债务违约等负面新闻，本集团按</w:t>
      </w:r>
      <w:r>
        <w:rPr>
          <w:rFonts w:ascii="Times New Roman" w:eastAsia="Times New Roman" w:hAnsi="Times New Roman" w:cs="Times New Roman"/>
          <w:color w:val="000000"/>
          <w:spacing w:val="0"/>
          <w:w w:val="100"/>
          <w:position w:val="0"/>
        </w:rPr>
        <w:t>100%</w:t>
      </w:r>
      <w:r>
        <w:rPr>
          <w:color w:val="000000"/>
          <w:spacing w:val="0"/>
          <w:w w:val="100"/>
          <w:position w:val="0"/>
        </w:rPr>
        <w:t>计提减值准备。</w:t>
      </w:r>
    </w:p>
    <w:p>
      <w:pPr>
        <w:pStyle w:val="Style20"/>
        <w:keepNext w:val="0"/>
        <w:keepLines w:val="0"/>
        <w:widowControl w:val="0"/>
        <w:numPr>
          <w:ilvl w:val="0"/>
          <w:numId w:val="91"/>
        </w:numPr>
        <w:shd w:val="clear" w:color="auto" w:fill="auto"/>
        <w:tabs>
          <w:tab w:pos="413" w:val="left"/>
        </w:tabs>
        <w:bidi w:val="0"/>
        <w:spacing w:before="0" w:after="40" w:line="308" w:lineRule="exact"/>
        <w:ind w:left="0" w:right="0" w:firstLine="0"/>
        <w:jc w:val="left"/>
      </w:pPr>
      <w:bookmarkStart w:id="1167" w:name="bookmark1167"/>
      <w:bookmarkEnd w:id="1167"/>
      <w:r>
        <w:rPr>
          <w:rFonts w:ascii="Times New Roman" w:eastAsia="Times New Roman" w:hAnsi="Times New Roman" w:cs="Times New Roman"/>
          <w:color w:val="000000"/>
          <w:spacing w:val="0"/>
          <w:w w:val="100"/>
          <w:position w:val="0"/>
        </w:rPr>
        <w:t>2021</w:t>
      </w:r>
      <w:r>
        <w:rPr>
          <w:color w:val="000000"/>
          <w:spacing w:val="0"/>
          <w:w w:val="100"/>
          <w:position w:val="0"/>
        </w:rPr>
        <w:t>年按组合计提坏账准备的确认标准及说明：</w:t>
      </w:r>
    </w:p>
    <w:p>
      <w:pPr>
        <w:pStyle w:val="Style20"/>
        <w:keepNext w:val="0"/>
        <w:keepLines w:val="0"/>
        <w:widowControl w:val="0"/>
        <w:shd w:val="clear" w:color="auto" w:fill="auto"/>
        <w:bidi w:val="0"/>
        <w:spacing w:before="0" w:after="380" w:line="308" w:lineRule="exact"/>
        <w:ind w:left="0" w:right="0" w:firstLine="0"/>
        <w:jc w:val="left"/>
      </w:pPr>
      <w:r>
        <w:rPr>
          <w:color w:val="000000"/>
          <w:spacing w:val="0"/>
          <w:w w:val="100"/>
          <w:position w:val="0"/>
        </w:rPr>
        <w:t>本公司始终按照相当于整个存续期内预期信用损失的金额计量应收账款的减值准备，并以逾期天数与违约损失率对照表为 基础计算其预期信用损失。具有类似信用风险特征的组合，本公司基于历史实际信用损失率计算预期信用损失，并考虑历 史数据收集期间的经济状况、当前的经济状况与未来经济状况预测。由于本年房地产行业风险升高，在根据逾期信息计算 减值准备时，本公司将客户群体区分为组合一</w:t>
      </w:r>
      <w:r>
        <w:rPr>
          <w:color w:val="000000"/>
          <w:spacing w:val="0"/>
          <w:w w:val="100"/>
          <w:position w:val="0"/>
        </w:rPr>
        <w:t>(</w:t>
      </w:r>
      <w:r>
        <w:rPr>
          <w:color w:val="000000"/>
          <w:spacing w:val="0"/>
          <w:w w:val="100"/>
          <w:position w:val="0"/>
        </w:rPr>
        <w:t>非房地产客户</w:t>
      </w:r>
      <w:r>
        <w:rPr>
          <w:color w:val="000000"/>
          <w:spacing w:val="0"/>
          <w:w w:val="100"/>
          <w:position w:val="0"/>
        </w:rPr>
        <w:t>)</w:t>
      </w:r>
      <w:r>
        <w:rPr>
          <w:color w:val="000000"/>
          <w:spacing w:val="0"/>
          <w:w w:val="100"/>
          <w:position w:val="0"/>
        </w:rPr>
        <w:t>和组合二</w:t>
      </w:r>
      <w:r>
        <w:rPr>
          <w:color w:val="000000"/>
          <w:spacing w:val="0"/>
          <w:w w:val="100"/>
          <w:position w:val="0"/>
        </w:rPr>
        <w:t>(</w:t>
      </w:r>
      <w:r>
        <w:rPr>
          <w:color w:val="000000"/>
          <w:spacing w:val="0"/>
          <w:w w:val="100"/>
          <w:position w:val="0"/>
        </w:rPr>
        <w:t>房地产客户</w:t>
      </w:r>
      <w:r>
        <w:rPr>
          <w:rFonts w:ascii="Times New Roman" w:eastAsia="Times New Roman" w:hAnsi="Times New Roman" w:cs="Times New Roman"/>
          <w:color w:val="000000"/>
          <w:spacing w:val="0"/>
          <w:w w:val="100"/>
          <w:position w:val="0"/>
        </w:rPr>
        <w:t>)</w:t>
      </w:r>
      <w:r>
        <w:rPr>
          <w:color w:val="000000"/>
          <w:spacing w:val="0"/>
          <w:w w:val="100"/>
          <w:position w:val="0"/>
        </w:rPr>
        <w:t>，分别适用不同的预期信用损失 率。</w:t>
      </w:r>
      <w:r>
        <w:rPr>
          <w:rFonts w:ascii="Times New Roman" w:eastAsia="Times New Roman" w:hAnsi="Times New Roman" w:cs="Times New Roman"/>
          <w:color w:val="000000"/>
          <w:spacing w:val="0"/>
          <w:w w:val="100"/>
          <w:position w:val="0"/>
        </w:rPr>
        <w:t>2020</w:t>
      </w:r>
      <w:r>
        <w:rPr>
          <w:color w:val="000000"/>
          <w:spacing w:val="0"/>
          <w:w w:val="100"/>
          <w:position w:val="0"/>
        </w:rPr>
        <w:t>年仅有一种组合。</w:t>
      </w:r>
    </w:p>
    <w:p>
      <w:pPr>
        <w:pStyle w:val="Style20"/>
        <w:keepNext w:val="0"/>
        <w:keepLines w:val="0"/>
        <w:widowControl w:val="0"/>
        <w:shd w:val="clear" w:color="auto" w:fill="auto"/>
        <w:bidi w:val="0"/>
        <w:spacing w:before="0" w:after="140" w:line="308" w:lineRule="exact"/>
        <w:ind w:left="0" w:right="0" w:firstLine="0"/>
        <w:jc w:val="left"/>
      </w:pPr>
      <w:r>
        <w:rPr>
          <w:color w:val="000000"/>
          <w:spacing w:val="0"/>
          <w:w w:val="100"/>
          <w:position w:val="0"/>
        </w:rPr>
        <w:t>按单项计提坏账准备：一</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1,581,267.95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73,346.55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866,734.00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40,203.15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636,160.09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29,508.06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2,752,150.07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127,657.49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534,790.45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534,790.45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6,371,102.56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805,505.69</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0"/>
        <w:keepNext w:val="0"/>
        <w:keepLines w:val="0"/>
        <w:widowControl w:val="0"/>
        <w:shd w:val="clear" w:color="auto" w:fill="auto"/>
        <w:bidi w:val="0"/>
        <w:spacing w:before="0" w:after="40" w:line="312" w:lineRule="exact"/>
        <w:ind w:left="0" w:right="0" w:firstLine="0"/>
        <w:jc w:val="left"/>
      </w:pPr>
      <w:r>
        <w:rPr>
          <w:color w:val="000000"/>
          <w:spacing w:val="0"/>
          <w:w w:val="100"/>
          <w:position w:val="0"/>
        </w:rPr>
        <w:t>确定该单项计提依据的说明：</w:t>
      </w:r>
    </w:p>
    <w:p>
      <w:pPr>
        <w:pStyle w:val="Style20"/>
        <w:keepNext w:val="0"/>
        <w:keepLines w:val="0"/>
        <w:widowControl w:val="0"/>
        <w:shd w:val="clear" w:color="auto" w:fill="auto"/>
        <w:bidi w:val="0"/>
        <w:spacing w:before="0" w:after="40" w:line="312" w:lineRule="exact"/>
        <w:ind w:left="0" w:right="0" w:firstLine="0"/>
        <w:jc w:val="left"/>
      </w:pPr>
      <w:r>
        <w:rPr>
          <w:color w:val="000000"/>
          <w:spacing w:val="0"/>
          <w:w w:val="100"/>
          <w:position w:val="0"/>
        </w:rPr>
        <w:t>个别政府单位合作项目的请款审批流程较长，考虑到这些政府单位的履约能力良好，结合这些政府单位历史回款情况、未 来</w:t>
      </w:r>
      <w:r>
        <w:rPr>
          <w:rFonts w:ascii="Times New Roman" w:eastAsia="Times New Roman" w:hAnsi="Times New Roman" w:cs="Times New Roman"/>
          <w:color w:val="000000"/>
          <w:spacing w:val="0"/>
          <w:w w:val="100"/>
          <w:position w:val="0"/>
        </w:rPr>
        <w:t>12</w:t>
      </w:r>
      <w:r>
        <w:rPr>
          <w:color w:val="000000"/>
          <w:spacing w:val="0"/>
          <w:w w:val="100"/>
          <w:position w:val="0"/>
        </w:rPr>
        <w:t>个月的回款承诺等因素，本集团按照</w:t>
      </w:r>
      <w:r>
        <w:rPr>
          <w:rFonts w:ascii="Times New Roman" w:eastAsia="Times New Roman" w:hAnsi="Times New Roman" w:cs="Times New Roman"/>
          <w:color w:val="000000"/>
          <w:spacing w:val="0"/>
          <w:w w:val="100"/>
          <w:position w:val="0"/>
        </w:rPr>
        <w:t>5%</w:t>
      </w:r>
      <w:r>
        <w:rPr>
          <w:color w:val="000000"/>
          <w:spacing w:val="0"/>
          <w:w w:val="100"/>
          <w:position w:val="0"/>
        </w:rPr>
        <w:t>对其计算预期信用损失。</w:t>
      </w:r>
    </w:p>
    <w:p>
      <w:pPr>
        <w:pStyle w:val="Style20"/>
        <w:keepNext w:val="0"/>
        <w:keepLines w:val="0"/>
        <w:widowControl w:val="0"/>
        <w:shd w:val="clear" w:color="auto" w:fill="auto"/>
        <w:bidi w:val="0"/>
        <w:spacing w:before="0" w:after="40" w:line="312" w:lineRule="exact"/>
        <w:ind w:left="0" w:right="0" w:firstLine="0"/>
        <w:jc w:val="left"/>
      </w:pPr>
      <w:r>
        <w:rPr>
          <w:color w:val="000000"/>
          <w:spacing w:val="0"/>
          <w:w w:val="100"/>
          <w:position w:val="0"/>
        </w:rPr>
        <w:t>个别房地产开发商客户存在公开债务违约等负面新闻，本集团按</w:t>
      </w:r>
      <w:r>
        <w:rPr>
          <w:rFonts w:ascii="Times New Roman" w:eastAsia="Times New Roman" w:hAnsi="Times New Roman" w:cs="Times New Roman"/>
          <w:color w:val="000000"/>
          <w:spacing w:val="0"/>
          <w:w w:val="100"/>
          <w:position w:val="0"/>
        </w:rPr>
        <w:t>100%</w:t>
      </w:r>
      <w:r>
        <w:rPr>
          <w:color w:val="000000"/>
          <w:spacing w:val="0"/>
          <w:w w:val="100"/>
          <w:position w:val="0"/>
        </w:rPr>
        <w:t>计提减值准备。</w:t>
      </w:r>
      <w:r>
        <w:br w:type="page"/>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按组合计提坏账准备：组合一非房地产客户</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未逾期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100,398,176.42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4,494,775.95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逾期一年以内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146,711,343.56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10,059,692.43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rFonts w:ascii="Times New Roman" w:eastAsia="Times New Roman" w:hAnsi="Times New Roman" w:cs="Times New Roman"/>
                <w:color w:val="000000"/>
                <w:spacing w:val="0"/>
                <w:w w:val="100"/>
                <w:position w:val="0"/>
              </w:rPr>
              <w:t>1</w:t>
            </w:r>
            <w:r>
              <w:rPr>
                <w:color w:val="000000"/>
                <w:spacing w:val="0"/>
                <w:w w:val="100"/>
                <w:position w:val="0"/>
              </w:rPr>
              <w:t>到</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21,920,746.47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3,240,646.08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rFonts w:ascii="Times New Roman" w:eastAsia="Times New Roman" w:hAnsi="Times New Roman" w:cs="Times New Roman"/>
                <w:color w:val="000000"/>
                <w:spacing w:val="0"/>
                <w:w w:val="100"/>
                <w:position w:val="0"/>
              </w:rPr>
              <w:t>2</w:t>
            </w:r>
            <w:r>
              <w:rPr>
                <w:color w:val="000000"/>
                <w:spacing w:val="0"/>
                <w:w w:val="100"/>
                <w:position w:val="0"/>
              </w:rPr>
              <w:t>到</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17,928,907.56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3,830,694.01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rFonts w:ascii="Times New Roman" w:eastAsia="Times New Roman" w:hAnsi="Times New Roman" w:cs="Times New Roman"/>
                <w:color w:val="000000"/>
                <w:spacing w:val="0"/>
                <w:w w:val="100"/>
                <w:position w:val="0"/>
              </w:rPr>
              <w:t>3</w:t>
            </w:r>
            <w:r>
              <w:rPr>
                <w:color w:val="000000"/>
                <w:spacing w:val="0"/>
                <w:w w:val="100"/>
                <w:position w:val="0"/>
              </w:rPr>
              <w:t>到</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12,734,405.67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3,943,450.40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rFonts w:ascii="Times New Roman" w:eastAsia="Times New Roman" w:hAnsi="Times New Roman" w:cs="Times New Roman"/>
                <w:color w:val="000000"/>
                <w:spacing w:val="0"/>
                <w:w w:val="100"/>
                <w:position w:val="0"/>
              </w:rPr>
              <w:t>4</w:t>
            </w:r>
            <w:r>
              <w:rPr>
                <w:color w:val="000000"/>
                <w:spacing w:val="0"/>
                <w:w w:val="100"/>
                <w:position w:val="0"/>
              </w:rPr>
              <w:t>到</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6,804,380.39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3,406,777.37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20,593,556.03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20,593,556.03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327,091,516.10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49,569,592.27</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140" w:firstLine="0"/>
              <w:jc w:val="right"/>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20"/>
        <w:keepNext w:val="0"/>
        <w:keepLines w:val="0"/>
        <w:widowControl w:val="0"/>
        <w:shd w:val="clear" w:color="auto" w:fill="auto"/>
        <w:bidi w:val="0"/>
        <w:spacing w:before="0" w:after="400" w:line="312" w:lineRule="exact"/>
        <w:ind w:left="0" w:right="0" w:firstLine="0"/>
        <w:jc w:val="both"/>
      </w:pPr>
      <w:r>
        <w:rPr>
          <w:color w:val="000000"/>
          <w:spacing w:val="0"/>
          <w:w w:val="100"/>
          <w:position w:val="0"/>
        </w:rPr>
        <w:t>本公司始终按照相当于整个存续期内预期信用损失的金额计量应收账款的减值准备，并以逾期天数与违约损失率对照表为 基础计算其预期信用损失。具有类似信用风险特征的组合，本公司基于历史实际信用损失率计算预期信用损失，并考虑历史 数据收集期间的经济状况、当前的经济状况与未来经济状况预测。由于本年房地产行业风险升高，在根据逾期信息计算减值 准备时，本公司将客户群体区分为组合一</w:t>
      </w:r>
      <w:r>
        <w:rPr>
          <w:color w:val="000000"/>
          <w:spacing w:val="0"/>
          <w:w w:val="100"/>
          <w:position w:val="0"/>
        </w:rPr>
        <w:t>（</w:t>
      </w:r>
      <w:r>
        <w:rPr>
          <w:color w:val="000000"/>
          <w:spacing w:val="0"/>
          <w:w w:val="100"/>
          <w:position w:val="0"/>
        </w:rPr>
        <w:t>非房地产客户</w:t>
      </w:r>
      <w:r>
        <w:rPr>
          <w:color w:val="000000"/>
          <w:spacing w:val="0"/>
          <w:w w:val="100"/>
          <w:position w:val="0"/>
        </w:rPr>
        <w:t>）</w:t>
      </w:r>
      <w:r>
        <w:rPr>
          <w:color w:val="000000"/>
          <w:spacing w:val="0"/>
          <w:w w:val="100"/>
          <w:position w:val="0"/>
        </w:rPr>
        <w:t>和组合二</w:t>
      </w:r>
      <w:r>
        <w:rPr>
          <w:color w:val="000000"/>
          <w:spacing w:val="0"/>
          <w:w w:val="100"/>
          <w:position w:val="0"/>
        </w:rPr>
        <w:t>（</w:t>
      </w:r>
      <w:r>
        <w:rPr>
          <w:color w:val="000000"/>
          <w:spacing w:val="0"/>
          <w:w w:val="100"/>
          <w:position w:val="0"/>
        </w:rPr>
        <w:t>房地产客户</w:t>
      </w:r>
      <w:r>
        <w:rPr>
          <w:rFonts w:ascii="Times New Roman" w:eastAsia="Times New Roman" w:hAnsi="Times New Roman" w:cs="Times New Roman"/>
          <w:color w:val="000000"/>
          <w:spacing w:val="0"/>
          <w:w w:val="100"/>
          <w:position w:val="0"/>
        </w:rPr>
        <w:t>）</w:t>
      </w:r>
      <w:r>
        <w:rPr>
          <w:color w:val="000000"/>
          <w:spacing w:val="0"/>
          <w:w w:val="100"/>
          <w:position w:val="0"/>
        </w:rPr>
        <w:t>，分别适用不同的预期信用损失率。</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年仅有一种组合。</w:t>
      </w:r>
    </w:p>
    <w:p>
      <w:pPr>
        <w:pStyle w:val="Style20"/>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按组合计提坏账准备：组合二房地产客户</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未逾期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12,722,021.69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752,263.87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逾期一年以内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4,376,932.48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422,465.09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rFonts w:ascii="Times New Roman" w:eastAsia="Times New Roman" w:hAnsi="Times New Roman" w:cs="Times New Roman"/>
                <w:color w:val="000000"/>
                <w:spacing w:val="0"/>
                <w:w w:val="100"/>
                <w:position w:val="0"/>
              </w:rPr>
              <w:t>1</w:t>
            </w:r>
            <w:r>
              <w:rPr>
                <w:color w:val="000000"/>
                <w:spacing w:val="0"/>
                <w:w w:val="100"/>
                <w:position w:val="0"/>
              </w:rPr>
              <w:t>到</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1,724,613.36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336,743.99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rFonts w:ascii="Times New Roman" w:eastAsia="Times New Roman" w:hAnsi="Times New Roman" w:cs="Times New Roman"/>
                <w:color w:val="000000"/>
                <w:spacing w:val="0"/>
                <w:w w:val="100"/>
                <w:position w:val="0"/>
              </w:rPr>
              <w:t>2</w:t>
            </w:r>
            <w:r>
              <w:rPr>
                <w:color w:val="000000"/>
                <w:spacing w:val="0"/>
                <w:w w:val="100"/>
                <w:position w:val="0"/>
              </w:rPr>
              <w:t>到</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4,477,615.81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1,263,578.74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rFonts w:ascii="Times New Roman" w:eastAsia="Times New Roman" w:hAnsi="Times New Roman" w:cs="Times New Roman"/>
                <w:color w:val="000000"/>
                <w:spacing w:val="0"/>
                <w:w w:val="100"/>
                <w:position w:val="0"/>
              </w:rPr>
              <w:t>3</w:t>
            </w:r>
            <w:r>
              <w:rPr>
                <w:color w:val="000000"/>
                <w:spacing w:val="0"/>
                <w:w w:val="100"/>
                <w:position w:val="0"/>
              </w:rPr>
              <w:t>到</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860,447.34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351,928.02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rFonts w:ascii="Times New Roman" w:eastAsia="Times New Roman" w:hAnsi="Times New Roman" w:cs="Times New Roman"/>
                <w:color w:val="000000"/>
                <w:spacing w:val="0"/>
                <w:w w:val="100"/>
                <w:position w:val="0"/>
              </w:rPr>
              <w:t>4</w:t>
            </w:r>
            <w:r>
              <w:rPr>
                <w:color w:val="000000"/>
                <w:spacing w:val="0"/>
                <w:w w:val="100"/>
                <w:position w:val="0"/>
              </w:rPr>
              <w:t>到</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378,350.00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250,196.23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4,454,662.37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4,454,662.37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28,994,643.05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7,831,838.31</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140" w:firstLine="0"/>
              <w:jc w:val="right"/>
            </w:pPr>
            <w:r>
              <w:rPr>
                <w:rFonts w:ascii="Times New Roman" w:eastAsia="Times New Roman" w:hAnsi="Times New Roman" w:cs="Times New Roman"/>
                <w:color w:val="000000"/>
                <w:spacing w:val="0"/>
                <w:w w:val="100"/>
                <w:position w:val="0"/>
              </w:rPr>
              <w:t>--</w:t>
            </w:r>
          </w:p>
        </w:tc>
      </w:tr>
    </w:tbl>
    <w:p>
      <w:pPr>
        <w:widowControl w:val="0"/>
        <w:spacing w:after="399" w:line="1" w:lineRule="exact"/>
      </w:pP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bl>
      <w:tblPr>
        <w:tblOverlap w:val="never"/>
        <w:jc w:val="center"/>
        <w:tblLayout w:type="fixed"/>
      </w:tblPr>
      <w:tblGrid>
        <w:gridCol w:w="2414"/>
        <w:gridCol w:w="2410"/>
        <w:gridCol w:w="2390"/>
        <w:gridCol w:w="2438"/>
      </w:tblGrid>
      <w:tr>
        <w:trPr>
          <w:trHeight w:val="44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预期信用损失率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年末账面余额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年末减值准备</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未逾期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206,657,182.47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10,555,884.68</w:t>
            </w:r>
          </w:p>
        </w:tc>
      </w:tr>
    </w:tbl>
    <w:p>
      <w:pPr>
        <w:spacing w:lineRule="exact" w:line="1"/>
        <w:rPr>
          <w:sz w:val="2"/>
          <w:szCs w:val="2"/>
        </w:rPr>
      </w:pPr>
      <w:r>
        <w:br w:type="page"/>
      </w:r>
    </w:p>
    <w:tbl>
      <w:tblPr>
        <w:tblOverlap w:val="never"/>
        <w:jc w:val="center"/>
        <w:tblLayout w:type="fixed"/>
      </w:tblPr>
      <w:tblGrid>
        <w:gridCol w:w="2414"/>
        <w:gridCol w:w="2410"/>
        <w:gridCol w:w="2390"/>
        <w:gridCol w:w="2438"/>
      </w:tblGrid>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逾期一年以内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81,218,052.82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6,097,350.19</w:t>
            </w: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逾期</w:t>
            </w:r>
            <w:r>
              <w:rPr>
                <w:rFonts w:ascii="Times New Roman" w:eastAsia="Times New Roman" w:hAnsi="Times New Roman" w:cs="Times New Roman"/>
                <w:color w:val="000000"/>
                <w:spacing w:val="0"/>
                <w:w w:val="100"/>
                <w:position w:val="0"/>
              </w:rPr>
              <w:t>1</w:t>
            </w:r>
            <w:r>
              <w:rPr>
                <w:color w:val="000000"/>
                <w:spacing w:val="0"/>
                <w:w w:val="100"/>
                <w:position w:val="0"/>
              </w:rPr>
              <w:t>到</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33,511,349.72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4,806,797.51</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逾期</w:t>
            </w:r>
            <w:r>
              <w:rPr>
                <w:rFonts w:ascii="Times New Roman" w:eastAsia="Times New Roman" w:hAnsi="Times New Roman" w:cs="Times New Roman"/>
                <w:color w:val="000000"/>
                <w:spacing w:val="0"/>
                <w:w w:val="100"/>
                <w:position w:val="0"/>
              </w:rPr>
              <w:t>2</w:t>
            </w:r>
            <w:r>
              <w:rPr>
                <w:color w:val="000000"/>
                <w:spacing w:val="0"/>
                <w:w w:val="100"/>
                <w:position w:val="0"/>
              </w:rPr>
              <w:t>到</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16,990,799.68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5,110,646.92</w:t>
            </w: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逾期</w:t>
            </w:r>
            <w:r>
              <w:rPr>
                <w:rFonts w:ascii="Times New Roman" w:eastAsia="Times New Roman" w:hAnsi="Times New Roman" w:cs="Times New Roman"/>
                <w:color w:val="000000"/>
                <w:spacing w:val="0"/>
                <w:w w:val="100"/>
                <w:position w:val="0"/>
              </w:rPr>
              <w:t>3</w:t>
            </w:r>
            <w:r>
              <w:rPr>
                <w:color w:val="000000"/>
                <w:spacing w:val="0"/>
                <w:w w:val="100"/>
                <w:position w:val="0"/>
              </w:rPr>
              <w:t>到</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10,138,298.59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4,208,504.33</w:t>
            </w: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逾期</w:t>
            </w:r>
            <w:r>
              <w:rPr>
                <w:rFonts w:ascii="Times New Roman" w:eastAsia="Times New Roman" w:hAnsi="Times New Roman" w:cs="Times New Roman"/>
                <w:color w:val="000000"/>
                <w:spacing w:val="0"/>
                <w:w w:val="100"/>
                <w:position w:val="0"/>
              </w:rPr>
              <w:t>4</w:t>
            </w:r>
            <w:r>
              <w:rPr>
                <w:color w:val="000000"/>
                <w:spacing w:val="0"/>
                <w:w w:val="100"/>
                <w:position w:val="0"/>
              </w:rPr>
              <w:t>到</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580" w:firstLine="0"/>
              <w:jc w:val="right"/>
            </w:pPr>
            <w:r>
              <w:rPr>
                <w:rFonts w:ascii="Times New Roman" w:eastAsia="Times New Roman" w:hAnsi="Times New Roman" w:cs="Times New Roman"/>
                <w:color w:val="000000"/>
                <w:spacing w:val="0"/>
                <w:w w:val="100"/>
                <w:position w:val="0"/>
              </w:rPr>
              <w:t>5,526,086.65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3,868,013.45</w:t>
            </w:r>
          </w:p>
        </w:tc>
      </w:tr>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逾期</w:t>
            </w: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25,365,494.74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25,365,494.74</w:t>
            </w:r>
          </w:p>
        </w:tc>
      </w:tr>
      <w:tr>
        <w:trPr>
          <w:trHeight w:val="38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580" w:firstLine="0"/>
              <w:jc w:val="right"/>
            </w:pPr>
            <w:r>
              <w:rPr>
                <w:rFonts w:ascii="Times New Roman" w:eastAsia="Times New Roman" w:hAnsi="Times New Roman" w:cs="Times New Roman"/>
                <w:color w:val="000000"/>
                <w:spacing w:val="0"/>
                <w:w w:val="100"/>
                <w:position w:val="0"/>
              </w:rPr>
              <w:t>379,407,264.67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60,012,691.82</w:t>
            </w:r>
          </w:p>
        </w:tc>
      </w:tr>
    </w:tbl>
    <w:p>
      <w:pPr>
        <w:widowControl w:val="0"/>
        <w:spacing w:after="43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0"/>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222"/>
        <w:gridCol w:w="1982"/>
        <w:gridCol w:w="2443"/>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1</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223,960,278.23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261,043,755.76</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年至</w:t>
            </w:r>
            <w:r>
              <w:rPr>
                <w:rFonts w:ascii="Times New Roman" w:eastAsia="Times New Roman" w:hAnsi="Times New Roman" w:cs="Times New Roman"/>
                <w:color w:val="000000"/>
                <w:spacing w:val="0"/>
                <w:w w:val="100"/>
                <w:position w:val="0"/>
              </w:rPr>
              <w:t>2</w:t>
            </w:r>
            <w:r>
              <w:rPr>
                <w:color w:val="000000"/>
                <w:spacing w:val="0"/>
                <w:w w:val="100"/>
                <w:position w:val="0"/>
              </w:rPr>
              <w:t>年</w:t>
            </w:r>
            <w:r>
              <w:rPr>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2</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42,683,597.88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39,766,293.51</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年至</w:t>
            </w:r>
            <w:r>
              <w:rPr>
                <w:rFonts w:ascii="Times New Roman" w:eastAsia="Times New Roman" w:hAnsi="Times New Roman" w:cs="Times New Roman"/>
                <w:color w:val="000000"/>
                <w:spacing w:val="0"/>
                <w:w w:val="100"/>
                <w:position w:val="0"/>
              </w:rPr>
              <w:t>3</w:t>
            </w:r>
            <w:r>
              <w:rPr>
                <w:color w:val="000000"/>
                <w:spacing w:val="0"/>
                <w:w w:val="100"/>
                <w:position w:val="0"/>
              </w:rPr>
              <w:t>年</w:t>
            </w:r>
            <w:r>
              <w:rPr>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3</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29,120,243.75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30,385,039.20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66,693,141.85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57,394,372.38</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362,457,261.71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388,589,460.85</w:t>
            </w:r>
          </w:p>
        </w:tc>
      </w:tr>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58,206,936.27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60,563,623.59</w:t>
            </w:r>
          </w:p>
        </w:tc>
      </w:tr>
      <w:tr>
        <w:trPr>
          <w:trHeight w:val="33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304,250,325.44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328,025,837.26</w:t>
            </w:r>
          </w:p>
        </w:tc>
      </w:tr>
    </w:tbl>
    <w:p>
      <w:pPr>
        <w:widowControl w:val="0"/>
        <w:spacing w:after="659" w:line="1" w:lineRule="exact"/>
      </w:pPr>
    </w:p>
    <w:p>
      <w:pPr>
        <w:pStyle w:val="Style31"/>
        <w:keepNext/>
        <w:keepLines/>
        <w:widowControl w:val="0"/>
        <w:shd w:val="clear" w:color="auto" w:fill="auto"/>
        <w:bidi w:val="0"/>
        <w:spacing w:before="0" w:line="240" w:lineRule="auto"/>
        <w:ind w:left="0" w:right="0" w:firstLine="0"/>
        <w:jc w:val="left"/>
      </w:pPr>
      <w:bookmarkStart w:id="1168" w:name="bookmark1168"/>
      <w:bookmarkStart w:id="1169" w:name="bookmark1169"/>
      <w:bookmarkStart w:id="1170" w:name="bookmark11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68"/>
      <w:bookmarkEnd w:id="1169"/>
      <w:bookmarkEnd w:id="1170"/>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222"/>
        <w:gridCol w:w="1982"/>
        <w:gridCol w:w="2304"/>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原收入准则下的余额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59,798,121.11</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首次执行新收入准则的调整金额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(2,960,796.56)</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调整后的年初余额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60,563,623.59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56,837,324.55</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本年计提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22,029,846.94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8,042,493.05</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本年收回或转回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24,386,534.26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4,316,194.01</w:t>
            </w:r>
          </w:p>
        </w:tc>
      </w:tr>
      <w:tr>
        <w:trPr>
          <w:trHeight w:val="33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年末余额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58,206,936.27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60,563,623.59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其中本期坏账准备收回或转回金额重要的：无</w:t>
      </w:r>
    </w:p>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171" w:name="bookmark1171"/>
      <w:bookmarkStart w:id="1172" w:name="bookmark1172"/>
      <w:bookmarkStart w:id="1173" w:name="bookmark1173"/>
      <w:bookmarkStart w:id="1174" w:name="bookmark1174"/>
      <w:r>
        <w:rPr>
          <w:color w:val="000000"/>
          <w:spacing w:val="0"/>
          <w:w w:val="100"/>
          <w:position w:val="0"/>
        </w:rPr>
        <w:t>（</w:t>
      </w:r>
      <w:bookmarkEnd w:id="1173"/>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71"/>
      <w:bookmarkEnd w:id="1172"/>
      <w:bookmarkEnd w:id="1174"/>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r>
        <w:br w:type="page"/>
      </w:r>
    </w:p>
    <w:p>
      <w:pPr>
        <w:pStyle w:val="Style31"/>
        <w:keepNext/>
        <w:keepLines/>
        <w:widowControl w:val="0"/>
        <w:numPr>
          <w:ilvl w:val="0"/>
          <w:numId w:val="93"/>
        </w:numPr>
        <w:shd w:val="clear" w:color="auto" w:fill="auto"/>
        <w:bidi w:val="0"/>
        <w:spacing w:before="0" w:after="380" w:line="240" w:lineRule="auto"/>
        <w:ind w:left="0" w:right="0" w:firstLine="0"/>
        <w:jc w:val="left"/>
      </w:pPr>
      <w:bookmarkStart w:id="1175" w:name="bookmark1175"/>
      <w:bookmarkStart w:id="1176" w:name="bookmark1176"/>
      <w:bookmarkStart w:id="1177" w:name="bookmark1177"/>
      <w:bookmarkStart w:id="1178" w:name="bookmark1178"/>
      <w:bookmarkEnd w:id="1177"/>
      <w:r>
        <w:rPr>
          <w:color w:val="000000"/>
          <w:spacing w:val="0"/>
          <w:w w:val="100"/>
          <w:position w:val="0"/>
        </w:rPr>
        <w:t>按欠款方归集的期末余额前五名的应收账款情况</w:t>
      </w:r>
      <w:bookmarkEnd w:id="1175"/>
      <w:bookmarkEnd w:id="1176"/>
      <w:bookmarkEnd w:id="117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105,520,903.13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6,975,268.65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15,804,073.85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886,001.97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12,728,290.07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3,306,369.96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8,456,060.98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580,270.57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7,440,947.50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623,747.64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149,950,275.53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2</w:t>
      </w:r>
      <w:r>
        <w:rPr>
          <w:color w:val="000000"/>
          <w:spacing w:val="0"/>
          <w:w w:val="100"/>
          <w:position w:val="0"/>
        </w:rPr>
        <w:t>、应收款项融资</w:t>
      </w:r>
      <w:bookmarkEnd w:id="1179"/>
      <w:bookmarkEnd w:id="1180"/>
      <w:bookmarkEnd w:id="1181"/>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本公司应收款项融资情况:</w:t>
      </w:r>
    </w:p>
    <w:tbl>
      <w:tblPr>
        <w:tblOverlap w:val="never"/>
        <w:jc w:val="center"/>
        <w:tblLayout w:type="fixed"/>
      </w:tblPr>
      <w:tblGrid>
        <w:gridCol w:w="5218"/>
        <w:gridCol w:w="1987"/>
        <w:gridCol w:w="2414"/>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应收票据-银行承兑汇票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 xml:space="preserve">2, </w:t>
            </w:r>
            <w:r>
              <w:rPr>
                <w:color w:val="000000"/>
                <w:spacing w:val="0"/>
                <w:w w:val="100"/>
                <w:position w:val="0"/>
                <w:sz w:val="18"/>
                <w:szCs w:val="18"/>
              </w:rPr>
              <w:t>665,518.80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_</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应收款项融资为资产负债表日以公允价值计量且其变动计入其他综合收益的应收票据。</w:t>
      </w:r>
    </w:p>
    <w:p>
      <w:pPr>
        <w:pStyle w:val="Style31"/>
        <w:keepNext/>
        <w:keepLines/>
        <w:widowControl w:val="0"/>
        <w:shd w:val="clear" w:color="auto" w:fill="auto"/>
        <w:bidi w:val="0"/>
        <w:spacing w:before="0" w:after="38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3</w:t>
      </w:r>
      <w:bookmarkEnd w:id="1184"/>
      <w:r>
        <w:rPr>
          <w:color w:val="000000"/>
          <w:spacing w:val="0"/>
          <w:w w:val="100"/>
          <w:position w:val="0"/>
        </w:rPr>
        <w:t>、其他应收款</w:t>
      </w:r>
      <w:bookmarkEnd w:id="1182"/>
      <w:bookmarkEnd w:id="1183"/>
      <w:bookmarkEnd w:id="1185"/>
    </w:p>
    <w:p>
      <w:pPr>
        <w:pStyle w:val="Style20"/>
        <w:keepNext w:val="0"/>
        <w:keepLines w:val="0"/>
        <w:widowControl w:val="0"/>
        <w:numPr>
          <w:ilvl w:val="0"/>
          <w:numId w:val="95"/>
        </w:numPr>
        <w:shd w:val="clear" w:color="auto" w:fill="auto"/>
        <w:bidi w:val="0"/>
        <w:spacing w:before="0" w:after="80" w:line="240" w:lineRule="auto"/>
        <w:ind w:left="0" w:right="0" w:firstLine="0"/>
        <w:jc w:val="left"/>
      </w:pPr>
      <w:bookmarkStart w:id="1186" w:name="bookmark1186"/>
      <w:bookmarkEnd w:id="1186"/>
      <w:r>
        <w:rPr>
          <w:color w:val="000000"/>
          <w:spacing w:val="0"/>
          <w:w w:val="100"/>
          <w:position w:val="0"/>
        </w:rPr>
        <w:t>按客户类别分析如下：</w:t>
      </w:r>
    </w:p>
    <w:tbl>
      <w:tblPr>
        <w:tblOverlap w:val="never"/>
        <w:jc w:val="center"/>
        <w:tblLayout w:type="fixed"/>
      </w:tblPr>
      <w:tblGrid>
        <w:gridCol w:w="5218"/>
        <w:gridCol w:w="1987"/>
        <w:gridCol w:w="1992"/>
      </w:tblGrid>
      <w:tr>
        <w:trPr>
          <w:trHeight w:val="37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2021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2020 </w:t>
            </w:r>
            <w:r>
              <w:rPr>
                <w:color w:val="000000"/>
                <w:spacing w:val="0"/>
                <w:w w:val="100"/>
                <w:position w:val="0"/>
              </w:rPr>
              <w:t>年</w:t>
            </w:r>
          </w:p>
        </w:tc>
      </w:tr>
      <w:tr>
        <w:trPr>
          <w:trHeight w:val="38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10, 534, </w:t>
            </w:r>
            <w:r>
              <w:rPr>
                <w:color w:val="000000"/>
                <w:spacing w:val="0"/>
                <w:w w:val="100"/>
                <w:position w:val="0"/>
                <w:sz w:val="18"/>
                <w:szCs w:val="18"/>
              </w:rPr>
              <w:t xml:space="preserve">486. </w:t>
            </w: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sz w:val="18"/>
                <w:szCs w:val="18"/>
              </w:rPr>
              <w:t xml:space="preserve">6, </w:t>
            </w:r>
            <w:r>
              <w:rPr>
                <w:color w:val="000000"/>
                <w:spacing w:val="0"/>
                <w:w w:val="100"/>
                <w:position w:val="0"/>
                <w:sz w:val="18"/>
                <w:szCs w:val="18"/>
              </w:rPr>
              <w:t xml:space="preserve">791,324. </w:t>
            </w:r>
            <w:r>
              <w:rPr>
                <w:color w:val="000000"/>
                <w:spacing w:val="0"/>
                <w:w w:val="100"/>
                <w:position w:val="0"/>
                <w:sz w:val="18"/>
                <w:szCs w:val="18"/>
              </w:rPr>
              <w:t>45</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应收第三方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sz w:val="18"/>
                <w:szCs w:val="18"/>
              </w:rPr>
              <w:t xml:space="preserve">5, 689, </w:t>
            </w:r>
            <w:r>
              <w:rPr>
                <w:color w:val="000000"/>
                <w:spacing w:val="0"/>
                <w:w w:val="100"/>
                <w:position w:val="0"/>
                <w:sz w:val="18"/>
                <w:szCs w:val="18"/>
              </w:rPr>
              <w:t xml:space="preserve">806. </w:t>
            </w:r>
            <w:r>
              <w:rPr>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sz w:val="18"/>
                <w:szCs w:val="18"/>
              </w:rPr>
              <w:t xml:space="preserve">6, 932, </w:t>
            </w:r>
            <w:r>
              <w:rPr>
                <w:color w:val="000000"/>
                <w:spacing w:val="0"/>
                <w:w w:val="100"/>
                <w:position w:val="0"/>
                <w:sz w:val="18"/>
                <w:szCs w:val="18"/>
              </w:rPr>
              <w:t xml:space="preserve">558. </w:t>
            </w:r>
            <w:r>
              <w:rPr>
                <w:color w:val="000000"/>
                <w:spacing w:val="0"/>
                <w:w w:val="100"/>
                <w:position w:val="0"/>
                <w:sz w:val="18"/>
                <w:szCs w:val="18"/>
              </w:rPr>
              <w:t>35</w:t>
            </w:r>
          </w:p>
        </w:tc>
      </w:tr>
      <w:tr>
        <w:trPr>
          <w:trHeight w:val="38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16, 224, </w:t>
            </w:r>
            <w:r>
              <w:rPr>
                <w:color w:val="000000"/>
                <w:spacing w:val="0"/>
                <w:w w:val="100"/>
                <w:position w:val="0"/>
                <w:sz w:val="18"/>
                <w:szCs w:val="18"/>
              </w:rPr>
              <w:t>292.60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13, 723, </w:t>
            </w:r>
            <w:r>
              <w:rPr>
                <w:color w:val="000000"/>
                <w:spacing w:val="0"/>
                <w:w w:val="100"/>
                <w:position w:val="0"/>
                <w:sz w:val="18"/>
                <w:szCs w:val="18"/>
              </w:rPr>
              <w:t xml:space="preserve">882. </w:t>
            </w:r>
            <w:r>
              <w:rPr>
                <w:color w:val="000000"/>
                <w:spacing w:val="0"/>
                <w:w w:val="100"/>
                <w:position w:val="0"/>
                <w:sz w:val="18"/>
                <w:szCs w:val="18"/>
              </w:rPr>
              <w:t>80</w:t>
            </w: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1,159, </w:t>
            </w:r>
            <w:r>
              <w:rPr>
                <w:color w:val="000000"/>
                <w:spacing w:val="0"/>
                <w:w w:val="100"/>
                <w:position w:val="0"/>
                <w:sz w:val="18"/>
                <w:szCs w:val="18"/>
              </w:rPr>
              <w:t xml:space="preserve">580. </w:t>
            </w:r>
            <w:r>
              <w:rPr>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sz w:val="18"/>
                <w:szCs w:val="18"/>
              </w:rPr>
              <w:t>1,441,252.26</w:t>
            </w:r>
          </w:p>
        </w:tc>
      </w:tr>
      <w:tr>
        <w:trPr>
          <w:trHeight w:val="39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15, 064, </w:t>
            </w:r>
            <w:r>
              <w:rPr>
                <w:color w:val="000000"/>
                <w:spacing w:val="0"/>
                <w:w w:val="100"/>
                <w:position w:val="0"/>
                <w:sz w:val="18"/>
                <w:szCs w:val="18"/>
              </w:rPr>
              <w:t xml:space="preserve">712. </w:t>
            </w:r>
            <w:r>
              <w:rPr>
                <w:color w:val="000000"/>
                <w:spacing w:val="0"/>
                <w:w w:val="100"/>
                <w:position w:val="0"/>
                <w:sz w:val="18"/>
                <w:szCs w:val="18"/>
              </w:rPr>
              <w:t>43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12, 282, </w:t>
            </w:r>
            <w:r>
              <w:rPr>
                <w:color w:val="000000"/>
                <w:spacing w:val="0"/>
                <w:w w:val="100"/>
                <w:position w:val="0"/>
                <w:sz w:val="18"/>
                <w:szCs w:val="18"/>
              </w:rPr>
              <w:t xml:space="preserve">630. </w:t>
            </w:r>
            <w:r>
              <w:rPr>
                <w:color w:val="000000"/>
                <w:spacing w:val="0"/>
                <w:w w:val="100"/>
                <w:position w:val="0"/>
                <w:sz w:val="18"/>
                <w:szCs w:val="18"/>
              </w:rPr>
              <w:t>54</w:t>
            </w:r>
          </w:p>
        </w:tc>
      </w:tr>
    </w:tbl>
    <w:p>
      <w:pPr>
        <w:widowControl w:val="0"/>
        <w:spacing w:after="379"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按账龄分析如下:</w:t>
      </w:r>
    </w:p>
    <w:tbl>
      <w:tblPr>
        <w:tblOverlap w:val="never"/>
        <w:jc w:val="center"/>
        <w:tblLayout w:type="fixed"/>
      </w:tblPr>
      <w:tblGrid>
        <w:gridCol w:w="5218"/>
        <w:gridCol w:w="1987"/>
        <w:gridCol w:w="1992"/>
      </w:tblGrid>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2021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2020 </w:t>
            </w:r>
            <w:r>
              <w:rPr>
                <w:color w:val="000000"/>
                <w:spacing w:val="0"/>
                <w:w w:val="100"/>
                <w:position w:val="0"/>
              </w:rPr>
              <w:t>年</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11,214, </w:t>
            </w:r>
            <w:r>
              <w:rPr>
                <w:color w:val="000000"/>
                <w:spacing w:val="0"/>
                <w:w w:val="100"/>
                <w:position w:val="0"/>
                <w:sz w:val="18"/>
                <w:szCs w:val="18"/>
              </w:rPr>
              <w:t xml:space="preserve">104. </w:t>
            </w: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sz w:val="18"/>
                <w:szCs w:val="18"/>
              </w:rPr>
              <w:t>8,311,078.28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w:t>
            </w:r>
            <w:r>
              <w:rPr>
                <w:color w:val="000000"/>
                <w:spacing w:val="0"/>
                <w:w w:val="100"/>
                <w:position w:val="0"/>
              </w:rPr>
              <w:t>年至</w:t>
            </w:r>
            <w:r>
              <w:rPr>
                <w:color w:val="000000"/>
                <w:spacing w:val="0"/>
                <w:w w:val="100"/>
                <w:position w:val="0"/>
                <w:sz w:val="18"/>
                <w:szCs w:val="18"/>
              </w:rPr>
              <w:t>2</w:t>
            </w:r>
            <w:r>
              <w:rPr>
                <w:color w:val="000000"/>
                <w:spacing w:val="0"/>
                <w:w w:val="100"/>
                <w:position w:val="0"/>
              </w:rPr>
              <w:t>年(含</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986,219. </w:t>
            </w:r>
            <w:r>
              <w:rPr>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sz w:val="18"/>
                <w:szCs w:val="18"/>
              </w:rPr>
              <w:t xml:space="preserve">4, 287, </w:t>
            </w:r>
            <w:r>
              <w:rPr>
                <w:color w:val="000000"/>
                <w:spacing w:val="0"/>
                <w:w w:val="100"/>
                <w:position w:val="0"/>
                <w:sz w:val="18"/>
                <w:szCs w:val="18"/>
              </w:rPr>
              <w:t xml:space="preserve">642. </w:t>
            </w:r>
            <w:r>
              <w:rPr>
                <w:color w:val="000000"/>
                <w:spacing w:val="0"/>
                <w:w w:val="100"/>
                <w:position w:val="0"/>
                <w:sz w:val="18"/>
                <w:szCs w:val="18"/>
              </w:rPr>
              <w:t>32</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w:t>
            </w:r>
            <w:r>
              <w:rPr>
                <w:color w:val="000000"/>
                <w:spacing w:val="0"/>
                <w:w w:val="100"/>
                <w:position w:val="0"/>
              </w:rPr>
              <w:t>年至</w:t>
            </w:r>
            <w:r>
              <w:rPr>
                <w:color w:val="000000"/>
                <w:spacing w:val="0"/>
                <w:w w:val="100"/>
                <w:position w:val="0"/>
                <w:sz w:val="18"/>
                <w:szCs w:val="18"/>
              </w:rPr>
              <w:t>3</w:t>
            </w:r>
            <w:r>
              <w:rPr>
                <w:color w:val="000000"/>
                <w:spacing w:val="0"/>
                <w:w w:val="100"/>
                <w:position w:val="0"/>
              </w:rPr>
              <w:t>年(含</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3, 002, </w:t>
            </w:r>
            <w:r>
              <w:rPr>
                <w:color w:val="000000"/>
                <w:spacing w:val="0"/>
                <w:w w:val="100"/>
                <w:position w:val="0"/>
                <w:sz w:val="18"/>
                <w:szCs w:val="18"/>
              </w:rPr>
              <w:t xml:space="preserve">649. </w:t>
            </w:r>
            <w:r>
              <w:rPr>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 xml:space="preserve">207, </w:t>
            </w:r>
            <w:r>
              <w:rPr>
                <w:color w:val="000000"/>
                <w:spacing w:val="0"/>
                <w:w w:val="100"/>
                <w:position w:val="0"/>
                <w:sz w:val="18"/>
                <w:szCs w:val="18"/>
              </w:rPr>
              <w:t xml:space="preserve">880. </w:t>
            </w:r>
            <w:r>
              <w:rPr>
                <w:color w:val="000000"/>
                <w:spacing w:val="0"/>
                <w:w w:val="100"/>
                <w:position w:val="0"/>
                <w:sz w:val="18"/>
                <w:szCs w:val="18"/>
              </w:rPr>
              <w:t>00</w:t>
            </w:r>
          </w:p>
        </w:tc>
      </w:tr>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1,021,319.31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917, </w:t>
            </w:r>
            <w:r>
              <w:rPr>
                <w:color w:val="000000"/>
                <w:spacing w:val="0"/>
                <w:w w:val="100"/>
                <w:position w:val="0"/>
                <w:sz w:val="18"/>
                <w:szCs w:val="18"/>
              </w:rPr>
              <w:t>282.20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16, 224, </w:t>
            </w:r>
            <w:r>
              <w:rPr>
                <w:color w:val="000000"/>
                <w:spacing w:val="0"/>
                <w:w w:val="100"/>
                <w:position w:val="0"/>
                <w:sz w:val="18"/>
                <w:szCs w:val="18"/>
              </w:rPr>
              <w:t>292.60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13, 723, </w:t>
            </w:r>
            <w:r>
              <w:rPr>
                <w:color w:val="000000"/>
                <w:spacing w:val="0"/>
                <w:w w:val="100"/>
                <w:position w:val="0"/>
                <w:sz w:val="18"/>
                <w:szCs w:val="18"/>
              </w:rPr>
              <w:t xml:space="preserve">882. </w:t>
            </w:r>
            <w:r>
              <w:rPr>
                <w:color w:val="000000"/>
                <w:spacing w:val="0"/>
                <w:w w:val="100"/>
                <w:position w:val="0"/>
                <w:sz w:val="18"/>
                <w:szCs w:val="18"/>
              </w:rPr>
              <w:t>80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sz w:val="18"/>
                <w:szCs w:val="18"/>
              </w:rPr>
              <w:t xml:space="preserve">1, 159, </w:t>
            </w:r>
            <w:r>
              <w:rPr>
                <w:color w:val="000000"/>
                <w:spacing w:val="0"/>
                <w:w w:val="100"/>
                <w:position w:val="0"/>
                <w:sz w:val="18"/>
                <w:szCs w:val="18"/>
              </w:rPr>
              <w:t xml:space="preserve">580. </w:t>
            </w:r>
            <w:r>
              <w:rPr>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sz w:val="18"/>
                <w:szCs w:val="18"/>
              </w:rPr>
              <w:t>1,441,252.26</w:t>
            </w:r>
          </w:p>
        </w:tc>
      </w:tr>
      <w:tr>
        <w:trPr>
          <w:trHeight w:val="38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15, 064, </w:t>
            </w:r>
            <w:r>
              <w:rPr>
                <w:color w:val="000000"/>
                <w:spacing w:val="0"/>
                <w:w w:val="100"/>
                <w:position w:val="0"/>
                <w:sz w:val="18"/>
                <w:szCs w:val="18"/>
              </w:rPr>
              <w:t xml:space="preserve">712. </w:t>
            </w:r>
            <w:r>
              <w:rPr>
                <w:color w:val="000000"/>
                <w:spacing w:val="0"/>
                <w:w w:val="100"/>
                <w:position w:val="0"/>
                <w:sz w:val="18"/>
                <w:szCs w:val="18"/>
              </w:rPr>
              <w:t>43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12, 282, </w:t>
            </w:r>
            <w:r>
              <w:rPr>
                <w:color w:val="000000"/>
                <w:spacing w:val="0"/>
                <w:w w:val="100"/>
                <w:position w:val="0"/>
                <w:sz w:val="18"/>
                <w:szCs w:val="18"/>
              </w:rPr>
              <w:t xml:space="preserve">630. </w:t>
            </w:r>
            <w:r>
              <w:rPr>
                <w:color w:val="000000"/>
                <w:spacing w:val="0"/>
                <w:w w:val="100"/>
                <w:position w:val="0"/>
                <w:sz w:val="18"/>
                <w:szCs w:val="18"/>
              </w:rPr>
              <w:t>54</w:t>
            </w:r>
          </w:p>
        </w:tc>
      </w:tr>
    </w:tbl>
    <w:p>
      <w:pPr>
        <w:spacing w:lineRule="exact" w:line="1"/>
        <w:rPr>
          <w:sz w:val="2"/>
          <w:szCs w:val="2"/>
        </w:rPr>
      </w:pPr>
      <w:r>
        <w:br w:type="page"/>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坏账准备的变动情况</w:t>
      </w:r>
    </w:p>
    <w:tbl>
      <w:tblPr>
        <w:tblOverlap w:val="never"/>
        <w:jc w:val="center"/>
        <w:tblLayout w:type="fixed"/>
      </w:tblPr>
      <w:tblGrid>
        <w:gridCol w:w="1306"/>
        <w:gridCol w:w="341"/>
        <w:gridCol w:w="936"/>
        <w:gridCol w:w="936"/>
        <w:gridCol w:w="936"/>
        <w:gridCol w:w="931"/>
        <w:gridCol w:w="936"/>
        <w:gridCol w:w="936"/>
        <w:gridCol w:w="936"/>
        <w:gridCol w:w="946"/>
      </w:tblGrid>
      <w:tr>
        <w:trPr>
          <w:trHeight w:val="312"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2021 </w:t>
            </w:r>
            <w:r>
              <w:rPr>
                <w:color w:val="000000"/>
                <w:spacing w:val="0"/>
                <w:w w:val="100"/>
                <w:position w:val="0"/>
              </w:rPr>
              <w:t>年</w:t>
            </w:r>
          </w:p>
        </w:tc>
        <w:tc>
          <w:tcPr>
            <w:gridSpan w:val="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年</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第三阶段</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第二阶段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合计</w:t>
            </w:r>
          </w:p>
        </w:tc>
      </w:tr>
      <w:tr>
        <w:trPr>
          <w:trHeight w:val="15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未来</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12</w:t>
            </w:r>
            <w:r>
              <w:rPr>
                <w:color w:val="000000"/>
                <w:spacing w:val="0"/>
                <w:w w:val="100"/>
                <w:position w:val="0"/>
              </w:rPr>
              <w:t>个月</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预期信用</w:t>
            </w:r>
          </w:p>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1" w:lineRule="exact"/>
              <w:ind w:left="0" w:right="0" w:firstLine="0"/>
              <w:jc w:val="right"/>
            </w:pPr>
            <w:r>
              <w:rPr>
                <w:color w:val="000000"/>
                <w:spacing w:val="0"/>
                <w:w w:val="100"/>
                <w:position w:val="0"/>
              </w:rPr>
              <w:t>整个存续 期 预期信用 损失 - 未 发生 信用减值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2" w:lineRule="exact"/>
              <w:ind w:left="0" w:right="0" w:firstLine="0"/>
              <w:jc w:val="right"/>
            </w:pPr>
            <w:r>
              <w:rPr>
                <w:color w:val="000000"/>
                <w:spacing w:val="0"/>
                <w:w w:val="100"/>
                <w:position w:val="0"/>
              </w:rPr>
              <w:t>整个存续 期 预期信用 损失-已 发生 信用减值</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16" w:lineRule="exact"/>
              <w:ind w:left="0" w:right="0" w:firstLine="0"/>
              <w:jc w:val="right"/>
            </w:pPr>
            <w:r>
              <w:rPr>
                <w:color w:val="000000"/>
                <w:spacing w:val="0"/>
                <w:w w:val="100"/>
                <w:position w:val="0"/>
              </w:rPr>
              <w:t>未来</w:t>
            </w:r>
          </w:p>
          <w:p>
            <w:pPr>
              <w:pStyle w:val="Style23"/>
              <w:keepNext w:val="0"/>
              <w:keepLines w:val="0"/>
              <w:widowControl w:val="0"/>
              <w:shd w:val="clear" w:color="auto" w:fill="auto"/>
              <w:bidi w:val="0"/>
              <w:spacing w:before="0" w:after="40" w:line="216" w:lineRule="exact"/>
              <w:ind w:left="0" w:right="0" w:firstLine="0"/>
              <w:jc w:val="right"/>
            </w:pPr>
            <w:r>
              <w:rPr>
                <w:color w:val="000000"/>
                <w:spacing w:val="0"/>
                <w:w w:val="100"/>
                <w:position w:val="0"/>
                <w:sz w:val="18"/>
                <w:szCs w:val="18"/>
              </w:rPr>
              <w:t>12</w:t>
            </w:r>
            <w:r>
              <w:rPr>
                <w:color w:val="000000"/>
                <w:spacing w:val="0"/>
                <w:w w:val="100"/>
                <w:position w:val="0"/>
              </w:rPr>
              <w:t>个月 预期信用</w:t>
            </w:r>
          </w:p>
          <w:p>
            <w:pPr>
              <w:pStyle w:val="Style23"/>
              <w:keepNext w:val="0"/>
              <w:keepLines w:val="0"/>
              <w:widowControl w:val="0"/>
              <w:shd w:val="clear" w:color="auto" w:fill="auto"/>
              <w:bidi w:val="0"/>
              <w:spacing w:before="0" w:after="40" w:line="216" w:lineRule="exact"/>
              <w:ind w:left="0" w:right="0" w:firstLine="0"/>
              <w:jc w:val="right"/>
            </w:pPr>
            <w:r>
              <w:rPr>
                <w:color w:val="000000"/>
                <w:spacing w:val="0"/>
                <w:w w:val="100"/>
                <w:position w:val="0"/>
              </w:rPr>
              <w:t>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2" w:lineRule="exact"/>
              <w:ind w:left="0" w:right="0" w:firstLine="0"/>
              <w:jc w:val="right"/>
            </w:pPr>
            <w:r>
              <w:rPr>
                <w:color w:val="000000"/>
                <w:spacing w:val="0"/>
                <w:w w:val="100"/>
                <w:position w:val="0"/>
              </w:rPr>
              <w:t>整个存续 期 预期信用 损失 - 未 发生 信用减值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2" w:lineRule="exact"/>
              <w:ind w:left="0" w:right="0" w:firstLine="0"/>
              <w:jc w:val="right"/>
            </w:pPr>
            <w:r>
              <w:rPr>
                <w:color w:val="000000"/>
                <w:spacing w:val="0"/>
                <w:w w:val="100"/>
                <w:position w:val="0"/>
              </w:rPr>
              <w:t>整个存续 期 预期信用 损失-已 发生 信用减值</w:t>
            </w:r>
          </w:p>
        </w:tc>
        <w:tc>
          <w:tcPr>
            <w:vMerge/>
            <w:tcBorders>
              <w:left w:val="single" w:sz="4"/>
              <w:right w:val="single" w:sz="4"/>
            </w:tcBorders>
            <w:shd w:val="clear" w:color="auto" w:fill="FFFFFF"/>
            <w:vAlign w:val="center"/>
          </w:tcPr>
          <w:p>
            <w:pPr/>
          </w:p>
        </w:tc>
      </w:tr>
      <w:tr>
        <w:trPr>
          <w:trHeight w:val="30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 xml:space="preserve">580, </w:t>
            </w:r>
            <w:r>
              <w:rPr>
                <w:color w:val="000000"/>
                <w:spacing w:val="0"/>
                <w:w w:val="100"/>
                <w:position w:val="0"/>
                <w:sz w:val="15"/>
                <w:szCs w:val="15"/>
              </w:rPr>
              <w:t xml:space="preserve">725. </w:t>
            </w:r>
            <w:r>
              <w:rPr>
                <w:color w:val="000000"/>
                <w:spacing w:val="0"/>
                <w:w w:val="100"/>
                <w:position w:val="0"/>
                <w:sz w:val="15"/>
                <w:szCs w:val="15"/>
              </w:rPr>
              <w:t>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 xml:space="preserve">860, </w:t>
            </w:r>
            <w:r>
              <w:rPr>
                <w:color w:val="000000"/>
                <w:spacing w:val="0"/>
                <w:w w:val="100"/>
                <w:position w:val="0"/>
                <w:sz w:val="15"/>
                <w:szCs w:val="15"/>
              </w:rPr>
              <w:t xml:space="preserve">526. </w:t>
            </w:r>
            <w:r>
              <w:rPr>
                <w:color w:val="000000"/>
                <w:spacing w:val="0"/>
                <w:w w:val="100"/>
                <w:position w:val="0"/>
                <w:sz w:val="15"/>
                <w:szCs w:val="15"/>
              </w:rPr>
              <w:t>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1,441,252. </w:t>
            </w:r>
            <w:r>
              <w:rPr>
                <w:color w:val="000000"/>
                <w:spacing w:val="0"/>
                <w:w w:val="100"/>
                <w:position w:val="0"/>
                <w:sz w:val="15"/>
                <w:szCs w:val="15"/>
              </w:rPr>
              <w:t>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263,130. </w:t>
            </w:r>
            <w:r>
              <w:rPr>
                <w:color w:val="000000"/>
                <w:spacing w:val="0"/>
                <w:w w:val="100"/>
                <w:position w:val="0"/>
                <w:sz w:val="15"/>
                <w:szCs w:val="15"/>
              </w:rPr>
              <w:t>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 xml:space="preserve">657, </w:t>
            </w:r>
            <w:r>
              <w:rPr>
                <w:color w:val="000000"/>
                <w:spacing w:val="0"/>
                <w:w w:val="100"/>
                <w:position w:val="0"/>
                <w:sz w:val="15"/>
                <w:szCs w:val="15"/>
              </w:rPr>
              <w:t xml:space="preserve">909. </w:t>
            </w:r>
            <w:r>
              <w:rPr>
                <w:color w:val="000000"/>
                <w:spacing w:val="0"/>
                <w:w w:val="100"/>
                <w:position w:val="0"/>
                <w:sz w:val="15"/>
                <w:szCs w:val="15"/>
              </w:rPr>
              <w:t>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 xml:space="preserve">921, </w:t>
            </w:r>
            <w:r>
              <w:rPr>
                <w:color w:val="000000"/>
                <w:spacing w:val="0"/>
                <w:w w:val="100"/>
                <w:position w:val="0"/>
                <w:sz w:val="15"/>
                <w:szCs w:val="15"/>
              </w:rPr>
              <w:t xml:space="preserve">040. </w:t>
            </w:r>
            <w:r>
              <w:rPr>
                <w:color w:val="000000"/>
                <w:spacing w:val="0"/>
                <w:w w:val="100"/>
                <w:position w:val="0"/>
                <w:sz w:val="15"/>
                <w:szCs w:val="15"/>
              </w:rPr>
              <w:t>29</w:t>
            </w:r>
          </w:p>
        </w:tc>
      </w:tr>
      <w:tr>
        <w:trPr>
          <w:trHeight w:val="52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1" w:lineRule="exact"/>
              <w:ind w:left="300" w:right="0" w:hanging="160"/>
              <w:jc w:val="left"/>
            </w:pPr>
            <w:r>
              <w:rPr>
                <w:color w:val="000000"/>
                <w:spacing w:val="0"/>
                <w:w w:val="100"/>
                <w:position w:val="0"/>
              </w:rPr>
              <w:t>转入第二阶 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 xml:space="preserve">(44, </w:t>
            </w:r>
            <w:r>
              <w:rPr>
                <w:color w:val="000000"/>
                <w:spacing w:val="0"/>
                <w:w w:val="100"/>
                <w:position w:val="0"/>
                <w:sz w:val="15"/>
                <w:szCs w:val="15"/>
              </w:rPr>
              <w:t xml:space="preserve">364.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 xml:space="preserve">44, </w:t>
            </w:r>
            <w:r>
              <w:rPr>
                <w:color w:val="000000"/>
                <w:spacing w:val="0"/>
                <w:w w:val="100"/>
                <w:position w:val="0"/>
                <w:sz w:val="15"/>
                <w:szCs w:val="15"/>
              </w:rPr>
              <w:t xml:space="preserve">364.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(128, </w:t>
            </w:r>
            <w:r>
              <w:rPr>
                <w:color w:val="000000"/>
                <w:spacing w:val="0"/>
                <w:w w:val="100"/>
                <w:position w:val="0"/>
                <w:sz w:val="15"/>
                <w:szCs w:val="15"/>
              </w:rPr>
              <w:t xml:space="preserve">859. </w:t>
            </w:r>
            <w:r>
              <w:rPr>
                <w:color w:val="000000"/>
                <w:spacing w:val="0"/>
                <w:w w:val="100"/>
                <w:position w:val="0"/>
                <w:sz w:val="15"/>
                <w:szCs w:val="15"/>
              </w:rPr>
              <w:t>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 xml:space="preserve">128, </w:t>
            </w:r>
            <w:r>
              <w:rPr>
                <w:color w:val="000000"/>
                <w:spacing w:val="0"/>
                <w:w w:val="100"/>
                <w:position w:val="0"/>
                <w:sz w:val="15"/>
                <w:szCs w:val="15"/>
              </w:rPr>
              <w:t xml:space="preserve">859. </w:t>
            </w:r>
            <w:r>
              <w:rPr>
                <w:color w:val="000000"/>
                <w:spacing w:val="0"/>
                <w:w w:val="100"/>
                <w:position w:val="0"/>
                <w:sz w:val="15"/>
                <w:szCs w:val="15"/>
              </w:rPr>
              <w:t>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w:t>
            </w:r>
          </w:p>
        </w:tc>
      </w:tr>
      <w:tr>
        <w:trPr>
          <w:trHeight w:val="52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300" w:right="0" w:hanging="160"/>
              <w:jc w:val="left"/>
            </w:pPr>
            <w:r>
              <w:rPr>
                <w:color w:val="000000"/>
                <w:spacing w:val="0"/>
                <w:w w:val="100"/>
                <w:position w:val="0"/>
              </w:rPr>
              <w:t>转入第三阶 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40" w:firstLine="0"/>
              <w:jc w:val="righ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40" w:firstLine="0"/>
              <w:jc w:val="righ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w:t>
            </w:r>
          </w:p>
        </w:tc>
      </w:tr>
      <w:tr>
        <w:trPr>
          <w:trHeight w:val="52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300" w:right="0" w:hanging="160"/>
              <w:jc w:val="left"/>
            </w:pPr>
            <w:r>
              <w:rPr>
                <w:color w:val="000000"/>
                <w:spacing w:val="0"/>
                <w:w w:val="100"/>
                <w:position w:val="0"/>
              </w:rPr>
              <w:t>转回第二阶 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40" w:firstLine="0"/>
              <w:jc w:val="righ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40" w:firstLine="0"/>
              <w:jc w:val="righ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w:t>
            </w:r>
          </w:p>
        </w:tc>
      </w:tr>
      <w:tr>
        <w:trPr>
          <w:trHeight w:val="52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1" w:lineRule="exact"/>
              <w:ind w:left="300" w:right="0" w:hanging="160"/>
              <w:jc w:val="left"/>
            </w:pPr>
            <w:r>
              <w:rPr>
                <w:color w:val="000000"/>
                <w:spacing w:val="0"/>
                <w:w w:val="100"/>
                <w:position w:val="0"/>
              </w:rPr>
              <w:t>转回第一阶 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40" w:firstLine="0"/>
              <w:jc w:val="righ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40" w:firstLine="0"/>
              <w:jc w:val="righ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w:t>
            </w:r>
          </w:p>
        </w:tc>
      </w:tr>
      <w:tr>
        <w:trPr>
          <w:trHeight w:val="30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本年计提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 xml:space="preserve">281, </w:t>
            </w:r>
            <w:r>
              <w:rPr>
                <w:color w:val="000000"/>
                <w:spacing w:val="0"/>
                <w:w w:val="100"/>
                <w:position w:val="0"/>
                <w:sz w:val="15"/>
                <w:szCs w:val="15"/>
              </w:rPr>
              <w:t xml:space="preserve">489. </w:t>
            </w:r>
            <w:r>
              <w:rPr>
                <w:color w:val="000000"/>
                <w:spacing w:val="0"/>
                <w:w w:val="100"/>
                <w:position w:val="0"/>
                <w:sz w:val="15"/>
                <w:szCs w:val="15"/>
              </w:rPr>
              <w:t>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 xml:space="preserve">38, </w:t>
            </w:r>
            <w:r>
              <w:rPr>
                <w:color w:val="000000"/>
                <w:spacing w:val="0"/>
                <w:w w:val="100"/>
                <w:position w:val="0"/>
                <w:sz w:val="15"/>
                <w:szCs w:val="15"/>
              </w:rPr>
              <w:t xml:space="preserve">534. </w:t>
            </w:r>
            <w:r>
              <w:rPr>
                <w:color w:val="000000"/>
                <w:spacing w:val="0"/>
                <w:w w:val="100"/>
                <w:position w:val="0"/>
                <w:sz w:val="15"/>
                <w:szCs w:val="15"/>
              </w:rPr>
              <w:t>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 xml:space="preserve">320, </w:t>
            </w:r>
            <w:r>
              <w:rPr>
                <w:color w:val="000000"/>
                <w:spacing w:val="0"/>
                <w:w w:val="100"/>
                <w:position w:val="0"/>
                <w:sz w:val="15"/>
                <w:szCs w:val="15"/>
              </w:rPr>
              <w:t xml:space="preserve">024.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677, </w:t>
            </w:r>
            <w:r>
              <w:rPr>
                <w:color w:val="000000"/>
                <w:spacing w:val="0"/>
                <w:w w:val="100"/>
                <w:position w:val="0"/>
                <w:sz w:val="15"/>
                <w:szCs w:val="15"/>
              </w:rPr>
              <w:t xml:space="preserve">327. </w:t>
            </w:r>
            <w:r>
              <w:rPr>
                <w:color w:val="000000"/>
                <w:spacing w:val="0"/>
                <w:w w:val="100"/>
                <w:position w:val="0"/>
                <w:sz w:val="15"/>
                <w:szCs w:val="15"/>
              </w:rPr>
              <w:t>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 xml:space="preserve">111, </w:t>
            </w:r>
            <w:r>
              <w:rPr>
                <w:color w:val="000000"/>
                <w:spacing w:val="0"/>
                <w:w w:val="100"/>
                <w:position w:val="0"/>
                <w:sz w:val="15"/>
                <w:szCs w:val="15"/>
              </w:rPr>
              <w:t xml:space="preserve">899. </w:t>
            </w:r>
            <w:r>
              <w:rPr>
                <w:color w:val="000000"/>
                <w:spacing w:val="0"/>
                <w:w w:val="100"/>
                <w:position w:val="0"/>
                <w:sz w:val="15"/>
                <w:szCs w:val="15"/>
              </w:rPr>
              <w:t>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 xml:space="preserve">789, </w:t>
            </w:r>
            <w:r>
              <w:rPr>
                <w:color w:val="000000"/>
                <w:spacing w:val="0"/>
                <w:w w:val="100"/>
                <w:position w:val="0"/>
                <w:sz w:val="15"/>
                <w:szCs w:val="15"/>
              </w:rPr>
              <w:t xml:space="preserve">227. </w:t>
            </w:r>
            <w:r>
              <w:rPr>
                <w:color w:val="000000"/>
                <w:spacing w:val="0"/>
                <w:w w:val="100"/>
                <w:position w:val="0"/>
                <w:sz w:val="15"/>
                <w:szCs w:val="15"/>
              </w:rPr>
              <w:t>02</w:t>
            </w:r>
          </w:p>
        </w:tc>
      </w:tr>
      <w:tr>
        <w:trPr>
          <w:trHeight w:val="52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1" w:lineRule="exact"/>
              <w:ind w:left="300" w:right="0" w:hanging="160"/>
              <w:jc w:val="left"/>
            </w:pPr>
            <w:r>
              <w:rPr>
                <w:color w:val="000000"/>
                <w:spacing w:val="0"/>
                <w:w w:val="100"/>
                <w:position w:val="0"/>
              </w:rPr>
              <w:t>本年收回或 转回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 xml:space="preserve">529, </w:t>
            </w:r>
            <w:r>
              <w:rPr>
                <w:color w:val="000000"/>
                <w:spacing w:val="0"/>
                <w:w w:val="100"/>
                <w:position w:val="0"/>
                <w:sz w:val="15"/>
                <w:szCs w:val="15"/>
              </w:rPr>
              <w:t xml:space="preserve">244. </w:t>
            </w:r>
            <w:r>
              <w:rPr>
                <w:color w:val="000000"/>
                <w:spacing w:val="0"/>
                <w:w w:val="100"/>
                <w:position w:val="0"/>
                <w:sz w:val="15"/>
                <w:szCs w:val="15"/>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 xml:space="preserve">72, </w:t>
            </w:r>
            <w:r>
              <w:rPr>
                <w:color w:val="000000"/>
                <w:spacing w:val="0"/>
                <w:w w:val="100"/>
                <w:position w:val="0"/>
                <w:sz w:val="15"/>
                <w:szCs w:val="15"/>
              </w:rPr>
              <w:t xml:space="preserve">451. </w:t>
            </w:r>
            <w:r>
              <w:rPr>
                <w:color w:val="000000"/>
                <w:spacing w:val="0"/>
                <w:w w:val="100"/>
                <w:position w:val="0"/>
                <w:sz w:val="15"/>
                <w:szCs w:val="15"/>
              </w:rPr>
              <w:t>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 xml:space="preserve">601, </w:t>
            </w:r>
            <w:r>
              <w:rPr>
                <w:color w:val="000000"/>
                <w:spacing w:val="0"/>
                <w:w w:val="100"/>
                <w:position w:val="0"/>
                <w:sz w:val="15"/>
                <w:szCs w:val="15"/>
              </w:rPr>
              <w:t xml:space="preserve">696. </w:t>
            </w:r>
            <w:r>
              <w:rPr>
                <w:color w:val="000000"/>
                <w:spacing w:val="0"/>
                <w:w w:val="100"/>
                <w:position w:val="0"/>
                <w:sz w:val="15"/>
                <w:szCs w:val="15"/>
              </w:rPr>
              <w:t>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230, </w:t>
            </w:r>
            <w:r>
              <w:rPr>
                <w:color w:val="000000"/>
                <w:spacing w:val="0"/>
                <w:w w:val="100"/>
                <w:position w:val="0"/>
                <w:sz w:val="15"/>
                <w:szCs w:val="15"/>
              </w:rPr>
              <w:t xml:space="preserve">873. </w:t>
            </w:r>
            <w:r>
              <w:rPr>
                <w:color w:val="000000"/>
                <w:spacing w:val="0"/>
                <w:w w:val="100"/>
                <w:position w:val="0"/>
                <w:sz w:val="15"/>
                <w:szCs w:val="15"/>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38, </w:t>
            </w:r>
            <w:r>
              <w:rPr>
                <w:color w:val="000000"/>
                <w:spacing w:val="0"/>
                <w:w w:val="100"/>
                <w:position w:val="0"/>
                <w:sz w:val="15"/>
                <w:szCs w:val="15"/>
              </w:rPr>
              <w:t>141.85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 xml:space="preserve">269, </w:t>
            </w:r>
            <w:r>
              <w:rPr>
                <w:color w:val="000000"/>
                <w:spacing w:val="0"/>
                <w:w w:val="100"/>
                <w:position w:val="0"/>
                <w:sz w:val="15"/>
                <w:szCs w:val="15"/>
              </w:rPr>
              <w:t xml:space="preserve">015. </w:t>
            </w:r>
            <w:r>
              <w:rPr>
                <w:color w:val="000000"/>
                <w:spacing w:val="0"/>
                <w:w w:val="100"/>
                <w:position w:val="0"/>
                <w:sz w:val="15"/>
                <w:szCs w:val="15"/>
              </w:rPr>
              <w:t>05</w:t>
            </w:r>
          </w:p>
        </w:tc>
      </w:tr>
      <w:tr>
        <w:trPr>
          <w:trHeight w:val="30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本年核销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(ii)</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40" w:firstLine="0"/>
              <w:jc w:val="righ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40" w:firstLine="0"/>
              <w:jc w:val="righ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w:t>
            </w:r>
          </w:p>
        </w:tc>
      </w:tr>
      <w:tr>
        <w:trPr>
          <w:trHeight w:val="31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年末余额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 xml:space="preserve">288, </w:t>
            </w:r>
            <w:r>
              <w:rPr>
                <w:color w:val="000000"/>
                <w:spacing w:val="0"/>
                <w:w w:val="100"/>
                <w:position w:val="0"/>
                <w:sz w:val="15"/>
                <w:szCs w:val="15"/>
              </w:rPr>
              <w:t>606.46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 xml:space="preserve">870, </w:t>
            </w:r>
            <w:r>
              <w:rPr>
                <w:color w:val="000000"/>
                <w:spacing w:val="0"/>
                <w:w w:val="100"/>
                <w:position w:val="0"/>
                <w:sz w:val="15"/>
                <w:szCs w:val="15"/>
              </w:rPr>
              <w:t xml:space="preserve">973. </w:t>
            </w:r>
            <w:r>
              <w:rPr>
                <w:color w:val="000000"/>
                <w:spacing w:val="0"/>
                <w:w w:val="100"/>
                <w:position w:val="0"/>
                <w:sz w:val="15"/>
                <w:szCs w:val="15"/>
              </w:rPr>
              <w:t>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1,159, </w:t>
            </w:r>
            <w:r>
              <w:rPr>
                <w:color w:val="000000"/>
                <w:spacing w:val="0"/>
                <w:w w:val="100"/>
                <w:position w:val="0"/>
                <w:sz w:val="15"/>
                <w:szCs w:val="15"/>
              </w:rPr>
              <w:t xml:space="preserve">580. </w:t>
            </w:r>
            <w:r>
              <w:rPr>
                <w:color w:val="000000"/>
                <w:spacing w:val="0"/>
                <w:w w:val="100"/>
                <w:position w:val="0"/>
                <w:sz w:val="15"/>
                <w:szCs w:val="15"/>
              </w:rPr>
              <w:t>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580, </w:t>
            </w:r>
            <w:r>
              <w:rPr>
                <w:color w:val="000000"/>
                <w:spacing w:val="0"/>
                <w:w w:val="100"/>
                <w:position w:val="0"/>
                <w:sz w:val="15"/>
                <w:szCs w:val="15"/>
              </w:rPr>
              <w:t xml:space="preserve">725. </w:t>
            </w:r>
            <w:r>
              <w:rPr>
                <w:color w:val="000000"/>
                <w:spacing w:val="0"/>
                <w:w w:val="100"/>
                <w:position w:val="0"/>
                <w:sz w:val="15"/>
                <w:szCs w:val="15"/>
              </w:rPr>
              <w:t>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 xml:space="preserve">860, </w:t>
            </w:r>
            <w:r>
              <w:rPr>
                <w:color w:val="000000"/>
                <w:spacing w:val="0"/>
                <w:w w:val="100"/>
                <w:position w:val="0"/>
                <w:sz w:val="15"/>
                <w:szCs w:val="15"/>
              </w:rPr>
              <w:t xml:space="preserve">526. </w:t>
            </w:r>
            <w:r>
              <w:rPr>
                <w:color w:val="000000"/>
                <w:spacing w:val="0"/>
                <w:w w:val="100"/>
                <w:position w:val="0"/>
                <w:sz w:val="15"/>
                <w:szCs w:val="15"/>
              </w:rPr>
              <w:t>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1,441,252. </w:t>
            </w:r>
            <w:r>
              <w:rPr>
                <w:color w:val="000000"/>
                <w:spacing w:val="0"/>
                <w:w w:val="100"/>
                <w:position w:val="0"/>
                <w:sz w:val="15"/>
                <w:szCs w:val="15"/>
              </w:rPr>
              <w:t>26</w:t>
            </w:r>
          </w:p>
        </w:tc>
      </w:tr>
    </w:tbl>
    <w:p>
      <w:pPr>
        <w:widowControl w:val="0"/>
        <w:spacing w:after="79" w:line="1" w:lineRule="exact"/>
      </w:pPr>
    </w:p>
    <w:p>
      <w:pPr>
        <w:pStyle w:val="Style20"/>
        <w:keepNext w:val="0"/>
        <w:keepLines w:val="0"/>
        <w:widowControl w:val="0"/>
        <w:numPr>
          <w:ilvl w:val="0"/>
          <w:numId w:val="97"/>
        </w:numPr>
        <w:shd w:val="clear" w:color="auto" w:fill="auto"/>
        <w:tabs>
          <w:tab w:pos="430" w:val="left"/>
        </w:tabs>
        <w:bidi w:val="0"/>
        <w:spacing w:before="0" w:after="140" w:line="240" w:lineRule="auto"/>
        <w:ind w:left="0" w:right="0" w:firstLine="0"/>
        <w:jc w:val="left"/>
      </w:pPr>
      <w:bookmarkStart w:id="1187" w:name="bookmark1187"/>
      <w:bookmarkEnd w:id="1187"/>
      <w:r>
        <w:rPr>
          <w:color w:val="000000"/>
          <w:spacing w:val="0"/>
          <w:w w:val="100"/>
          <w:position w:val="0"/>
        </w:rPr>
        <w:t>本年无金额重大的其他应收款坏账准备收回或转回。</w:t>
      </w:r>
    </w:p>
    <w:p>
      <w:pPr>
        <w:pStyle w:val="Style20"/>
        <w:keepNext w:val="0"/>
        <w:keepLines w:val="0"/>
        <w:widowControl w:val="0"/>
        <w:numPr>
          <w:ilvl w:val="0"/>
          <w:numId w:val="97"/>
        </w:numPr>
        <w:shd w:val="clear" w:color="auto" w:fill="auto"/>
        <w:tabs>
          <w:tab w:pos="430" w:val="left"/>
        </w:tabs>
        <w:bidi w:val="0"/>
        <w:spacing w:before="0" w:after="140" w:line="240" w:lineRule="auto"/>
        <w:ind w:left="0" w:right="0" w:firstLine="0"/>
        <w:jc w:val="left"/>
      </w:pPr>
      <w:bookmarkStart w:id="1188" w:name="bookmark1188"/>
      <w:bookmarkEnd w:id="1188"/>
      <w:r>
        <w:rPr>
          <w:color w:val="000000"/>
          <w:spacing w:val="0"/>
          <w:w w:val="100"/>
          <w:position w:val="0"/>
        </w:rPr>
        <w:t>本年无实际核销情况。</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按款项性质分类情况</w:t>
      </w:r>
    </w:p>
    <w:tbl>
      <w:tblPr>
        <w:tblOverlap w:val="never"/>
        <w:jc w:val="center"/>
        <w:tblLayout w:type="fixed"/>
      </w:tblPr>
      <w:tblGrid>
        <w:gridCol w:w="5218"/>
        <w:gridCol w:w="1987"/>
        <w:gridCol w:w="1992"/>
      </w:tblGrid>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款项性质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 xml:space="preserve">2021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2020 </w:t>
            </w:r>
            <w:r>
              <w:rPr>
                <w:color w:val="000000"/>
                <w:spacing w:val="0"/>
                <w:w w:val="100"/>
                <w:position w:val="0"/>
              </w:rPr>
              <w:t>年</w:t>
            </w:r>
          </w:p>
        </w:tc>
      </w:tr>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6,286, </w:t>
            </w:r>
            <w:r>
              <w:rPr>
                <w:color w:val="000000"/>
                <w:spacing w:val="0"/>
                <w:w w:val="100"/>
                <w:position w:val="0"/>
                <w:sz w:val="18"/>
                <w:szCs w:val="18"/>
              </w:rPr>
              <w:t xml:space="preserve">728. </w:t>
            </w:r>
            <w:r>
              <w:rPr>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6, </w:t>
            </w:r>
            <w:r>
              <w:rPr>
                <w:color w:val="000000"/>
                <w:spacing w:val="0"/>
                <w:w w:val="100"/>
                <w:position w:val="0"/>
                <w:sz w:val="18"/>
                <w:szCs w:val="18"/>
              </w:rPr>
              <w:t xml:space="preserve">791,324. </w:t>
            </w:r>
            <w:r>
              <w:rPr>
                <w:color w:val="000000"/>
                <w:spacing w:val="0"/>
                <w:w w:val="100"/>
                <w:position w:val="0"/>
                <w:sz w:val="18"/>
                <w:szCs w:val="18"/>
              </w:rPr>
              <w:t>45</w:t>
            </w:r>
          </w:p>
        </w:tc>
      </w:tr>
      <w:tr>
        <w:trPr>
          <w:trHeight w:val="38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 xml:space="preserve">342, </w:t>
            </w:r>
            <w:r>
              <w:rPr>
                <w:color w:val="000000"/>
                <w:spacing w:val="0"/>
                <w:w w:val="100"/>
                <w:position w:val="0"/>
                <w:sz w:val="18"/>
                <w:szCs w:val="18"/>
              </w:rPr>
              <w:t xml:space="preserve">527.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 xml:space="preserve">736, </w:t>
            </w:r>
            <w:r>
              <w:rPr>
                <w:color w:val="000000"/>
                <w:spacing w:val="0"/>
                <w:w w:val="100"/>
                <w:position w:val="0"/>
                <w:sz w:val="18"/>
                <w:szCs w:val="18"/>
              </w:rPr>
              <w:t xml:space="preserve">700. </w:t>
            </w:r>
            <w:r>
              <w:rPr>
                <w:color w:val="000000"/>
                <w:spacing w:val="0"/>
                <w:w w:val="100"/>
                <w:position w:val="0"/>
                <w:sz w:val="18"/>
                <w:szCs w:val="18"/>
              </w:rPr>
              <w:t>00</w:t>
            </w:r>
          </w:p>
        </w:tc>
      </w:tr>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押金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3, </w:t>
            </w:r>
            <w:r>
              <w:rPr>
                <w:color w:val="000000"/>
                <w:spacing w:val="0"/>
                <w:w w:val="100"/>
                <w:position w:val="0"/>
                <w:sz w:val="18"/>
                <w:szCs w:val="18"/>
              </w:rPr>
              <w:t xml:space="preserve">561,379.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1,235, </w:t>
            </w:r>
            <w:r>
              <w:rPr>
                <w:color w:val="000000"/>
                <w:spacing w:val="0"/>
                <w:w w:val="100"/>
                <w:position w:val="0"/>
                <w:sz w:val="18"/>
                <w:szCs w:val="18"/>
              </w:rPr>
              <w:t xml:space="preserve">776. </w:t>
            </w:r>
            <w:r>
              <w:rPr>
                <w:color w:val="000000"/>
                <w:spacing w:val="0"/>
                <w:w w:val="100"/>
                <w:position w:val="0"/>
                <w:sz w:val="18"/>
                <w:szCs w:val="18"/>
              </w:rPr>
              <w:t>26</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 xml:space="preserve">928, </w:t>
            </w:r>
            <w:r>
              <w:rPr>
                <w:color w:val="000000"/>
                <w:spacing w:val="0"/>
                <w:w w:val="100"/>
                <w:position w:val="0"/>
                <w:sz w:val="18"/>
                <w:szCs w:val="18"/>
              </w:rPr>
              <w:t xml:space="preserve">467. </w:t>
            </w:r>
            <w:r>
              <w:rPr>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 xml:space="preserve">647, </w:t>
            </w:r>
            <w:r>
              <w:rPr>
                <w:color w:val="000000"/>
                <w:spacing w:val="0"/>
                <w:w w:val="100"/>
                <w:position w:val="0"/>
                <w:sz w:val="18"/>
                <w:szCs w:val="18"/>
              </w:rPr>
              <w:t xml:space="preserve">729. </w:t>
            </w:r>
            <w:r>
              <w:rPr>
                <w:color w:val="000000"/>
                <w:spacing w:val="0"/>
                <w:w w:val="100"/>
                <w:position w:val="0"/>
                <w:sz w:val="18"/>
                <w:szCs w:val="18"/>
              </w:rPr>
              <w:t>89</w:t>
            </w:r>
          </w:p>
        </w:tc>
      </w:tr>
      <w:tr>
        <w:trPr>
          <w:trHeight w:val="38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5,105,190. </w:t>
            </w:r>
            <w:r>
              <w:rPr>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4,312, </w:t>
            </w:r>
            <w:r>
              <w:rPr>
                <w:color w:val="000000"/>
                <w:spacing w:val="0"/>
                <w:w w:val="100"/>
                <w:position w:val="0"/>
                <w:sz w:val="18"/>
                <w:szCs w:val="18"/>
              </w:rPr>
              <w:t xml:space="preserve">352. </w:t>
            </w:r>
            <w:r>
              <w:rPr>
                <w:color w:val="000000"/>
                <w:spacing w:val="0"/>
                <w:w w:val="100"/>
                <w:position w:val="0"/>
                <w:sz w:val="18"/>
                <w:szCs w:val="18"/>
              </w:rPr>
              <w:t>20</w:t>
            </w:r>
          </w:p>
        </w:tc>
      </w:tr>
      <w:tr>
        <w:trPr>
          <w:trHeight w:val="38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16, 224, </w:t>
            </w:r>
            <w:r>
              <w:rPr>
                <w:color w:val="000000"/>
                <w:spacing w:val="0"/>
                <w:w w:val="100"/>
                <w:position w:val="0"/>
                <w:sz w:val="18"/>
                <w:szCs w:val="18"/>
              </w:rPr>
              <w:t>292.60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13,723, </w:t>
            </w:r>
            <w:r>
              <w:rPr>
                <w:color w:val="000000"/>
                <w:spacing w:val="0"/>
                <w:w w:val="100"/>
                <w:position w:val="0"/>
                <w:sz w:val="18"/>
                <w:szCs w:val="18"/>
              </w:rPr>
              <w:t xml:space="preserve">882. </w:t>
            </w:r>
            <w:r>
              <w:rPr>
                <w:color w:val="000000"/>
                <w:spacing w:val="0"/>
                <w:w w:val="100"/>
                <w:position w:val="0"/>
                <w:sz w:val="18"/>
                <w:szCs w:val="18"/>
              </w:rPr>
              <w:t>80</w:t>
            </w:r>
          </w:p>
        </w:tc>
      </w:tr>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1,159, </w:t>
            </w:r>
            <w:r>
              <w:rPr>
                <w:color w:val="000000"/>
                <w:spacing w:val="0"/>
                <w:w w:val="100"/>
                <w:position w:val="0"/>
                <w:sz w:val="18"/>
                <w:szCs w:val="18"/>
              </w:rPr>
              <w:t xml:space="preserve">580. </w:t>
            </w:r>
            <w:r>
              <w:rPr>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1,441,252.26</w:t>
            </w:r>
          </w:p>
        </w:tc>
      </w:tr>
      <w:tr>
        <w:trPr>
          <w:trHeight w:val="37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15, 064, </w:t>
            </w:r>
            <w:r>
              <w:rPr>
                <w:color w:val="000000"/>
                <w:spacing w:val="0"/>
                <w:w w:val="100"/>
                <w:position w:val="0"/>
                <w:sz w:val="18"/>
                <w:szCs w:val="18"/>
              </w:rPr>
              <w:t xml:space="preserve">712. </w:t>
            </w:r>
            <w:r>
              <w:rPr>
                <w:color w:val="000000"/>
                <w:spacing w:val="0"/>
                <w:w w:val="100"/>
                <w:position w:val="0"/>
                <w:sz w:val="18"/>
                <w:szCs w:val="18"/>
              </w:rPr>
              <w:t>43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12, 282, </w:t>
            </w:r>
            <w:r>
              <w:rPr>
                <w:color w:val="000000"/>
                <w:spacing w:val="0"/>
                <w:w w:val="100"/>
                <w:position w:val="0"/>
                <w:sz w:val="18"/>
                <w:szCs w:val="18"/>
              </w:rPr>
              <w:t xml:space="preserve">630. </w:t>
            </w:r>
            <w:r>
              <w:rPr>
                <w:color w:val="000000"/>
                <w:spacing w:val="0"/>
                <w:w w:val="100"/>
                <w:position w:val="0"/>
                <w:sz w:val="18"/>
                <w:szCs w:val="18"/>
              </w:rPr>
              <w:t>54</w:t>
            </w:r>
          </w:p>
        </w:tc>
      </w:tr>
    </w:tbl>
    <w:p>
      <w:pPr>
        <w:widowControl w:val="0"/>
        <w:spacing w:after="419" w:line="1" w:lineRule="exact"/>
      </w:pP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按欠款方归集的年末余额前五名的情况</w:t>
      </w:r>
    </w:p>
    <w:tbl>
      <w:tblPr>
        <w:tblOverlap w:val="never"/>
        <w:jc w:val="center"/>
        <w:tblLayout w:type="fixed"/>
      </w:tblPr>
      <w:tblGrid>
        <w:gridCol w:w="2669"/>
        <w:gridCol w:w="1306"/>
        <w:gridCol w:w="1301"/>
        <w:gridCol w:w="1306"/>
        <w:gridCol w:w="1306"/>
        <w:gridCol w:w="1310"/>
      </w:tblGrid>
      <w:tr>
        <w:trPr>
          <w:trHeight w:val="79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款项性质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占其他应收款</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合计数的比例</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w:t>
            </w:r>
          </w:p>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年末余额</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押金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1,994, </w:t>
            </w:r>
            <w:r>
              <w:rPr>
                <w:color w:val="000000"/>
                <w:spacing w:val="0"/>
                <w:w w:val="100"/>
                <w:position w:val="0"/>
                <w:sz w:val="18"/>
                <w:szCs w:val="18"/>
              </w:rPr>
              <w:t xml:space="preserve">395.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99,719.75</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押金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702, </w:t>
            </w:r>
            <w:r>
              <w:rPr>
                <w:color w:val="000000"/>
                <w:spacing w:val="0"/>
                <w:w w:val="100"/>
                <w:position w:val="0"/>
                <w:sz w:val="18"/>
                <w:szCs w:val="18"/>
              </w:rPr>
              <w:t xml:space="preserve">670. </w:t>
            </w:r>
            <w:r>
              <w:rPr>
                <w:color w:val="000000"/>
                <w:spacing w:val="0"/>
                <w:w w:val="100"/>
                <w:position w:val="0"/>
                <w:sz w:val="18"/>
                <w:szCs w:val="18"/>
              </w:rPr>
              <w:t>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70, </w:t>
            </w:r>
            <w:r>
              <w:rPr>
                <w:color w:val="000000"/>
                <w:spacing w:val="0"/>
                <w:w w:val="100"/>
                <w:position w:val="0"/>
                <w:sz w:val="18"/>
                <w:szCs w:val="18"/>
              </w:rPr>
              <w:t xml:space="preserve">267. </w:t>
            </w:r>
            <w:r>
              <w:rPr>
                <w:color w:val="000000"/>
                <w:spacing w:val="0"/>
                <w:w w:val="100"/>
                <w:position w:val="0"/>
                <w:sz w:val="18"/>
                <w:szCs w:val="18"/>
              </w:rPr>
              <w:t>07</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单位三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押金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291,608.00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233, </w:t>
            </w:r>
            <w:r>
              <w:rPr>
                <w:color w:val="000000"/>
                <w:spacing w:val="0"/>
                <w:w w:val="100"/>
                <w:position w:val="0"/>
                <w:sz w:val="18"/>
                <w:szCs w:val="18"/>
              </w:rPr>
              <w:t xml:space="preserve">286. </w:t>
            </w:r>
            <w:r>
              <w:rPr>
                <w:color w:val="000000"/>
                <w:spacing w:val="0"/>
                <w:w w:val="100"/>
                <w:position w:val="0"/>
                <w:sz w:val="18"/>
                <w:szCs w:val="18"/>
              </w:rPr>
              <w:t>40</w:t>
            </w:r>
          </w:p>
        </w:tc>
      </w:tr>
    </w:tbl>
    <w:p>
      <w:pPr>
        <w:spacing w:lineRule="exact" w:line="1"/>
        <w:rPr>
          <w:sz w:val="2"/>
          <w:szCs w:val="2"/>
        </w:rPr>
      </w:pPr>
      <w:r>
        <w:br w:type="page"/>
      </w:r>
    </w:p>
    <w:tbl>
      <w:tblPr>
        <w:tblOverlap w:val="never"/>
        <w:jc w:val="center"/>
        <w:tblLayout w:type="fixed"/>
      </w:tblPr>
      <w:tblGrid>
        <w:gridCol w:w="2669"/>
        <w:gridCol w:w="1306"/>
        <w:gridCol w:w="1296"/>
        <w:gridCol w:w="1306"/>
        <w:gridCol w:w="1310"/>
        <w:gridCol w:w="1310"/>
      </w:tblGrid>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 </w:t>
            </w:r>
            <w:r>
              <w:rPr>
                <w:color w:val="000000"/>
                <w:spacing w:val="0"/>
                <w:w w:val="100"/>
                <w:position w:val="0"/>
                <w:sz w:val="18"/>
                <w:szCs w:val="18"/>
              </w:rPr>
              <w:t xml:space="preserve">500.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押金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101,301.31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101,301.31</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3,259, </w:t>
            </w:r>
            <w:r>
              <w:rPr>
                <w:color w:val="000000"/>
                <w:spacing w:val="0"/>
                <w:w w:val="100"/>
                <w:position w:val="0"/>
                <w:sz w:val="18"/>
                <w:szCs w:val="18"/>
              </w:rPr>
              <w:t xml:space="preserve">975.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513, </w:t>
            </w:r>
            <w:r>
              <w:rPr>
                <w:color w:val="000000"/>
                <w:spacing w:val="0"/>
                <w:w w:val="100"/>
                <w:position w:val="0"/>
                <w:sz w:val="18"/>
                <w:szCs w:val="18"/>
              </w:rPr>
              <w:t xml:space="preserve">074. </w:t>
            </w:r>
            <w:r>
              <w:rPr>
                <w:color w:val="000000"/>
                <w:spacing w:val="0"/>
                <w:w w:val="100"/>
                <w:position w:val="0"/>
                <w:sz w:val="18"/>
                <w:szCs w:val="18"/>
              </w:rPr>
              <w:t>53</w:t>
            </w:r>
          </w:p>
        </w:tc>
      </w:tr>
    </w:tbl>
    <w:p>
      <w:pPr>
        <w:widowControl w:val="0"/>
        <w:spacing w:after="419" w:line="1" w:lineRule="exact"/>
      </w:pPr>
    </w:p>
    <w:p>
      <w:pPr>
        <w:pStyle w:val="Style20"/>
        <w:keepNext w:val="0"/>
        <w:keepLines w:val="0"/>
        <w:widowControl w:val="0"/>
        <w:numPr>
          <w:ilvl w:val="0"/>
          <w:numId w:val="99"/>
        </w:numPr>
        <w:shd w:val="clear" w:color="auto" w:fill="auto"/>
        <w:tabs>
          <w:tab w:pos="432" w:val="left"/>
        </w:tabs>
        <w:bidi w:val="0"/>
        <w:spacing w:before="0" w:after="120" w:line="240" w:lineRule="auto"/>
        <w:ind w:left="0" w:right="0" w:firstLine="0"/>
        <w:jc w:val="left"/>
      </w:pPr>
      <w:bookmarkStart w:id="1189" w:name="bookmark1189"/>
      <w:bookmarkEnd w:id="1189"/>
      <w:r>
        <w:rPr>
          <w:color w:val="000000"/>
          <w:spacing w:val="0"/>
          <w:w w:val="100"/>
          <w:position w:val="0"/>
        </w:rPr>
        <w:t>本期无因金融资产转移而予以终止确认的其他应收款项的情况。</w:t>
      </w:r>
    </w:p>
    <w:p>
      <w:pPr>
        <w:pStyle w:val="Style20"/>
        <w:keepNext w:val="0"/>
        <w:keepLines w:val="0"/>
        <w:widowControl w:val="0"/>
        <w:numPr>
          <w:ilvl w:val="0"/>
          <w:numId w:val="99"/>
        </w:numPr>
        <w:shd w:val="clear" w:color="auto" w:fill="auto"/>
        <w:tabs>
          <w:tab w:pos="432" w:val="left"/>
        </w:tabs>
        <w:bidi w:val="0"/>
        <w:spacing w:before="0" w:after="720" w:line="240" w:lineRule="auto"/>
        <w:ind w:left="0" w:right="0" w:firstLine="0"/>
        <w:jc w:val="left"/>
      </w:pPr>
      <w:bookmarkStart w:id="1190" w:name="bookmark1190"/>
      <w:bookmarkEnd w:id="1190"/>
      <w:r>
        <w:rPr>
          <w:color w:val="000000"/>
          <w:spacing w:val="0"/>
          <w:w w:val="100"/>
          <w:position w:val="0"/>
        </w:rPr>
        <w:t>本期无转移其他应收款项且继续涉入形成的资产、负债的金额。</w:t>
      </w:r>
    </w:p>
    <w:p>
      <w:pPr>
        <w:pStyle w:val="Style31"/>
        <w:keepNext/>
        <w:keepLines/>
        <w:widowControl w:val="0"/>
        <w:shd w:val="clear" w:color="auto" w:fill="auto"/>
        <w:bidi w:val="0"/>
        <w:spacing w:before="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4</w:t>
      </w:r>
      <w:bookmarkEnd w:id="1193"/>
      <w:r>
        <w:rPr>
          <w:color w:val="000000"/>
          <w:spacing w:val="0"/>
          <w:w w:val="100"/>
          <w:position w:val="0"/>
        </w:rPr>
        <w:t>、合同资产</w:t>
      </w:r>
      <w:bookmarkEnd w:id="1191"/>
      <w:bookmarkEnd w:id="1192"/>
      <w:bookmarkEnd w:id="1194"/>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合同资产按性质分析如下:</w:t>
      </w:r>
    </w:p>
    <w:tbl>
      <w:tblPr>
        <w:tblOverlap w:val="never"/>
        <w:jc w:val="center"/>
        <w:tblLayout w:type="fixed"/>
      </w:tblPr>
      <w:tblGrid>
        <w:gridCol w:w="5218"/>
        <w:gridCol w:w="1987"/>
        <w:gridCol w:w="2304"/>
      </w:tblGrid>
      <w:tr>
        <w:trPr>
          <w:trHeight w:val="60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right"/>
            </w:pPr>
            <w:r>
              <w:rPr>
                <w:color w:val="000000"/>
                <w:spacing w:val="0"/>
                <w:w w:val="100"/>
                <w:position w:val="0"/>
                <w:sz w:val="18"/>
                <w:szCs w:val="18"/>
              </w:rPr>
              <w:t xml:space="preserve">2021 </w:t>
            </w:r>
            <w:r>
              <w:rPr>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right"/>
            </w:pPr>
            <w:r>
              <w:rPr>
                <w:color w:val="000000"/>
                <w:spacing w:val="0"/>
                <w:w w:val="100"/>
                <w:position w:val="0"/>
                <w:sz w:val="18"/>
                <w:szCs w:val="18"/>
              </w:rPr>
              <w:t xml:space="preserve">2020 </w:t>
            </w:r>
            <w:r>
              <w:rPr>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提供服务产生的合同资产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 xml:space="preserve">110, 705, </w:t>
            </w:r>
            <w:r>
              <w:rPr>
                <w:color w:val="000000"/>
                <w:spacing w:val="0"/>
                <w:w w:val="100"/>
                <w:position w:val="0"/>
                <w:sz w:val="18"/>
                <w:szCs w:val="18"/>
              </w:rPr>
              <w:t xml:space="preserve">601. </w:t>
            </w:r>
            <w:r>
              <w:rPr>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 xml:space="preserve">74, 963, </w:t>
            </w:r>
            <w:r>
              <w:rPr>
                <w:color w:val="000000"/>
                <w:spacing w:val="0"/>
                <w:w w:val="100"/>
                <w:position w:val="0"/>
                <w:sz w:val="18"/>
                <w:szCs w:val="18"/>
              </w:rPr>
              <w:t xml:space="preserve">803. </w:t>
            </w:r>
            <w:r>
              <w:rPr>
                <w:color w:val="000000"/>
                <w:spacing w:val="0"/>
                <w:w w:val="100"/>
                <w:position w:val="0"/>
                <w:sz w:val="18"/>
                <w:szCs w:val="18"/>
              </w:rPr>
              <w:t>08</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5, 535, </w:t>
            </w:r>
            <w:r>
              <w:rPr>
                <w:color w:val="000000"/>
                <w:spacing w:val="0"/>
                <w:w w:val="100"/>
                <w:position w:val="0"/>
                <w:sz w:val="18"/>
                <w:szCs w:val="18"/>
              </w:rPr>
              <w:t xml:space="preserve">280. </w:t>
            </w:r>
            <w:r>
              <w:rPr>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4, 497, </w:t>
            </w:r>
            <w:r>
              <w:rPr>
                <w:color w:val="000000"/>
                <w:spacing w:val="0"/>
                <w:w w:val="100"/>
                <w:position w:val="0"/>
                <w:sz w:val="18"/>
                <w:szCs w:val="18"/>
              </w:rPr>
              <w:t xml:space="preserve">828. </w:t>
            </w:r>
            <w:r>
              <w:rPr>
                <w:color w:val="000000"/>
                <w:spacing w:val="0"/>
                <w:w w:val="100"/>
                <w:position w:val="0"/>
                <w:sz w:val="18"/>
                <w:szCs w:val="18"/>
              </w:rPr>
              <w:t>18</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 xml:space="preserve">105, 170, </w:t>
            </w:r>
            <w:r>
              <w:rPr>
                <w:color w:val="000000"/>
                <w:spacing w:val="0"/>
                <w:w w:val="100"/>
                <w:position w:val="0"/>
                <w:sz w:val="18"/>
                <w:szCs w:val="18"/>
              </w:rPr>
              <w:t xml:space="preserve">321. </w:t>
            </w:r>
            <w:r>
              <w:rPr>
                <w:color w:val="000000"/>
                <w:spacing w:val="0"/>
                <w:w w:val="100"/>
                <w:position w:val="0"/>
                <w:sz w:val="18"/>
                <w:szCs w:val="18"/>
              </w:rPr>
              <w:t>59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 xml:space="preserve">70,465, </w:t>
            </w:r>
            <w:r>
              <w:rPr>
                <w:color w:val="000000"/>
                <w:spacing w:val="0"/>
                <w:w w:val="100"/>
                <w:position w:val="0"/>
                <w:sz w:val="18"/>
                <w:szCs w:val="18"/>
              </w:rPr>
              <w:t xml:space="preserve">974. </w:t>
            </w:r>
            <w:r>
              <w:rPr>
                <w:color w:val="000000"/>
                <w:spacing w:val="0"/>
                <w:w w:val="100"/>
                <w:position w:val="0"/>
                <w:sz w:val="18"/>
                <w:szCs w:val="18"/>
              </w:rPr>
              <w:t>90</w:t>
            </w:r>
          </w:p>
        </w:tc>
      </w:tr>
    </w:tbl>
    <w:p>
      <w:pPr>
        <w:pStyle w:val="Style20"/>
        <w:keepNext w:val="0"/>
        <w:keepLines w:val="0"/>
        <w:widowControl w:val="0"/>
        <w:shd w:val="clear" w:color="auto" w:fill="auto"/>
        <w:bidi w:val="0"/>
        <w:spacing w:before="0" w:after="120" w:line="317" w:lineRule="exact"/>
        <w:ind w:left="0" w:right="0" w:firstLine="0"/>
        <w:jc w:val="left"/>
      </w:pPr>
      <w:r>
        <w:rPr>
          <w:color w:val="000000"/>
          <w:spacing w:val="0"/>
          <w:w w:val="100"/>
          <w:position w:val="0"/>
        </w:rPr>
        <w:t>本公司的合同资产主要涉及在资产负债表日本公司与不同客户的服务合同。本公司根据合同约定履行服务义务，并按约定收 取款项。当本公司取得该无条件收取对价的权利时，合同资产将转为应收账款。</w:t>
      </w:r>
    </w:p>
    <w:p>
      <w:pPr>
        <w:pStyle w:val="Style20"/>
        <w:keepNext w:val="0"/>
        <w:keepLines w:val="0"/>
        <w:widowControl w:val="0"/>
        <w:numPr>
          <w:ilvl w:val="0"/>
          <w:numId w:val="95"/>
        </w:numPr>
        <w:shd w:val="clear" w:color="auto" w:fill="auto"/>
        <w:bidi w:val="0"/>
        <w:spacing w:before="0" w:after="0"/>
        <w:ind w:left="0" w:right="0" w:firstLine="0"/>
        <w:jc w:val="left"/>
      </w:pPr>
      <w:bookmarkStart w:id="1195" w:name="bookmark1195"/>
      <w:bookmarkEnd w:id="1195"/>
      <w:r>
        <w:rPr>
          <w:color w:val="000000"/>
          <w:spacing w:val="0"/>
          <w:w w:val="100"/>
          <w:position w:val="0"/>
        </w:rPr>
        <w:t>合同资产原值本年的重大变动：</w:t>
      </w:r>
    </w:p>
    <w:tbl>
      <w:tblPr>
        <w:tblOverlap w:val="never"/>
        <w:jc w:val="center"/>
        <w:tblLayout w:type="fixed"/>
      </w:tblPr>
      <w:tblGrid>
        <w:gridCol w:w="7205"/>
        <w:gridCol w:w="2304"/>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变动金额</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年初余额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 xml:space="preserve">74, 963, </w:t>
            </w:r>
            <w:r>
              <w:rPr>
                <w:color w:val="000000"/>
                <w:spacing w:val="0"/>
                <w:w w:val="100"/>
                <w:position w:val="0"/>
                <w:sz w:val="18"/>
                <w:szCs w:val="18"/>
              </w:rPr>
              <w:t xml:space="preserve">803. </w:t>
            </w:r>
            <w:r>
              <w:rPr>
                <w:color w:val="000000"/>
                <w:spacing w:val="0"/>
                <w:w w:val="100"/>
                <w:position w:val="0"/>
                <w:sz w:val="18"/>
                <w:szCs w:val="18"/>
              </w:rPr>
              <w:t>08</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减：从年初确认的合同资产于本年结算并收款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 xml:space="preserve">12, </w:t>
            </w:r>
            <w:r>
              <w:rPr>
                <w:color w:val="000000"/>
                <w:spacing w:val="0"/>
                <w:w w:val="100"/>
                <w:position w:val="0"/>
                <w:sz w:val="18"/>
                <w:szCs w:val="18"/>
              </w:rPr>
              <w:t>321,796.63</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加：由于履约进度计量的变化而增加的金额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 xml:space="preserve">48, 063, </w:t>
            </w:r>
            <w:r>
              <w:rPr>
                <w:color w:val="000000"/>
                <w:spacing w:val="0"/>
                <w:w w:val="100"/>
                <w:position w:val="0"/>
                <w:sz w:val="18"/>
                <w:szCs w:val="18"/>
              </w:rPr>
              <w:t>595.21</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年末金额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 xml:space="preserve">110, 705, </w:t>
            </w:r>
            <w:r>
              <w:rPr>
                <w:color w:val="000000"/>
                <w:spacing w:val="0"/>
                <w:w w:val="100"/>
                <w:position w:val="0"/>
                <w:sz w:val="18"/>
                <w:szCs w:val="18"/>
              </w:rPr>
              <w:t>601.66</w:t>
            </w:r>
          </w:p>
        </w:tc>
      </w:tr>
    </w:tbl>
    <w:p>
      <w:pPr>
        <w:widowControl w:val="0"/>
        <w:spacing w:after="59" w:line="1" w:lineRule="exact"/>
      </w:pP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本年合同资产计提减值准备情况:</w:t>
      </w:r>
    </w:p>
    <w:tbl>
      <w:tblPr>
        <w:tblOverlap w:val="never"/>
        <w:jc w:val="center"/>
        <w:tblLayout w:type="fixed"/>
      </w:tblPr>
      <w:tblGrid>
        <w:gridCol w:w="2386"/>
        <w:gridCol w:w="1699"/>
        <w:gridCol w:w="1704"/>
        <w:gridCol w:w="1699"/>
        <w:gridCol w:w="2021"/>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本年收回或转回</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年末余额</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提供服务产生的合同资产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4, 497, </w:t>
            </w:r>
            <w:r>
              <w:rPr>
                <w:color w:val="000000"/>
                <w:spacing w:val="0"/>
                <w:w w:val="100"/>
                <w:position w:val="0"/>
                <w:sz w:val="18"/>
                <w:szCs w:val="18"/>
              </w:rPr>
              <w:t xml:space="preserve">828. </w:t>
            </w:r>
            <w:r>
              <w:rPr>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1,653, </w:t>
            </w:r>
            <w:r>
              <w:rPr>
                <w:color w:val="000000"/>
                <w:spacing w:val="0"/>
                <w:w w:val="100"/>
                <w:position w:val="0"/>
                <w:sz w:val="18"/>
                <w:szCs w:val="18"/>
              </w:rPr>
              <w:t xml:space="preserve">541. </w:t>
            </w:r>
            <w:r>
              <w:rPr>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616, </w:t>
            </w:r>
            <w:r>
              <w:rPr>
                <w:color w:val="000000"/>
                <w:spacing w:val="0"/>
                <w:w w:val="100"/>
                <w:position w:val="0"/>
                <w:sz w:val="18"/>
                <w:szCs w:val="18"/>
              </w:rPr>
              <w:t xml:space="preserve">089. </w:t>
            </w:r>
            <w:r>
              <w:rPr>
                <w:color w:val="000000"/>
                <w:spacing w:val="0"/>
                <w:w w:val="100"/>
                <w:position w:val="0"/>
                <w:sz w:val="18"/>
                <w:szCs w:val="18"/>
              </w:rPr>
              <w:t>83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5, 535, </w:t>
            </w:r>
            <w:r>
              <w:rPr>
                <w:color w:val="000000"/>
                <w:spacing w:val="0"/>
                <w:w w:val="100"/>
                <w:position w:val="0"/>
                <w:sz w:val="18"/>
                <w:szCs w:val="18"/>
              </w:rPr>
              <w:t xml:space="preserve">280. </w:t>
            </w:r>
            <w:r>
              <w:rPr>
                <w:color w:val="000000"/>
                <w:spacing w:val="0"/>
                <w:w w:val="100"/>
                <w:position w:val="0"/>
                <w:sz w:val="18"/>
                <w:szCs w:val="18"/>
              </w:rPr>
              <w:t>07</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5</w:t>
      </w:r>
      <w:bookmarkEnd w:id="1198"/>
      <w:r>
        <w:rPr>
          <w:color w:val="000000"/>
          <w:spacing w:val="0"/>
          <w:w w:val="100"/>
          <w:position w:val="0"/>
        </w:rPr>
        <w:t>、长期股权投资</w:t>
      </w:r>
      <w:bookmarkEnd w:id="1196"/>
      <w:bookmarkEnd w:id="1197"/>
      <w:bookmarkEnd w:id="1199"/>
    </w:p>
    <w:p>
      <w:pPr>
        <w:pStyle w:val="Style29"/>
        <w:keepNext w:val="0"/>
        <w:keepLines w:val="0"/>
        <w:widowControl w:val="0"/>
        <w:shd w:val="clear" w:color="auto" w:fill="auto"/>
        <w:bidi w:val="0"/>
        <w:spacing w:before="0" w:after="0" w:line="240" w:lineRule="auto"/>
        <w:ind w:left="331"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长期股权投资分类如下:</w:t>
      </w:r>
    </w:p>
    <w:tbl>
      <w:tblPr>
        <w:tblOverlap w:val="never"/>
        <w:jc w:val="center"/>
        <w:tblLayout w:type="fixed"/>
      </w:tblPr>
      <w:tblGrid>
        <w:gridCol w:w="2386"/>
        <w:gridCol w:w="1133"/>
        <w:gridCol w:w="1133"/>
        <w:gridCol w:w="1133"/>
        <w:gridCol w:w="1133"/>
        <w:gridCol w:w="1138"/>
        <w:gridCol w:w="1142"/>
      </w:tblGrid>
      <w:tr>
        <w:trPr>
          <w:trHeight w:val="32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2021 </w:t>
            </w:r>
            <w:r>
              <w:rPr>
                <w:color w:val="000000"/>
                <w:spacing w:val="0"/>
                <w:w w:val="100"/>
                <w:position w:val="0"/>
              </w:rPr>
              <w:t>年</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年</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94, 548, </w:t>
            </w:r>
            <w:r>
              <w:rPr>
                <w:color w:val="000000"/>
                <w:spacing w:val="0"/>
                <w:w w:val="100"/>
                <w:position w:val="0"/>
                <w:sz w:val="18"/>
                <w:szCs w:val="18"/>
              </w:rPr>
              <w:t xml:space="preserve">238. </w:t>
            </w:r>
            <w:r>
              <w:rPr>
                <w:color w:val="000000"/>
                <w:spacing w:val="0"/>
                <w:w w:val="100"/>
                <w:position w:val="0"/>
                <w:sz w:val="18"/>
                <w:szCs w:val="18"/>
              </w:rPr>
              <w:t>0</w:t>
            </w:r>
          </w:p>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(13, 978, </w:t>
            </w:r>
            <w:r>
              <w:rPr>
                <w:color w:val="000000"/>
                <w:spacing w:val="0"/>
                <w:w w:val="100"/>
                <w:position w:val="0"/>
                <w:sz w:val="18"/>
                <w:szCs w:val="18"/>
              </w:rPr>
              <w:t>756.</w:t>
            </w:r>
          </w:p>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8"/>
                <w:szCs w:val="18"/>
              </w:rPr>
              <w:t>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80, 569, </w:t>
            </w:r>
            <w:r>
              <w:rPr>
                <w:color w:val="000000"/>
                <w:spacing w:val="0"/>
                <w:w w:val="100"/>
                <w:position w:val="0"/>
                <w:sz w:val="18"/>
                <w:szCs w:val="18"/>
              </w:rPr>
              <w:t xml:space="preserve">481. </w:t>
            </w:r>
            <w:r>
              <w:rPr>
                <w:color w:val="000000"/>
                <w:spacing w:val="0"/>
                <w:w w:val="100"/>
                <w:position w:val="0"/>
                <w:sz w:val="18"/>
                <w:szCs w:val="18"/>
              </w:rPr>
              <w:t>2</w:t>
            </w:r>
          </w:p>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79, 548, </w:t>
            </w:r>
            <w:r>
              <w:rPr>
                <w:color w:val="000000"/>
                <w:spacing w:val="0"/>
                <w:w w:val="100"/>
                <w:position w:val="0"/>
                <w:sz w:val="18"/>
                <w:szCs w:val="18"/>
              </w:rPr>
              <w:t xml:space="preserve">238. </w:t>
            </w:r>
            <w:r>
              <w:rPr>
                <w:color w:val="000000"/>
                <w:spacing w:val="0"/>
                <w:w w:val="100"/>
                <w:position w:val="0"/>
                <w:sz w:val="18"/>
                <w:szCs w:val="18"/>
              </w:rPr>
              <w:t>0</w:t>
            </w:r>
          </w:p>
          <w:p>
            <w:pPr>
              <w:pStyle w:val="Style23"/>
              <w:keepNext w:val="0"/>
              <w:keepLines w:val="0"/>
              <w:widowControl w:val="0"/>
              <w:shd w:val="clear" w:color="auto" w:fill="auto"/>
              <w:bidi w:val="0"/>
              <w:spacing w:before="0" w:after="0" w:line="240" w:lineRule="auto"/>
              <w:ind w:left="0" w:right="280" w:firstLine="0"/>
              <w:jc w:val="right"/>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(13, 978, </w:t>
            </w:r>
            <w:r>
              <w:rPr>
                <w:color w:val="000000"/>
                <w:spacing w:val="0"/>
                <w:w w:val="100"/>
                <w:position w:val="0"/>
                <w:sz w:val="18"/>
                <w:szCs w:val="18"/>
              </w:rPr>
              <w:t>756.</w:t>
            </w:r>
          </w:p>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65, 569, </w:t>
            </w:r>
            <w:r>
              <w:rPr>
                <w:color w:val="000000"/>
                <w:spacing w:val="0"/>
                <w:w w:val="100"/>
                <w:position w:val="0"/>
                <w:sz w:val="18"/>
                <w:szCs w:val="18"/>
              </w:rPr>
              <w:t xml:space="preserve">481. </w:t>
            </w:r>
            <w:r>
              <w:rPr>
                <w:color w:val="000000"/>
                <w:spacing w:val="0"/>
                <w:w w:val="100"/>
                <w:position w:val="0"/>
                <w:sz w:val="18"/>
                <w:szCs w:val="18"/>
              </w:rPr>
              <w:t>2</w:t>
            </w:r>
          </w:p>
          <w:p>
            <w:pPr>
              <w:pStyle w:val="Style23"/>
              <w:keepNext w:val="0"/>
              <w:keepLines w:val="0"/>
              <w:widowControl w:val="0"/>
              <w:shd w:val="clear" w:color="auto" w:fill="auto"/>
              <w:bidi w:val="0"/>
              <w:spacing w:before="0" w:after="0" w:line="240" w:lineRule="auto"/>
              <w:ind w:left="0" w:right="300" w:firstLine="0"/>
              <w:jc w:val="right"/>
            </w:pPr>
            <w:r>
              <w:rPr>
                <w:color w:val="000000"/>
                <w:spacing w:val="0"/>
                <w:w w:val="100"/>
                <w:position w:val="0"/>
                <w:sz w:val="18"/>
                <w:szCs w:val="18"/>
              </w:rPr>
              <w:t>6</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对联营、合营企业投资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3, 430, </w:t>
            </w:r>
            <w:r>
              <w:rPr>
                <w:color w:val="000000"/>
                <w:spacing w:val="0"/>
                <w:w w:val="100"/>
                <w:position w:val="0"/>
                <w:sz w:val="18"/>
                <w:szCs w:val="18"/>
              </w:rPr>
              <w:t xml:space="preserve">264.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_</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3, 430, </w:t>
            </w:r>
            <w:r>
              <w:rPr>
                <w:color w:val="000000"/>
                <w:spacing w:val="0"/>
                <w:w w:val="100"/>
                <w:position w:val="0"/>
                <w:sz w:val="18"/>
                <w:szCs w:val="18"/>
              </w:rPr>
              <w:t xml:space="preserve">264.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3,610, </w:t>
            </w:r>
            <w:r>
              <w:rPr>
                <w:color w:val="000000"/>
                <w:spacing w:val="0"/>
                <w:w w:val="100"/>
                <w:position w:val="0"/>
                <w:sz w:val="18"/>
                <w:szCs w:val="18"/>
              </w:rPr>
              <w:t xml:space="preserve">696. </w:t>
            </w: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_</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3,610, </w:t>
            </w:r>
            <w:r>
              <w:rPr>
                <w:color w:val="000000"/>
                <w:spacing w:val="0"/>
                <w:w w:val="100"/>
                <w:position w:val="0"/>
                <w:sz w:val="18"/>
                <w:szCs w:val="18"/>
              </w:rPr>
              <w:t xml:space="preserve">696. </w:t>
            </w:r>
            <w:r>
              <w:rPr>
                <w:color w:val="000000"/>
                <w:spacing w:val="0"/>
                <w:w w:val="100"/>
                <w:position w:val="0"/>
                <w:sz w:val="18"/>
                <w:szCs w:val="18"/>
              </w:rPr>
              <w:t>80</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97, 978, </w:t>
            </w:r>
            <w:r>
              <w:rPr>
                <w:color w:val="000000"/>
                <w:spacing w:val="0"/>
                <w:w w:val="100"/>
                <w:position w:val="0"/>
                <w:sz w:val="18"/>
                <w:szCs w:val="18"/>
              </w:rPr>
              <w:t xml:space="preserve">502. </w:t>
            </w:r>
            <w:r>
              <w:rPr>
                <w:color w:val="000000"/>
                <w:spacing w:val="0"/>
                <w:w w:val="100"/>
                <w:position w:val="0"/>
                <w:sz w:val="18"/>
                <w:szCs w:val="18"/>
              </w:rPr>
              <w:t>0</w:t>
            </w:r>
          </w:p>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(13, 978, </w:t>
            </w:r>
            <w:r>
              <w:rPr>
                <w:color w:val="000000"/>
                <w:spacing w:val="0"/>
                <w:w w:val="100"/>
                <w:position w:val="0"/>
                <w:sz w:val="18"/>
                <w:szCs w:val="18"/>
              </w:rPr>
              <w:t>756.</w:t>
            </w:r>
          </w:p>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8"/>
                <w:szCs w:val="18"/>
              </w:rPr>
              <w:t>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83, 999, </w:t>
            </w:r>
            <w:r>
              <w:rPr>
                <w:color w:val="000000"/>
                <w:spacing w:val="0"/>
                <w:w w:val="100"/>
                <w:position w:val="0"/>
                <w:sz w:val="18"/>
                <w:szCs w:val="18"/>
              </w:rPr>
              <w:t xml:space="preserve">745. </w:t>
            </w:r>
            <w:r>
              <w:rPr>
                <w:color w:val="000000"/>
                <w:spacing w:val="0"/>
                <w:w w:val="100"/>
                <w:position w:val="0"/>
                <w:sz w:val="18"/>
                <w:szCs w:val="18"/>
              </w:rPr>
              <w:t>2</w:t>
            </w:r>
          </w:p>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83, 158, </w:t>
            </w:r>
            <w:r>
              <w:rPr>
                <w:color w:val="000000"/>
                <w:spacing w:val="0"/>
                <w:w w:val="100"/>
                <w:position w:val="0"/>
                <w:sz w:val="18"/>
                <w:szCs w:val="18"/>
              </w:rPr>
              <w:t xml:space="preserve">934. </w:t>
            </w:r>
            <w:r>
              <w:rPr>
                <w:color w:val="000000"/>
                <w:spacing w:val="0"/>
                <w:w w:val="100"/>
                <w:position w:val="0"/>
                <w:sz w:val="18"/>
                <w:szCs w:val="18"/>
              </w:rPr>
              <w:t>8</w:t>
            </w:r>
          </w:p>
          <w:p>
            <w:pPr>
              <w:pStyle w:val="Style23"/>
              <w:keepNext w:val="0"/>
              <w:keepLines w:val="0"/>
              <w:widowControl w:val="0"/>
              <w:shd w:val="clear" w:color="auto" w:fill="auto"/>
              <w:bidi w:val="0"/>
              <w:spacing w:before="0" w:after="0" w:line="240" w:lineRule="auto"/>
              <w:ind w:left="0" w:right="280" w:firstLine="0"/>
              <w:jc w:val="right"/>
            </w:pPr>
            <w:r>
              <w:rPr>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(13, 978, </w:t>
            </w:r>
            <w:r>
              <w:rPr>
                <w:color w:val="000000"/>
                <w:spacing w:val="0"/>
                <w:w w:val="100"/>
                <w:position w:val="0"/>
                <w:sz w:val="18"/>
                <w:szCs w:val="18"/>
              </w:rPr>
              <w:t>756.</w:t>
            </w:r>
          </w:p>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sz w:val="18"/>
                <w:szCs w:val="18"/>
              </w:rPr>
              <w:t>77)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69, 180, </w:t>
            </w:r>
            <w:r>
              <w:rPr>
                <w:color w:val="000000"/>
                <w:spacing w:val="0"/>
                <w:w w:val="100"/>
                <w:position w:val="0"/>
                <w:sz w:val="18"/>
                <w:szCs w:val="18"/>
              </w:rPr>
              <w:t xml:space="preserve">178. </w:t>
            </w:r>
            <w:r>
              <w:rPr>
                <w:color w:val="000000"/>
                <w:spacing w:val="0"/>
                <w:w w:val="100"/>
                <w:position w:val="0"/>
                <w:sz w:val="18"/>
                <w:szCs w:val="18"/>
              </w:rPr>
              <w:t>0</w:t>
            </w:r>
          </w:p>
          <w:p>
            <w:pPr>
              <w:pStyle w:val="Style23"/>
              <w:keepNext w:val="0"/>
              <w:keepLines w:val="0"/>
              <w:widowControl w:val="0"/>
              <w:shd w:val="clear" w:color="auto" w:fill="auto"/>
              <w:bidi w:val="0"/>
              <w:spacing w:before="0" w:after="0" w:line="240" w:lineRule="auto"/>
              <w:ind w:left="0" w:right="300" w:firstLine="0"/>
              <w:jc w:val="right"/>
            </w:pPr>
            <w:r>
              <w:rPr>
                <w:color w:val="000000"/>
                <w:spacing w:val="0"/>
                <w:w w:val="100"/>
                <w:position w:val="0"/>
                <w:sz w:val="18"/>
                <w:szCs w:val="18"/>
              </w:rPr>
              <w:t>6</w:t>
            </w:r>
          </w:p>
        </w:tc>
      </w:tr>
    </w:tbl>
    <w:p>
      <w:pPr>
        <w:widowControl w:val="0"/>
        <w:spacing w:after="59" w:line="1" w:lineRule="exact"/>
      </w:pPr>
    </w:p>
    <w:p>
      <w:pPr>
        <w:pStyle w:val="Style29"/>
        <w:keepNext w:val="0"/>
        <w:keepLines w:val="0"/>
        <w:widowControl w:val="0"/>
        <w:shd w:val="clear" w:color="auto" w:fill="auto"/>
        <w:bidi w:val="0"/>
        <w:spacing w:before="0" w:after="0" w:line="240" w:lineRule="auto"/>
        <w:ind w:left="331"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对子公司投资</w:t>
      </w:r>
    </w:p>
    <w:tbl>
      <w:tblPr>
        <w:tblOverlap w:val="never"/>
        <w:jc w:val="center"/>
        <w:tblLayout w:type="fixed"/>
      </w:tblPr>
      <w:tblGrid>
        <w:gridCol w:w="1253"/>
        <w:gridCol w:w="1291"/>
        <w:gridCol w:w="974"/>
        <w:gridCol w:w="1138"/>
        <w:gridCol w:w="1133"/>
        <w:gridCol w:w="1008"/>
        <w:gridCol w:w="1258"/>
        <w:gridCol w:w="1147"/>
      </w:tblGrid>
      <w:tr>
        <w:trPr>
          <w:trHeight w:val="32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年初余额</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本年增减变动</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年末余额</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300"/>
              <w:jc w:val="left"/>
            </w:pPr>
            <w:r>
              <w:rPr>
                <w:color w:val="000000"/>
                <w:spacing w:val="0"/>
                <w:w w:val="100"/>
                <w:position w:val="0"/>
              </w:rPr>
              <w:t>减值准备</w:t>
            </w:r>
          </w:p>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年末余额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追加投资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减少投资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市政中心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9, 427, </w:t>
            </w:r>
            <w:r>
              <w:rPr>
                <w:color w:val="000000"/>
                <w:spacing w:val="0"/>
                <w:w w:val="100"/>
                <w:position w:val="0"/>
                <w:sz w:val="18"/>
                <w:szCs w:val="18"/>
              </w:rPr>
              <w:t xml:space="preserve">838. </w:t>
            </w:r>
            <w:r>
              <w:rPr>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9, 427, </w:t>
            </w:r>
            <w:r>
              <w:rPr>
                <w:color w:val="000000"/>
                <w:spacing w:val="0"/>
                <w:w w:val="100"/>
                <w:position w:val="0"/>
                <w:sz w:val="18"/>
                <w:szCs w:val="18"/>
              </w:rPr>
              <w:t xml:space="preserve">838. </w:t>
            </w:r>
            <w:r>
              <w:rPr>
                <w:color w:val="000000"/>
                <w:spacing w:val="0"/>
                <w:w w:val="100"/>
                <w:position w:val="0"/>
                <w:sz w:val="18"/>
                <w:szCs w:val="18"/>
              </w:rPr>
              <w:t>03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00" w:firstLine="0"/>
              <w:jc w:val="righ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253"/>
        <w:gridCol w:w="1291"/>
        <w:gridCol w:w="974"/>
        <w:gridCol w:w="1138"/>
        <w:gridCol w:w="1133"/>
        <w:gridCol w:w="1003"/>
        <w:gridCol w:w="1262"/>
        <w:gridCol w:w="1147"/>
      </w:tblGrid>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迪赛恩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530,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530,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艾科筑业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134, </w:t>
            </w:r>
            <w:r>
              <w:rPr>
                <w:color w:val="000000"/>
                <w:spacing w:val="0"/>
                <w:w w:val="100"/>
                <w:position w:val="0"/>
                <w:sz w:val="18"/>
                <w:szCs w:val="18"/>
              </w:rPr>
              <w:t xml:space="preserve">931. </w:t>
            </w:r>
            <w:r>
              <w:rPr>
                <w:color w:val="000000"/>
                <w:spacing w:val="0"/>
                <w:w w:val="100"/>
                <w:position w:val="0"/>
                <w:sz w:val="18"/>
                <w:szCs w:val="18"/>
              </w:rPr>
              <w:t>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134, </w:t>
            </w:r>
            <w:r>
              <w:rPr>
                <w:color w:val="000000"/>
                <w:spacing w:val="0"/>
                <w:w w:val="100"/>
                <w:position w:val="0"/>
                <w:sz w:val="18"/>
                <w:szCs w:val="18"/>
              </w:rPr>
              <w:t xml:space="preserve">931. </w:t>
            </w:r>
            <w:r>
              <w:rPr>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(240, </w:t>
            </w:r>
            <w:r>
              <w:rPr>
                <w:color w:val="000000"/>
                <w:spacing w:val="0"/>
                <w:w w:val="100"/>
                <w:position w:val="0"/>
                <w:sz w:val="18"/>
                <w:szCs w:val="18"/>
              </w:rPr>
              <w:t>068.31)</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深圳艾科城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1,540, </w:t>
            </w:r>
            <w:r>
              <w:rPr>
                <w:color w:val="000000"/>
                <w:spacing w:val="0"/>
                <w:w w:val="100"/>
                <w:position w:val="0"/>
                <w:sz w:val="18"/>
                <w:szCs w:val="18"/>
              </w:rPr>
              <w:t xml:space="preserve">419.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1,540, </w:t>
            </w:r>
            <w:r>
              <w:rPr>
                <w:color w:val="000000"/>
                <w:spacing w:val="0"/>
                <w:w w:val="100"/>
                <w:position w:val="0"/>
                <w:sz w:val="18"/>
                <w:szCs w:val="18"/>
              </w:rPr>
              <w:t xml:space="preserve">419. </w:t>
            </w:r>
            <w:r>
              <w:rPr>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(1,459, </w:t>
            </w:r>
            <w:r>
              <w:rPr>
                <w:color w:val="000000"/>
                <w:spacing w:val="0"/>
                <w:w w:val="100"/>
                <w:position w:val="0"/>
                <w:sz w:val="18"/>
                <w:szCs w:val="18"/>
              </w:rPr>
              <w:t xml:space="preserve">580. </w:t>
            </w:r>
            <w:r>
              <w:rPr>
                <w:color w:val="000000"/>
                <w:spacing w:val="0"/>
                <w:w w:val="100"/>
                <w:position w:val="0"/>
                <w:sz w:val="18"/>
                <w:szCs w:val="18"/>
              </w:rPr>
              <w:t>6</w:t>
            </w:r>
          </w:p>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8)</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北京艾科城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3, 000,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3, </w:t>
            </w:r>
            <w:r>
              <w:rPr>
                <w:color w:val="000000"/>
                <w:spacing w:val="0"/>
                <w:w w:val="100"/>
                <w:position w:val="0"/>
                <w:sz w:val="18"/>
                <w:szCs w:val="18"/>
              </w:rPr>
              <w:t xml:space="preserve">000, 000.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建研检测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5, 000,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5, 000,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常州城建艾科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600,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600,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上海爱轲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2, 501, </w:t>
            </w:r>
            <w:r>
              <w:rPr>
                <w:color w:val="000000"/>
                <w:spacing w:val="0"/>
                <w:w w:val="100"/>
                <w:position w:val="0"/>
                <w:sz w:val="18"/>
                <w:szCs w:val="18"/>
              </w:rPr>
              <w:t xml:space="preserve">185.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2, 501, </w:t>
            </w:r>
            <w:r>
              <w:rPr>
                <w:color w:val="000000"/>
                <w:spacing w:val="0"/>
                <w:w w:val="100"/>
                <w:position w:val="0"/>
                <w:sz w:val="18"/>
                <w:szCs w:val="18"/>
              </w:rPr>
              <w:t xml:space="preserve">185. </w:t>
            </w:r>
            <w:r>
              <w:rPr>
                <w:color w:val="000000"/>
                <w:spacing w:val="0"/>
                <w:w w:val="100"/>
                <w:position w:val="0"/>
                <w:sz w:val="18"/>
                <w:szCs w:val="18"/>
              </w:rPr>
              <w:t>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(498,814. </w:t>
            </w:r>
            <w:r>
              <w:rPr>
                <w:color w:val="000000"/>
                <w:spacing w:val="0"/>
                <w:w w:val="100"/>
                <w:position w:val="0"/>
                <w:sz w:val="18"/>
                <w:szCs w:val="18"/>
              </w:rPr>
              <w:t>35)</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深圳玖伊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w:t>
            </w:r>
            <w:r>
              <w:rPr>
                <w:color w:val="000000"/>
                <w:spacing w:val="0"/>
                <w:w w:val="100"/>
                <w:position w:val="0"/>
                <w:sz w:val="18"/>
                <w:szCs w:val="18"/>
              </w:rPr>
              <w:t xml:space="preserve">200, 000. </w:t>
            </w:r>
            <w:r>
              <w:rPr>
                <w:color w:val="000000"/>
                <w:spacing w:val="0"/>
                <w:w w:val="100"/>
                <w:position w:val="0"/>
                <w:sz w:val="18"/>
                <w:szCs w:val="18"/>
              </w:rPr>
              <w:t>0</w:t>
            </w:r>
          </w:p>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雄安玖壹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9, 405, </w:t>
            </w:r>
            <w:r>
              <w:rPr>
                <w:color w:val="000000"/>
                <w:spacing w:val="0"/>
                <w:w w:val="100"/>
                <w:position w:val="0"/>
                <w:sz w:val="18"/>
                <w:szCs w:val="18"/>
              </w:rPr>
              <w:t xml:space="preserve">206. </w:t>
            </w: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9, </w:t>
            </w:r>
            <w:r>
              <w:rPr>
                <w:color w:val="000000"/>
                <w:spacing w:val="0"/>
                <w:w w:val="100"/>
                <w:position w:val="0"/>
                <w:sz w:val="18"/>
                <w:szCs w:val="18"/>
              </w:rPr>
              <w:t xml:space="preserve">405, 206. </w:t>
            </w:r>
            <w:r>
              <w:rPr>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(594, </w:t>
            </w:r>
            <w:r>
              <w:rPr>
                <w:color w:val="000000"/>
                <w:spacing w:val="0"/>
                <w:w w:val="100"/>
                <w:position w:val="0"/>
                <w:sz w:val="18"/>
                <w:szCs w:val="18"/>
              </w:rPr>
              <w:t xml:space="preserve">793. </w:t>
            </w:r>
            <w:r>
              <w:rPr>
                <w:color w:val="000000"/>
                <w:spacing w:val="0"/>
                <w:w w:val="100"/>
                <w:position w:val="0"/>
                <w:sz w:val="18"/>
                <w:szCs w:val="18"/>
              </w:rPr>
              <w:t>53)</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绿研检验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20,114,914.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15, 000, 000</w:t>
            </w:r>
          </w:p>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35, </w:t>
            </w:r>
            <w:r>
              <w:rPr>
                <w:color w:val="000000"/>
                <w:spacing w:val="0"/>
                <w:w w:val="100"/>
                <w:position w:val="0"/>
                <w:sz w:val="18"/>
                <w:szCs w:val="18"/>
              </w:rPr>
              <w:t xml:space="preserve">114,914. </w:t>
            </w:r>
            <w:r>
              <w:rPr>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(4, 885, </w:t>
            </w:r>
            <w:r>
              <w:rPr>
                <w:color w:val="000000"/>
                <w:spacing w:val="0"/>
                <w:w w:val="100"/>
                <w:position w:val="0"/>
                <w:sz w:val="18"/>
                <w:szCs w:val="18"/>
              </w:rPr>
              <w:t xml:space="preserve">085. </w:t>
            </w:r>
            <w:r>
              <w:rPr>
                <w:color w:val="000000"/>
                <w:spacing w:val="0"/>
                <w:w w:val="100"/>
                <w:position w:val="0"/>
                <w:sz w:val="18"/>
                <w:szCs w:val="18"/>
              </w:rPr>
              <w:t>4</w:t>
            </w:r>
          </w:p>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4)</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建信筑和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899, </w:t>
            </w:r>
            <w:r>
              <w:rPr>
                <w:color w:val="000000"/>
                <w:spacing w:val="0"/>
                <w:w w:val="100"/>
                <w:position w:val="0"/>
                <w:sz w:val="18"/>
                <w:szCs w:val="18"/>
              </w:rPr>
              <w:t xml:space="preserve">585.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899, </w:t>
            </w:r>
            <w:r>
              <w:rPr>
                <w:color w:val="000000"/>
                <w:spacing w:val="0"/>
                <w:w w:val="100"/>
                <w:position w:val="0"/>
                <w:sz w:val="18"/>
                <w:szCs w:val="18"/>
              </w:rPr>
              <w:t xml:space="preserve">585. </w:t>
            </w:r>
            <w:r>
              <w:rPr>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w:t>
            </w:r>
            <w:r>
              <w:rPr>
                <w:color w:val="000000"/>
                <w:spacing w:val="0"/>
                <w:w w:val="100"/>
                <w:position w:val="0"/>
                <w:sz w:val="18"/>
                <w:szCs w:val="18"/>
              </w:rPr>
              <w:t>100,414.4</w:t>
            </w:r>
          </w:p>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6)</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湖北建胜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12,415,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12,415,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湾区绿色技术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湾区规划设计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w:t>
            </w:r>
          </w:p>
        </w:tc>
      </w:tr>
      <w:tr>
        <w:trPr>
          <w:trHeight w:val="56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65, 569, </w:t>
            </w:r>
            <w:r>
              <w:rPr>
                <w:color w:val="000000"/>
                <w:spacing w:val="0"/>
                <w:w w:val="100"/>
                <w:position w:val="0"/>
                <w:sz w:val="18"/>
                <w:szCs w:val="18"/>
              </w:rPr>
              <w:t xml:space="preserve">481. </w:t>
            </w:r>
            <w:r>
              <w:rPr>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15, </w:t>
            </w:r>
            <w:r>
              <w:rPr>
                <w:color w:val="000000"/>
                <w:spacing w:val="0"/>
                <w:w w:val="100"/>
                <w:position w:val="0"/>
                <w:sz w:val="18"/>
                <w:szCs w:val="18"/>
              </w:rPr>
              <w:t xml:space="preserve">000, </w:t>
            </w:r>
            <w:r>
              <w:rPr>
                <w:color w:val="000000"/>
                <w:spacing w:val="0"/>
                <w:w w:val="100"/>
                <w:position w:val="0"/>
                <w:sz w:val="18"/>
                <w:szCs w:val="18"/>
              </w:rPr>
              <w:t>000</w:t>
            </w:r>
          </w:p>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80, 569, </w:t>
            </w:r>
            <w:r>
              <w:rPr>
                <w:color w:val="000000"/>
                <w:spacing w:val="0"/>
                <w:w w:val="100"/>
                <w:position w:val="0"/>
                <w:sz w:val="18"/>
                <w:szCs w:val="18"/>
              </w:rPr>
              <w:t xml:space="preserve">481. </w:t>
            </w:r>
            <w:r>
              <w:rPr>
                <w:color w:val="000000"/>
                <w:spacing w:val="0"/>
                <w:w w:val="100"/>
                <w:position w:val="0"/>
                <w:sz w:val="18"/>
                <w:szCs w:val="18"/>
              </w:rPr>
              <w:t>26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(13, 978, </w:t>
            </w:r>
            <w:r>
              <w:rPr>
                <w:color w:val="000000"/>
                <w:spacing w:val="0"/>
                <w:w w:val="100"/>
                <w:position w:val="0"/>
                <w:sz w:val="18"/>
                <w:szCs w:val="18"/>
              </w:rPr>
              <w:t>756.</w:t>
            </w:r>
          </w:p>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sz w:val="18"/>
                <w:szCs w:val="18"/>
              </w:rPr>
              <w:t>77)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本公司子公司的相关信息参见附注九。</w:t>
      </w:r>
    </w:p>
    <w:p>
      <w:pPr>
        <w:widowControl w:val="0"/>
        <w:spacing w:after="99" w:line="1" w:lineRule="exact"/>
      </w:pPr>
    </w:p>
    <w:p>
      <w:pPr>
        <w:pStyle w:val="Style20"/>
        <w:keepNext w:val="0"/>
        <w:keepLines w:val="0"/>
        <w:widowControl w:val="0"/>
        <w:numPr>
          <w:ilvl w:val="0"/>
          <w:numId w:val="95"/>
        </w:numPr>
        <w:shd w:val="clear" w:color="auto" w:fill="auto"/>
        <w:tabs>
          <w:tab w:pos="902" w:val="left"/>
        </w:tabs>
        <w:bidi w:val="0"/>
        <w:spacing w:before="0" w:after="380" w:line="240" w:lineRule="auto"/>
        <w:ind w:left="0" w:right="0" w:firstLine="360"/>
        <w:jc w:val="left"/>
      </w:pPr>
      <w:bookmarkStart w:id="1200" w:name="bookmark1200"/>
      <w:bookmarkEnd w:id="1200"/>
      <w:r>
        <w:rPr>
          <w:color w:val="000000"/>
          <w:spacing w:val="0"/>
          <w:w w:val="100"/>
          <w:position w:val="0"/>
        </w:rPr>
        <w:t>对联营企业投资，详见附注七、</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31"/>
        <w:keepNext/>
        <w:keepLines/>
        <w:widowControl w:val="0"/>
        <w:shd w:val="clear" w:color="auto" w:fill="auto"/>
        <w:bidi w:val="0"/>
        <w:spacing w:before="0" w:after="380" w:line="240" w:lineRule="auto"/>
        <w:ind w:left="0" w:right="0" w:firstLine="0"/>
        <w:jc w:val="left"/>
      </w:pPr>
      <w:bookmarkStart w:id="1201" w:name="bookmark1201"/>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6</w:t>
      </w:r>
      <w:bookmarkEnd w:id="1203"/>
      <w:r>
        <w:rPr>
          <w:color w:val="000000"/>
          <w:spacing w:val="0"/>
          <w:w w:val="100"/>
          <w:position w:val="0"/>
        </w:rPr>
        <w:t>、营业收入和营业成本</w:t>
      </w:r>
      <w:bookmarkEnd w:id="1201"/>
      <w:bookmarkEnd w:id="1202"/>
      <w:bookmarkEnd w:id="120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288,657,305.02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156,774,210.19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347,527,095.54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224,992,051.84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5,858,601.55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13,468,544.12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9,194,099.74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13,598,319.45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294,515,906.57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170,242,754.31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356,721,195.28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238,590,371.29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6"/>
        <w:gridCol w:w="3211"/>
        <w:gridCol w:w="322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城市规划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47,575,156.62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47,575,156.62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公信服务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11,543,919.05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11,543,919.05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建筑设计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85,202,499.22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85,202,499.22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建筑咨询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31,524,294.49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31,524,294.49</w:t>
            </w:r>
          </w:p>
        </w:tc>
      </w:tr>
    </w:tbl>
    <w:p>
      <w:pPr>
        <w:spacing w:lineRule="exact" w:line="1"/>
        <w:rPr>
          <w:sz w:val="2"/>
          <w:szCs w:val="2"/>
        </w:rPr>
      </w:pPr>
      <w:r>
        <w:br w:type="page"/>
      </w:r>
    </w:p>
    <w:tbl>
      <w:tblPr>
        <w:tblOverlap w:val="never"/>
        <w:jc w:val="center"/>
        <w:tblLayout w:type="fixed"/>
      </w:tblPr>
      <w:tblGrid>
        <w:gridCol w:w="3216"/>
        <w:gridCol w:w="3211"/>
        <w:gridCol w:w="3226"/>
      </w:tblGrid>
      <w:tr>
        <w:trPr>
          <w:trHeight w:val="4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EPC</w:t>
            </w:r>
            <w:r>
              <w:rPr>
                <w:color w:val="000000"/>
                <w:spacing w:val="0"/>
                <w:w w:val="100"/>
                <w:position w:val="0"/>
              </w:rPr>
              <w:t>及项目全过程管理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35,849,335.54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35,849,335.54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82,820,701.65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82,820,701.65</w:t>
            </w:r>
          </w:p>
        </w:tc>
      </w:tr>
    </w:tbl>
    <w:p>
      <w:pPr>
        <w:pStyle w:val="Style20"/>
        <w:keepNext w:val="0"/>
        <w:keepLines w:val="0"/>
        <w:widowControl w:val="0"/>
        <w:shd w:val="clear" w:color="auto" w:fill="auto"/>
        <w:bidi w:val="0"/>
        <w:spacing w:before="0" w:after="40" w:line="310" w:lineRule="exact"/>
        <w:ind w:left="0" w:right="0" w:firstLine="0"/>
        <w:jc w:val="left"/>
      </w:pPr>
      <w:r>
        <w:rPr>
          <w:color w:val="000000"/>
          <w:spacing w:val="0"/>
          <w:w w:val="100"/>
          <w:position w:val="0"/>
        </w:rPr>
        <w:t>与分摊至剩余履约义务的交易价格相关的信息：</w:t>
      </w:r>
    </w:p>
    <w:p>
      <w:pPr>
        <w:pStyle w:val="Style20"/>
        <w:keepNext w:val="0"/>
        <w:keepLines w:val="0"/>
        <w:widowControl w:val="0"/>
        <w:shd w:val="clear" w:color="auto" w:fill="auto"/>
        <w:bidi w:val="0"/>
        <w:spacing w:before="0" w:after="40" w:line="310"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162,380,000.00</w:t>
      </w:r>
      <w:r>
        <w:rPr>
          <w:color w:val="000000"/>
          <w:spacing w:val="0"/>
          <w:w w:val="100"/>
          <w:position w:val="0"/>
        </w:rPr>
        <w:t xml:space="preserve">元，其中， </w:t>
      </w:r>
      <w:r>
        <w:rPr>
          <w:rFonts w:ascii="Times New Roman" w:eastAsia="Times New Roman" w:hAnsi="Times New Roman" w:cs="Times New Roman"/>
          <w:color w:val="000000"/>
          <w:spacing w:val="0"/>
          <w:w w:val="100"/>
          <w:position w:val="0"/>
        </w:rPr>
        <w:t>90,400,000.00</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21,030,000.00</w:t>
      </w:r>
      <w:r>
        <w:rPr>
          <w:color w:val="000000"/>
          <w:spacing w:val="0"/>
          <w:w w:val="100"/>
          <w:position w:val="0"/>
        </w:rPr>
        <w:t>元预计将于</w:t>
      </w:r>
      <w:r>
        <w:rPr>
          <w:rFonts w:ascii="Times New Roman" w:eastAsia="Times New Roman" w:hAnsi="Times New Roman" w:cs="Times New Roman"/>
          <w:color w:val="000000"/>
          <w:spacing w:val="0"/>
          <w:w w:val="100"/>
          <w:position w:val="0"/>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rPr>
        <w:t>18,030,000.00</w:t>
      </w:r>
      <w:r>
        <w:rPr>
          <w:color w:val="000000"/>
          <w:spacing w:val="0"/>
          <w:w w:val="100"/>
          <w:position w:val="0"/>
        </w:rPr>
        <w:t xml:space="preserve">元预计将于 </w:t>
      </w:r>
      <w:r>
        <w:rPr>
          <w:rFonts w:ascii="Times New Roman" w:eastAsia="Times New Roman" w:hAnsi="Times New Roman" w:cs="Times New Roman"/>
          <w:color w:val="000000"/>
          <w:spacing w:val="0"/>
          <w:w w:val="100"/>
          <w:position w:val="0"/>
        </w:rPr>
        <w:t>2024</w:t>
      </w:r>
      <w:r>
        <w:rPr>
          <w:color w:val="000000"/>
          <w:spacing w:val="0"/>
          <w:w w:val="100"/>
          <w:position w:val="0"/>
        </w:rPr>
        <w:t>年度确认收入。</w:t>
      </w:r>
    </w:p>
    <w:p>
      <w:pPr>
        <w:pStyle w:val="Style20"/>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7</w:t>
      </w:r>
      <w:bookmarkEnd w:id="1207"/>
      <w:r>
        <w:rPr>
          <w:color w:val="000000"/>
          <w:spacing w:val="0"/>
          <w:w w:val="100"/>
          <w:position w:val="0"/>
        </w:rPr>
        <w:t>、投资收益</w:t>
      </w:r>
      <w:bookmarkEnd w:id="1205"/>
      <w:bookmarkEnd w:id="1206"/>
      <w:bookmarkEnd w:id="120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24"/>
        <w:gridCol w:w="2160"/>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子公司的分红收益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1,267,200.00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-180,432.77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-126,780.92</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以公允价值计量且其变动计入当期损益的金融资产在 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452,998.64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1,086,767.23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326,217.72</w:t>
            </w:r>
          </w:p>
        </w:tc>
      </w:tr>
    </w:tbl>
    <w:p>
      <w:pPr>
        <w:widowControl w:val="0"/>
        <w:spacing w:after="31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十八、</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年非经常性损益明细表</w:t>
      </w:r>
    </w:p>
    <w:tbl>
      <w:tblPr>
        <w:tblOverlap w:val="never"/>
        <w:jc w:val="center"/>
        <w:tblLayout w:type="fixed"/>
      </w:tblPr>
      <w:tblGrid>
        <w:gridCol w:w="854"/>
        <w:gridCol w:w="6350"/>
        <w:gridCol w:w="1992"/>
      </w:tblGrid>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w:t>
            </w:r>
          </w:p>
        </w:tc>
      </w:tr>
      <w:tr>
        <w:trPr>
          <w:trHeight w:val="31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非流动资产处置收益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16, </w:t>
            </w:r>
            <w:r>
              <w:rPr>
                <w:color w:val="000000"/>
                <w:spacing w:val="0"/>
                <w:w w:val="100"/>
                <w:position w:val="0"/>
                <w:sz w:val="18"/>
                <w:szCs w:val="18"/>
              </w:rPr>
              <w:t xml:space="preserve">052. </w:t>
            </w:r>
            <w:r>
              <w:rPr>
                <w:color w:val="000000"/>
                <w:spacing w:val="0"/>
                <w:w w:val="100"/>
                <w:position w:val="0"/>
                <w:sz w:val="18"/>
                <w:szCs w:val="18"/>
              </w:rPr>
              <w:t>21</w:t>
            </w:r>
          </w:p>
        </w:tc>
      </w:tr>
      <w:tr>
        <w:trPr>
          <w:trHeight w:val="31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计入当期损益的政府补助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15, 897, </w:t>
            </w:r>
            <w:r>
              <w:rPr>
                <w:color w:val="000000"/>
                <w:spacing w:val="0"/>
                <w:w w:val="100"/>
                <w:position w:val="0"/>
                <w:sz w:val="18"/>
                <w:szCs w:val="18"/>
              </w:rPr>
              <w:t xml:space="preserve">303. </w:t>
            </w:r>
            <w:r>
              <w:rPr>
                <w:color w:val="000000"/>
                <w:spacing w:val="0"/>
                <w:w w:val="100"/>
                <w:position w:val="0"/>
                <w:sz w:val="18"/>
                <w:szCs w:val="18"/>
              </w:rPr>
              <w:t>28</w:t>
            </w:r>
          </w:p>
        </w:tc>
      </w:tr>
      <w:tr>
        <w:trPr>
          <w:trHeight w:val="54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6" w:lineRule="exact"/>
              <w:ind w:left="360" w:right="0" w:hanging="220"/>
              <w:jc w:val="left"/>
            </w:pPr>
            <w:r>
              <w:rPr>
                <w:color w:val="000000"/>
                <w:spacing w:val="0"/>
                <w:w w:val="100"/>
                <w:position w:val="0"/>
              </w:rPr>
              <w:t>持有交易性金融资产产生的公允价值变动损益，以及处置 交易性金融资产取得的投资收益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sz w:val="18"/>
                <w:szCs w:val="18"/>
              </w:rPr>
              <w:t xml:space="preserve">115. </w:t>
            </w:r>
            <w:r>
              <w:rPr>
                <w:color w:val="000000"/>
                <w:spacing w:val="0"/>
                <w:w w:val="100"/>
                <w:position w:val="0"/>
                <w:sz w:val="18"/>
                <w:szCs w:val="18"/>
              </w:rPr>
              <w:t>06</w:t>
            </w:r>
          </w:p>
        </w:tc>
      </w:tr>
      <w:tr>
        <w:trPr>
          <w:trHeight w:val="31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单独进行减值测试的应收款项减值准备转回</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322, </w:t>
            </w:r>
            <w:r>
              <w:rPr>
                <w:color w:val="000000"/>
                <w:spacing w:val="0"/>
                <w:w w:val="100"/>
                <w:position w:val="0"/>
                <w:sz w:val="18"/>
                <w:szCs w:val="18"/>
              </w:rPr>
              <w:t xml:space="preserve">187. </w:t>
            </w:r>
            <w:r>
              <w:rPr>
                <w:color w:val="000000"/>
                <w:spacing w:val="0"/>
                <w:w w:val="100"/>
                <w:position w:val="0"/>
                <w:sz w:val="18"/>
                <w:szCs w:val="18"/>
              </w:rPr>
              <w:t>57</w:t>
            </w:r>
          </w:p>
        </w:tc>
      </w:tr>
      <w:tr>
        <w:trPr>
          <w:trHeight w:val="31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除上述各项之外的其他营业外收入和支出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2,122, </w:t>
            </w:r>
            <w:r>
              <w:rPr>
                <w:color w:val="000000"/>
                <w:spacing w:val="0"/>
                <w:w w:val="100"/>
                <w:position w:val="0"/>
                <w:sz w:val="18"/>
                <w:szCs w:val="18"/>
              </w:rPr>
              <w:t xml:space="preserve">008. </w:t>
            </w:r>
            <w:r>
              <w:rPr>
                <w:color w:val="000000"/>
                <w:spacing w:val="0"/>
                <w:w w:val="100"/>
                <w:position w:val="0"/>
                <w:sz w:val="18"/>
                <w:szCs w:val="18"/>
              </w:rPr>
              <w:t>56</w:t>
            </w:r>
          </w:p>
        </w:tc>
      </w:tr>
      <w:tr>
        <w:trPr>
          <w:trHeight w:val="31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小计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18, 357, </w:t>
            </w:r>
            <w:r>
              <w:rPr>
                <w:color w:val="000000"/>
                <w:spacing w:val="0"/>
                <w:w w:val="100"/>
                <w:position w:val="0"/>
                <w:sz w:val="18"/>
                <w:szCs w:val="18"/>
              </w:rPr>
              <w:t xml:space="preserve">666. </w:t>
            </w:r>
            <w:r>
              <w:rPr>
                <w:color w:val="000000"/>
                <w:spacing w:val="0"/>
                <w:w w:val="100"/>
                <w:position w:val="0"/>
                <w:sz w:val="18"/>
                <w:szCs w:val="18"/>
              </w:rPr>
              <w:t>68</w:t>
            </w:r>
          </w:p>
        </w:tc>
      </w:tr>
      <w:tr>
        <w:trPr>
          <w:trHeight w:val="31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所得税影响额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2, 893, </w:t>
            </w:r>
            <w:r>
              <w:rPr>
                <w:color w:val="000000"/>
                <w:spacing w:val="0"/>
                <w:w w:val="100"/>
                <w:position w:val="0"/>
                <w:sz w:val="18"/>
                <w:szCs w:val="18"/>
              </w:rPr>
              <w:t xml:space="preserve">999. </w:t>
            </w:r>
            <w:r>
              <w:rPr>
                <w:color w:val="000000"/>
                <w:spacing w:val="0"/>
                <w:w w:val="100"/>
                <w:position w:val="0"/>
                <w:sz w:val="18"/>
                <w:szCs w:val="18"/>
              </w:rPr>
              <w:t>61</w:t>
            </w:r>
          </w:p>
        </w:tc>
      </w:tr>
      <w:tr>
        <w:trPr>
          <w:trHeight w:val="31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少数股东权益影响额（税后）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88, </w:t>
            </w:r>
            <w:r>
              <w:rPr>
                <w:color w:val="000000"/>
                <w:spacing w:val="0"/>
                <w:w w:val="100"/>
                <w:position w:val="0"/>
                <w:sz w:val="18"/>
                <w:szCs w:val="18"/>
              </w:rPr>
              <w:t xml:space="preserve">879. </w:t>
            </w:r>
            <w:r>
              <w:rPr>
                <w:color w:val="000000"/>
                <w:spacing w:val="0"/>
                <w:w w:val="100"/>
                <w:position w:val="0"/>
                <w:sz w:val="18"/>
                <w:szCs w:val="18"/>
              </w:rPr>
              <w:t>31</w:t>
            </w:r>
          </w:p>
        </w:tc>
      </w:tr>
      <w:tr>
        <w:trPr>
          <w:trHeight w:val="32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15, 374, </w:t>
            </w:r>
            <w:r>
              <w:rPr>
                <w:color w:val="000000"/>
                <w:spacing w:val="0"/>
                <w:w w:val="100"/>
                <w:position w:val="0"/>
                <w:sz w:val="18"/>
                <w:szCs w:val="18"/>
              </w:rPr>
              <w:t xml:space="preserve">787. </w:t>
            </w:r>
            <w:r>
              <w:rPr>
                <w:color w:val="000000"/>
                <w:spacing w:val="0"/>
                <w:w w:val="100"/>
                <w:position w:val="0"/>
                <w:sz w:val="18"/>
                <w:szCs w:val="18"/>
              </w:rPr>
              <w:t>76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注：上述 ⑴-</w:t>
      </w:r>
      <w:r>
        <w:rPr>
          <w:rFonts w:ascii="Times New Roman" w:eastAsia="Times New Roman" w:hAnsi="Times New Roman" w:cs="Times New Roman"/>
          <w:color w:val="000000"/>
          <w:spacing w:val="0"/>
          <w:w w:val="100"/>
          <w:position w:val="0"/>
        </w:rPr>
        <w:t>（5）</w:t>
      </w:r>
      <w:r>
        <w:rPr>
          <w:color w:val="000000"/>
          <w:spacing w:val="0"/>
          <w:w w:val="100"/>
          <w:position w:val="0"/>
        </w:rPr>
        <w:t>项各非经常性损益项目按税前金额列示。</w:t>
      </w:r>
    </w:p>
    <w:p>
      <w:pPr>
        <w:widowControl w:val="0"/>
        <w:spacing w:after="319" w:line="1" w:lineRule="exact"/>
      </w:pPr>
    </w:p>
    <w:p>
      <w:pPr>
        <w:pStyle w:val="Style26"/>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十九、净资产收益率及每股收益</w:t>
      </w:r>
    </w:p>
    <w:p>
      <w:pPr>
        <w:pStyle w:val="Style20"/>
        <w:keepNext w:val="0"/>
        <w:keepLines w:val="0"/>
        <w:widowControl w:val="0"/>
        <w:shd w:val="clear" w:color="auto" w:fill="auto"/>
        <w:bidi w:val="0"/>
        <w:spacing w:before="0" w:after="80" w:line="322" w:lineRule="exact"/>
        <w:ind w:left="0" w:right="0" w:firstLine="0"/>
        <w:jc w:val="left"/>
      </w:pPr>
      <w:r>
        <w:rPr>
          <w:color w:val="000000"/>
          <w:spacing w:val="0"/>
          <w:w w:val="100"/>
          <w:position w:val="0"/>
        </w:rPr>
        <w:t>本集团按照证监会颁布的《公开发行证券公司信息披露编报规则第</w:t>
      </w:r>
      <w:r>
        <w:rPr>
          <w:rFonts w:ascii="Times New Roman" w:eastAsia="Times New Roman" w:hAnsi="Times New Roman" w:cs="Times New Roman"/>
          <w:color w:val="000000"/>
          <w:spacing w:val="0"/>
          <w:w w:val="100"/>
          <w:position w:val="0"/>
        </w:rPr>
        <w:t>9</w:t>
      </w:r>
      <w:r>
        <w:rPr>
          <w:color w:val="000000"/>
          <w:spacing w:val="0"/>
          <w:w w:val="100"/>
          <w:position w:val="0"/>
        </w:rPr>
        <w:t>号</w:t>
      </w:r>
      <w:r>
        <w:rPr>
          <w:color w:val="000000"/>
          <w:spacing w:val="0"/>
          <w:w w:val="100"/>
          <w:position w:val="0"/>
        </w:rPr>
        <w:t>一一</w:t>
      </w:r>
      <w:r>
        <w:rPr>
          <w:color w:val="000000"/>
          <w:spacing w:val="0"/>
          <w:w w:val="100"/>
          <w:position w:val="0"/>
        </w:rPr>
        <w:t>净资产收益率和每股收益的计算及披露》</w:t>
      </w:r>
      <w:r>
        <w:rPr>
          <w:rFonts w:ascii="Times New Roman" w:eastAsia="Times New Roman" w:hAnsi="Times New Roman" w:cs="Times New Roman"/>
          <w:color w:val="000000"/>
          <w:spacing w:val="0"/>
          <w:w w:val="100"/>
          <w:position w:val="0"/>
        </w:rPr>
        <w:t xml:space="preserve">（2010 </w:t>
      </w:r>
      <w:r>
        <w:rPr>
          <w:color w:val="000000"/>
          <w:spacing w:val="0"/>
          <w:w w:val="100"/>
          <w:position w:val="0"/>
        </w:rPr>
        <w:t>年修订</w:t>
      </w:r>
      <w:r>
        <w:rPr>
          <w:color w:val="000000"/>
          <w:spacing w:val="0"/>
          <w:w w:val="100"/>
          <w:position w:val="0"/>
        </w:rPr>
        <w:t>）</w:t>
      </w:r>
      <w:r>
        <w:rPr>
          <w:color w:val="000000"/>
          <w:spacing w:val="0"/>
          <w:w w:val="100"/>
          <w:position w:val="0"/>
        </w:rPr>
        <w:t>以及会计准则相关规定计算的净资产收益率和每股收益如下：</w:t>
      </w:r>
    </w:p>
    <w:tbl>
      <w:tblPr>
        <w:tblOverlap w:val="never"/>
        <w:jc w:val="center"/>
        <w:tblLayout w:type="fixed"/>
      </w:tblPr>
      <w:tblGrid>
        <w:gridCol w:w="3235"/>
        <w:gridCol w:w="1982"/>
        <w:gridCol w:w="1987"/>
        <w:gridCol w:w="1992"/>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报告期利润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right"/>
            </w:pPr>
            <w:r>
              <w:rPr>
                <w:color w:val="000000"/>
                <w:spacing w:val="0"/>
                <w:w w:val="100"/>
                <w:position w:val="0"/>
              </w:rPr>
              <w:t>加权平均 净资产收益率（%）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稀释每股收益</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18"/>
                <w:szCs w:val="18"/>
              </w:rPr>
              <w:t xml:space="preserve">8. </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18"/>
                <w:szCs w:val="18"/>
              </w:rPr>
              <w:t xml:space="preserve">0. </w:t>
            </w:r>
            <w:r>
              <w:rPr>
                <w:color w:val="000000"/>
                <w:spacing w:val="0"/>
                <w:w w:val="100"/>
                <w:position w:val="0"/>
                <w:sz w:val="18"/>
                <w:szCs w:val="18"/>
              </w:rPr>
              <w:t>3035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sz w:val="18"/>
                <w:szCs w:val="18"/>
              </w:rPr>
              <w:t xml:space="preserve">0. </w:t>
            </w:r>
            <w:r>
              <w:rPr>
                <w:color w:val="000000"/>
                <w:spacing w:val="0"/>
                <w:w w:val="100"/>
                <w:position w:val="0"/>
                <w:sz w:val="18"/>
                <w:szCs w:val="18"/>
              </w:rPr>
              <w:t>3035</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340" w:right="0" w:hanging="20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18"/>
                <w:szCs w:val="18"/>
              </w:rPr>
              <w:t xml:space="preserve">5. </w:t>
            </w:r>
            <w:r>
              <w:rPr>
                <w:color w:val="000000"/>
                <w:spacing w:val="0"/>
                <w:w w:val="100"/>
                <w:position w:val="0"/>
                <w:sz w:val="18"/>
                <w:szCs w:val="18"/>
              </w:rPr>
              <w:t>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18"/>
                <w:szCs w:val="18"/>
              </w:rPr>
              <w:t xml:space="preserve">0. </w:t>
            </w:r>
            <w:r>
              <w:rPr>
                <w:color w:val="000000"/>
                <w:spacing w:val="0"/>
                <w:w w:val="100"/>
                <w:position w:val="0"/>
                <w:sz w:val="18"/>
                <w:szCs w:val="18"/>
              </w:rPr>
              <w:t>1986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sz w:val="18"/>
                <w:szCs w:val="18"/>
              </w:rPr>
              <w:t xml:space="preserve">0. </w:t>
            </w:r>
            <w:r>
              <w:rPr>
                <w:color w:val="000000"/>
                <w:spacing w:val="0"/>
                <w:w w:val="100"/>
                <w:position w:val="0"/>
                <w:sz w:val="18"/>
                <w:szCs w:val="18"/>
              </w:rPr>
              <w:t>1986</w:t>
            </w:r>
          </w:p>
        </w:tc>
      </w:tr>
    </w:tbl>
    <w:p>
      <w:pPr>
        <w:sectPr>
          <w:footnotePr>
            <w:pos w:val="pageBottom"/>
            <w:numFmt w:val="decimal"/>
            <w:numRestart w:val="continuous"/>
          </w:footnotePr>
          <w:pgSz w:w="11900" w:h="16840"/>
          <w:pgMar w:top="1486" w:right="1093" w:bottom="1434" w:left="1097" w:header="0" w:footer="3" w:gutter="0"/>
          <w:cols w:space="720"/>
          <w:noEndnote/>
          <w:rtlGutter w:val="0"/>
          <w:docGrid w:linePitch="360"/>
        </w:sectPr>
      </w:pPr>
    </w:p>
    <w:p>
      <w:pPr>
        <w:widowControl w:val="0"/>
        <w:jc w:val="left"/>
        <w:rPr>
          <w:sz w:val="2"/>
          <w:szCs w:val="2"/>
        </w:rPr>
      </w:pPr>
      <w:r>
        <w:drawing>
          <wp:inline>
            <wp:extent cx="494030" cy="328930"/>
            <wp:docPr id="33" name="Picutre 33"/>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9"/>
                    <a:stretch/>
                  </pic:blipFill>
                  <pic:spPr>
                    <a:xfrm>
                      <a:ext cx="494030" cy="328930"/>
                    </a:xfrm>
                    <a:prstGeom prst="rect"/>
                  </pic:spPr>
                </pic:pic>
              </a:graphicData>
            </a:graphic>
          </wp:inline>
        </w:drawing>
      </w:r>
    </w:p>
    <w:p>
      <w:pPr>
        <w:widowControl w:val="0"/>
        <w:spacing w:after="119" w:line="1" w:lineRule="exact"/>
      </w:pPr>
    </w:p>
    <w:p>
      <w:pPr>
        <w:widowControl w:val="0"/>
        <w:jc w:val="center"/>
        <w:rPr>
          <w:sz w:val="2"/>
          <w:szCs w:val="2"/>
        </w:rPr>
      </w:pPr>
      <w:r>
        <w:drawing>
          <wp:inline>
            <wp:extent cx="6126480" cy="8656320"/>
            <wp:docPr id="34" name="Picutre 34"/>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1"/>
                    <a:stretch/>
                  </pic:blipFill>
                  <pic:spPr>
                    <a:xfrm>
                      <a:ext cx="6126480" cy="8656320"/>
                    </a:xfrm>
                    <a:prstGeom prst="rect"/>
                  </pic:spPr>
                </pic:pic>
              </a:graphicData>
            </a:graphic>
          </wp:inline>
        </w:drawing>
      </w:r>
    </w:p>
    <w:sectPr>
      <w:footnotePr>
        <w:pos w:val="pageBottom"/>
        <w:numFmt w:val="decimal"/>
        <w:numRestart w:val="continuous"/>
      </w:footnotePr>
      <w:pgSz w:w="11900" w:h="16840"/>
      <w:pgMar w:top="850" w:right="1123" w:bottom="1152" w:left="11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7"/>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rPr>
    </w:lvl>
  </w:abstractNum>
  <w:abstractNum w:abstractNumId="9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8">
    <w:multiLevelType w:val="multilevel"/>
    <w:lvl w:ilvl="0">
      <w:start w:val="6"/>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6)_"/>
    <w:basedOn w:val="DefaultParagraphFont"/>
    <w:link w:val="Style2"/>
    <w:rPr>
      <w:rFonts w:ascii="SimHei" w:eastAsia="SimHei" w:hAnsi="SimHei" w:cs="SimHei"/>
      <w:b w:val="0"/>
      <w:bCs w:val="0"/>
      <w:i w:val="0"/>
      <w:iCs w:val="0"/>
      <w:smallCaps w:val="0"/>
      <w:strike w:val="0"/>
      <w:color w:val="7FA55B"/>
      <w:sz w:val="22"/>
      <w:szCs w:val="22"/>
      <w:u w:val="none"/>
      <w:shd w:val="clear" w:color="auto" w:fill="auto"/>
    </w:rPr>
  </w:style>
  <w:style w:type="character" w:customStyle="1" w:styleId="CharStyle5">
    <w:name w:val="Body text (5)_"/>
    <w:basedOn w:val="DefaultParagraphFont"/>
    <w:link w:val="Style4"/>
    <w:rPr>
      <w:rFonts w:ascii="Times New Roman" w:eastAsia="Times New Roman" w:hAnsi="Times New Roman" w:cs="Times New Roman"/>
      <w:b w:val="0"/>
      <w:bCs w:val="0"/>
      <w:i w:val="0"/>
      <w:iCs w:val="0"/>
      <w:smallCaps w:val="0"/>
      <w:strike w:val="0"/>
      <w:color w:val="7FA55B"/>
      <w:sz w:val="22"/>
      <w:szCs w:val="22"/>
      <w:u w:val="none"/>
      <w:shd w:val="clear" w:color="auto" w:fill="auto"/>
    </w:rPr>
  </w:style>
  <w:style w:type="character" w:customStyle="1" w:styleId="CharStyle8">
    <w:name w:val="Body text (4)_"/>
    <w:basedOn w:val="DefaultParagraphFont"/>
    <w:link w:val="Style7"/>
    <w:rPr>
      <w:rFonts w:ascii="SimHei" w:eastAsia="SimHei" w:hAnsi="SimHei" w:cs="SimHei"/>
      <w:b w:val="0"/>
      <w:bCs w:val="0"/>
      <w:i w:val="0"/>
      <w:iCs w:val="0"/>
      <w:smallCaps w:val="0"/>
      <w:strike w:val="0"/>
      <w:color w:val="6DA740"/>
      <w:sz w:val="44"/>
      <w:szCs w:val="44"/>
      <w:u w:val="none"/>
      <w:shd w:val="clear" w:color="auto" w:fill="auto"/>
    </w:rPr>
  </w:style>
  <w:style w:type="character" w:customStyle="1" w:styleId="CharStyle11">
    <w:name w:val="Body text (2)_"/>
    <w:basedOn w:val="DefaultParagraphFont"/>
    <w:link w:val="Style10"/>
    <w:rPr>
      <w:rFonts w:ascii="SimSun" w:eastAsia="SimSun" w:hAnsi="SimSun" w:cs="SimSun"/>
      <w:b/>
      <w:bCs/>
      <w:i w:val="0"/>
      <w:iCs w:val="0"/>
      <w:smallCaps w:val="0"/>
      <w:strike w:val="0"/>
      <w:sz w:val="28"/>
      <w:szCs w:val="28"/>
      <w:u w:val="none"/>
      <w:shd w:val="clear" w:color="auto" w:fill="auto"/>
    </w:rPr>
  </w:style>
  <w:style w:type="character" w:customStyle="1" w:styleId="CharStyle14">
    <w:name w:val="Heading #3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6">
    <w:name w:val="Heading #2_"/>
    <w:basedOn w:val="DefaultParagraphFont"/>
    <w:link w:val="Style15"/>
    <w:rPr>
      <w:rFonts w:ascii="SimSun" w:eastAsia="SimSun" w:hAnsi="SimSun" w:cs="SimSun"/>
      <w:b/>
      <w:bCs/>
      <w:i w:val="0"/>
      <w:iCs w:val="0"/>
      <w:smallCaps w:val="0"/>
      <w:strike w:val="0"/>
      <w:sz w:val="36"/>
      <w:szCs w:val="36"/>
      <w:u w:val="none"/>
      <w:shd w:val="clear" w:color="auto" w:fill="auto"/>
    </w:rPr>
  </w:style>
  <w:style w:type="character" w:customStyle="1" w:styleId="CharStyle18">
    <w:name w:val="Table of contents_"/>
    <w:basedOn w:val="DefaultParagraphFont"/>
    <w:link w:val="Style17"/>
    <w:rPr>
      <w:rFonts w:ascii="SimSun" w:eastAsia="SimSun" w:hAnsi="SimSun" w:cs="SimSun"/>
      <w:b/>
      <w:bCs/>
      <w:i w:val="0"/>
      <w:iCs w:val="0"/>
      <w:smallCaps w:val="0"/>
      <w:strike w:val="0"/>
      <w:u w:val="none"/>
      <w:shd w:val="clear" w:color="auto" w:fill="auto"/>
    </w:rPr>
  </w:style>
  <w:style w:type="character" w:customStyle="1" w:styleId="CharStyle21">
    <w:name w:val="Body text_"/>
    <w:basedOn w:val="DefaultParagraphFont"/>
    <w:link w:val="Style20"/>
    <w:rPr>
      <w:rFonts w:ascii="SimSun" w:eastAsia="SimSun" w:hAnsi="SimSun" w:cs="SimSun"/>
      <w:b w:val="0"/>
      <w:bCs w:val="0"/>
      <w:i w:val="0"/>
      <w:iCs w:val="0"/>
      <w:smallCaps w:val="0"/>
      <w:strike w:val="0"/>
      <w:sz w:val="18"/>
      <w:szCs w:val="18"/>
      <w:u w:val="none"/>
      <w:shd w:val="clear" w:color="auto" w:fill="auto"/>
    </w:rPr>
  </w:style>
  <w:style w:type="character" w:customStyle="1" w:styleId="CharStyle24">
    <w:name w:val="Other_"/>
    <w:basedOn w:val="DefaultParagraphFont"/>
    <w:link w:val="Style23"/>
    <w:rPr>
      <w:rFonts w:ascii="SimSun" w:eastAsia="SimSun" w:hAnsi="SimSun" w:cs="SimSun"/>
      <w:b w:val="0"/>
      <w:bCs w:val="0"/>
      <w:i w:val="0"/>
      <w:iCs w:val="0"/>
      <w:smallCaps w:val="0"/>
      <w:strike w:val="0"/>
      <w:sz w:val="18"/>
      <w:szCs w:val="18"/>
      <w:u w:val="none"/>
      <w:shd w:val="clear" w:color="auto" w:fill="auto"/>
    </w:rPr>
  </w:style>
  <w:style w:type="character" w:customStyle="1" w:styleId="CharStyle27">
    <w:name w:val="Body text (3)_"/>
    <w:basedOn w:val="DefaultParagraphFont"/>
    <w:link w:val="Style26"/>
    <w:rPr>
      <w:rFonts w:ascii="SimSun" w:eastAsia="SimSun" w:hAnsi="SimSun" w:cs="SimSun"/>
      <w:b/>
      <w:bCs/>
      <w:i w:val="0"/>
      <w:iCs w:val="0"/>
      <w:smallCaps w:val="0"/>
      <w:strike w:val="0"/>
      <w:u w:val="none"/>
      <w:shd w:val="clear" w:color="auto" w:fill="auto"/>
    </w:rPr>
  </w:style>
  <w:style w:type="character" w:customStyle="1" w:styleId="CharStyle30">
    <w:name w:val="Table caption_"/>
    <w:basedOn w:val="DefaultParagraphFont"/>
    <w:link w:val="Style29"/>
    <w:rPr>
      <w:rFonts w:ascii="SimSun" w:eastAsia="SimSun" w:hAnsi="SimSun" w:cs="SimSun"/>
      <w:b w:val="0"/>
      <w:bCs w:val="0"/>
      <w:i w:val="0"/>
      <w:iCs w:val="0"/>
      <w:smallCaps w:val="0"/>
      <w:strike w:val="0"/>
      <w:sz w:val="18"/>
      <w:szCs w:val="18"/>
      <w:u w:val="none"/>
      <w:shd w:val="clear" w:color="auto" w:fill="auto"/>
    </w:rPr>
  </w:style>
  <w:style w:type="character" w:customStyle="1" w:styleId="CharStyle32">
    <w:name w:val="Heading #4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55">
    <w:name w:val="Heading #1_"/>
    <w:basedOn w:val="DefaultParagraphFont"/>
    <w:link w:val="Style54"/>
    <w:rPr>
      <w:rFonts w:ascii="SimSun" w:eastAsia="SimSun" w:hAnsi="SimSun" w:cs="SimSun"/>
      <w:b w:val="0"/>
      <w:bCs w:val="0"/>
      <w:i w:val="0"/>
      <w:iCs w:val="0"/>
      <w:smallCaps w:val="0"/>
      <w:strike w:val="0"/>
      <w:color w:val="6E6E6E"/>
      <w:sz w:val="34"/>
      <w:szCs w:val="34"/>
      <w:u w:val="none"/>
      <w:shd w:val="clear" w:color="auto" w:fill="auto"/>
    </w:rPr>
  </w:style>
  <w:style w:type="character" w:customStyle="1" w:styleId="CharStyle60">
    <w:name w:val="Body text (9)_"/>
    <w:basedOn w:val="DefaultParagraphFont"/>
    <w:link w:val="Style59"/>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Body text (6)"/>
    <w:basedOn w:val="Normal"/>
    <w:link w:val="CharStyle3"/>
    <w:pPr>
      <w:widowControl w:val="0"/>
      <w:shd w:val="clear" w:color="auto" w:fill="auto"/>
      <w:spacing w:before="380"/>
      <w:ind w:left="6760"/>
    </w:pPr>
    <w:rPr>
      <w:rFonts w:ascii="SimHei" w:eastAsia="SimHei" w:hAnsi="SimHei" w:cs="SimHei"/>
      <w:b w:val="0"/>
      <w:bCs w:val="0"/>
      <w:i w:val="0"/>
      <w:iCs w:val="0"/>
      <w:smallCaps w:val="0"/>
      <w:strike w:val="0"/>
      <w:color w:val="7FA55B"/>
      <w:sz w:val="22"/>
      <w:szCs w:val="22"/>
      <w:u w:val="none"/>
      <w:shd w:val="clear" w:color="auto" w:fill="auto"/>
    </w:rPr>
  </w:style>
  <w:style w:type="paragraph" w:customStyle="1" w:styleId="Style4">
    <w:name w:val="Body text (5)"/>
    <w:basedOn w:val="Normal"/>
    <w:link w:val="CharStyle5"/>
    <w:pPr>
      <w:widowControl w:val="0"/>
      <w:shd w:val="clear" w:color="auto" w:fill="auto"/>
      <w:spacing w:after="1860"/>
      <w:ind w:left="6760"/>
    </w:pPr>
    <w:rPr>
      <w:rFonts w:ascii="Times New Roman" w:eastAsia="Times New Roman" w:hAnsi="Times New Roman" w:cs="Times New Roman"/>
      <w:b w:val="0"/>
      <w:bCs w:val="0"/>
      <w:i w:val="0"/>
      <w:iCs w:val="0"/>
      <w:smallCaps w:val="0"/>
      <w:strike w:val="0"/>
      <w:color w:val="7FA55B"/>
      <w:sz w:val="22"/>
      <w:szCs w:val="22"/>
      <w:u w:val="none"/>
      <w:shd w:val="clear" w:color="auto" w:fill="auto"/>
    </w:rPr>
  </w:style>
  <w:style w:type="paragraph" w:customStyle="1" w:styleId="Style7">
    <w:name w:val="Body text (4)"/>
    <w:basedOn w:val="Normal"/>
    <w:link w:val="CharStyle8"/>
    <w:pPr>
      <w:widowControl w:val="0"/>
      <w:shd w:val="clear" w:color="auto" w:fill="auto"/>
      <w:spacing w:after="260" w:line="605" w:lineRule="exact"/>
      <w:jc w:val="center"/>
    </w:pPr>
    <w:rPr>
      <w:rFonts w:ascii="SimHei" w:eastAsia="SimHei" w:hAnsi="SimHei" w:cs="SimHei"/>
      <w:b w:val="0"/>
      <w:bCs w:val="0"/>
      <w:i w:val="0"/>
      <w:iCs w:val="0"/>
      <w:smallCaps w:val="0"/>
      <w:strike w:val="0"/>
      <w:color w:val="6DA740"/>
      <w:sz w:val="44"/>
      <w:szCs w:val="44"/>
      <w:u w:val="none"/>
      <w:shd w:val="clear" w:color="auto" w:fill="auto"/>
    </w:rPr>
  </w:style>
  <w:style w:type="paragraph" w:customStyle="1" w:styleId="Style10">
    <w:name w:val="Body text (2)"/>
    <w:basedOn w:val="Normal"/>
    <w:link w:val="CharStyle11"/>
    <w:pPr>
      <w:widowControl w:val="0"/>
      <w:shd w:val="clear" w:color="auto" w:fill="auto"/>
      <w:spacing w:after="80" w:line="625"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3">
    <w:name w:val="Heading #3"/>
    <w:basedOn w:val="Normal"/>
    <w:link w:val="CharStyle14"/>
    <w:pPr>
      <w:widowControl w:val="0"/>
      <w:shd w:val="clear" w:color="auto" w:fill="auto"/>
      <w:spacing w:before="450" w:after="56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15">
    <w:name w:val="Heading #2"/>
    <w:basedOn w:val="Normal"/>
    <w:link w:val="CharStyle16"/>
    <w:pPr>
      <w:widowControl w:val="0"/>
      <w:shd w:val="clear" w:color="auto" w:fill="auto"/>
      <w:spacing w:after="1500"/>
      <w:jc w:val="center"/>
      <w:outlineLvl w:val="1"/>
    </w:pPr>
    <w:rPr>
      <w:rFonts w:ascii="SimSun" w:eastAsia="SimSun" w:hAnsi="SimSun" w:cs="SimSun"/>
      <w:b/>
      <w:bCs/>
      <w:i w:val="0"/>
      <w:iCs w:val="0"/>
      <w:smallCaps w:val="0"/>
      <w:strike w:val="0"/>
      <w:sz w:val="36"/>
      <w:szCs w:val="36"/>
      <w:u w:val="none"/>
      <w:shd w:val="clear" w:color="auto" w:fill="auto"/>
    </w:rPr>
  </w:style>
  <w:style w:type="paragraph" w:customStyle="1" w:styleId="Style17">
    <w:name w:val="Table of contents"/>
    <w:basedOn w:val="Normal"/>
    <w:link w:val="CharStyle18"/>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styleId="Style20">
    <w:name w:val="Body text"/>
    <w:basedOn w:val="Normal"/>
    <w:link w:val="CharStyle21"/>
    <w:qFormat/>
    <w:pPr>
      <w:widowControl w:val="0"/>
      <w:shd w:val="clear" w:color="auto" w:fill="auto"/>
      <w:spacing w:line="360" w:lineRule="auto"/>
      <w:ind w:firstLine="400"/>
    </w:pPr>
    <w:rPr>
      <w:rFonts w:ascii="SimSun" w:eastAsia="SimSun" w:hAnsi="SimSun" w:cs="SimSun"/>
      <w:b w:val="0"/>
      <w:bCs w:val="0"/>
      <w:i w:val="0"/>
      <w:iCs w:val="0"/>
      <w:smallCaps w:val="0"/>
      <w:strike w:val="0"/>
      <w:sz w:val="18"/>
      <w:szCs w:val="18"/>
      <w:u w:val="none"/>
      <w:shd w:val="clear" w:color="auto" w:fill="auto"/>
    </w:rPr>
  </w:style>
  <w:style w:type="paragraph" w:customStyle="1" w:styleId="Style23">
    <w:name w:val="Other"/>
    <w:basedOn w:val="Normal"/>
    <w:link w:val="CharStyle24"/>
    <w:pPr>
      <w:widowControl w:val="0"/>
      <w:shd w:val="clear" w:color="auto" w:fill="auto"/>
      <w:spacing w:line="360" w:lineRule="auto"/>
      <w:ind w:firstLine="400"/>
    </w:pPr>
    <w:rPr>
      <w:rFonts w:ascii="SimSun" w:eastAsia="SimSun" w:hAnsi="SimSun" w:cs="SimSun"/>
      <w:b w:val="0"/>
      <w:bCs w:val="0"/>
      <w:i w:val="0"/>
      <w:iCs w:val="0"/>
      <w:smallCaps w:val="0"/>
      <w:strike w:val="0"/>
      <w:sz w:val="18"/>
      <w:szCs w:val="18"/>
      <w:u w:val="none"/>
      <w:shd w:val="clear" w:color="auto" w:fill="auto"/>
    </w:rPr>
  </w:style>
  <w:style w:type="paragraph" w:customStyle="1" w:styleId="Style26">
    <w:name w:val="Body text (3)"/>
    <w:basedOn w:val="Normal"/>
    <w:link w:val="CharStyle27"/>
    <w:pPr>
      <w:widowControl w:val="0"/>
      <w:shd w:val="clear" w:color="auto" w:fill="auto"/>
      <w:spacing w:after="320"/>
    </w:pPr>
    <w:rPr>
      <w:rFonts w:ascii="SimSun" w:eastAsia="SimSun" w:hAnsi="SimSun" w:cs="SimSun"/>
      <w:b/>
      <w:bCs/>
      <w:i w:val="0"/>
      <w:iCs w:val="0"/>
      <w:smallCaps w:val="0"/>
      <w:strike w:val="0"/>
      <w:u w:val="none"/>
      <w:shd w:val="clear" w:color="auto" w:fill="auto"/>
    </w:rPr>
  </w:style>
  <w:style w:type="paragraph" w:customStyle="1" w:styleId="Style29">
    <w:name w:val="Table caption"/>
    <w:basedOn w:val="Normal"/>
    <w:link w:val="CharStyle30"/>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31">
    <w:name w:val="Heading #4"/>
    <w:basedOn w:val="Normal"/>
    <w:link w:val="CharStyle32"/>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4">
    <w:name w:val="Heading #1"/>
    <w:basedOn w:val="Normal"/>
    <w:link w:val="CharStyle55"/>
    <w:pPr>
      <w:widowControl w:val="0"/>
      <w:shd w:val="clear" w:color="auto" w:fill="auto"/>
      <w:spacing w:after="380"/>
      <w:jc w:val="center"/>
      <w:outlineLvl w:val="0"/>
    </w:pPr>
    <w:rPr>
      <w:rFonts w:ascii="SimSun" w:eastAsia="SimSun" w:hAnsi="SimSun" w:cs="SimSun"/>
      <w:b w:val="0"/>
      <w:bCs w:val="0"/>
      <w:i w:val="0"/>
      <w:iCs w:val="0"/>
      <w:smallCaps w:val="0"/>
      <w:strike w:val="0"/>
      <w:color w:val="6E6E6E"/>
      <w:sz w:val="34"/>
      <w:szCs w:val="34"/>
      <w:u w:val="none"/>
      <w:shd w:val="clear" w:color="auto" w:fill="auto"/>
    </w:rPr>
  </w:style>
  <w:style w:type="paragraph" w:customStyle="1" w:styleId="Style59">
    <w:name w:val="Body text (9)"/>
    <w:basedOn w:val="Normal"/>
    <w:link w:val="CharStyle60"/>
    <w:pPr>
      <w:widowControl w:val="0"/>
      <w:shd w:val="clear" w:color="auto" w:fill="auto"/>
      <w:spacing w:line="286" w:lineRule="auto"/>
      <w:ind w:firstLine="180"/>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s>
</file>

<file path=docProps/core.xml><?xml version="1.0" encoding="utf-8"?>
<cp:coreProperties xmlns:cp="http://schemas.openxmlformats.org/package/2006/metadata/core-properties" xmlns:dc="http://purl.org/dc/elements/1.1/">
  <dc:title>深圳市建筑科学研究院股份有限公司2021年年度报告全文</dc:title>
  <dc:subject/>
  <dc:creator>深圳市建筑科学研究院股份有限公司</dc:creator>
  <cp:keywords/>
</cp:coreProperties>
</file>