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319" w:line="1" w:lineRule="exact"/>
      </w:pPr>
    </w:p>
    <w:p>
      <w:pPr>
        <w:widowControl w:val="0"/>
        <w:jc w:val="center"/>
        <w:rPr>
          <w:sz w:val="2"/>
          <w:szCs w:val="2"/>
        </w:rPr>
      </w:pPr>
      <w:r>
        <w:drawing>
          <wp:inline>
            <wp:extent cx="1414145" cy="13290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14145" cy="1329055"/>
                    </a:xfrm>
                    <a:prstGeom prst="rect"/>
                  </pic:spPr>
                </pic:pic>
              </a:graphicData>
            </a:graphic>
          </wp:inline>
        </w:drawing>
      </w:r>
    </w:p>
    <w:p>
      <w:pPr>
        <w:widowControl w:val="0"/>
        <w:spacing w:after="219" w:line="1" w:lineRule="exact"/>
      </w:pPr>
    </w:p>
    <w:p>
      <w:pPr>
        <w:pStyle w:val="Style6"/>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深圳市建筑科学研究院股份有限公司</w:t>
      </w:r>
    </w:p>
    <w:p>
      <w:pPr>
        <w:pStyle w:val="Style8"/>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2020</w:t>
      </w:r>
      <w:r>
        <w:rPr>
          <w:color w:val="000000"/>
          <w:spacing w:val="0"/>
          <w:w w:val="100"/>
          <w:position w:val="0"/>
        </w:rPr>
        <w:t>年年度报告</w:t>
      </w:r>
      <w:bookmarkEnd w:id="0"/>
      <w:bookmarkEnd w:id="1"/>
      <w:bookmarkEnd w:id="2"/>
    </w:p>
    <w:p>
      <w:pPr>
        <w:pStyle w:val="Style11"/>
        <w:keepNext w:val="0"/>
        <w:keepLines w:val="0"/>
        <w:widowControl w:val="0"/>
        <w:shd w:val="clear" w:color="auto" w:fill="auto"/>
        <w:bidi w:val="0"/>
        <w:spacing w:before="0" w:line="240" w:lineRule="auto"/>
        <w:ind w:left="0" w:right="0" w:firstLine="0"/>
        <w:jc w:val="center"/>
      </w:pPr>
      <w:r>
        <w:rPr>
          <w:color w:val="000000"/>
          <w:spacing w:val="0"/>
          <w:w w:val="100"/>
          <w:position w:val="0"/>
        </w:rPr>
        <w:t>2021-009</w:t>
      </w:r>
    </w:p>
    <w:p>
      <w:pPr>
        <w:pStyle w:val="Style13"/>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6"/>
        <w:keepNext/>
        <w:keepLines/>
        <w:widowControl w:val="0"/>
        <w:shd w:val="clear" w:color="auto" w:fill="auto"/>
        <w:bidi w:val="0"/>
        <w:spacing w:before="0" w:after="520" w:line="240" w:lineRule="auto"/>
        <w:ind w:left="0" w:right="0"/>
        <w:jc w:val="left"/>
      </w:pPr>
      <w:bookmarkStart w:id="3" w:name="bookmark3"/>
      <w:bookmarkStart w:id="4" w:name="bookmark4"/>
      <w:bookmarkStart w:id="5" w:name="bookmark5"/>
      <w:bookmarkStart w:id="6" w:name="bookmark6"/>
      <w:r>
        <w:rPr>
          <w:spacing w:val="0"/>
          <w:w w:val="100"/>
          <w:position w:val="0"/>
        </w:rPr>
        <w:t>i3R</w:t>
      </w:r>
      <w:bookmarkEnd w:id="4"/>
      <w:bookmarkEnd w:id="5"/>
      <w:bookmarkEnd w:id="6"/>
      <w:bookmarkEnd w:id="3"/>
    </w:p>
    <w:p>
      <w:pPr>
        <w:pStyle w:val="Style8"/>
        <w:keepNext/>
        <w:keepLines/>
        <w:widowControl w:val="0"/>
        <w:shd w:val="clear" w:color="auto" w:fill="auto"/>
        <w:bidi w:val="0"/>
        <w:spacing w:before="0" w:after="400" w:line="240" w:lineRule="auto"/>
        <w:ind w:left="0" w:right="0" w:firstLine="0"/>
        <w:jc w:val="center"/>
      </w:pPr>
      <w:bookmarkStart w:id="7" w:name="bookmark7"/>
      <w:bookmarkStart w:id="8" w:name="bookmark8"/>
      <w:bookmarkStart w:id="9" w:name="bookmark9"/>
      <w:r>
        <w:rPr>
          <w:color w:val="000000"/>
          <w:spacing w:val="0"/>
          <w:w w:val="100"/>
          <w:position w:val="0"/>
        </w:rPr>
        <w:t>第一节重要提示、目录和释义</w:t>
      </w:r>
      <w:bookmarkEnd w:id="7"/>
      <w:bookmarkEnd w:id="8"/>
      <w:bookmarkEnd w:id="9"/>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实、准确、完整，不存在虚假记载、误导性陈述或者重大遗漏，并承担个别和连 带的法律责任。</w:t>
      </w:r>
    </w:p>
    <w:p>
      <w:pPr>
        <w:pStyle w:val="Style18"/>
        <w:keepNext w:val="0"/>
        <w:keepLines w:val="0"/>
        <w:widowControl w:val="0"/>
        <w:shd w:val="clear" w:color="auto" w:fill="auto"/>
        <w:bidi w:val="0"/>
        <w:spacing w:before="0" w:line="629" w:lineRule="exact"/>
        <w:ind w:left="0" w:right="0"/>
        <w:jc w:val="both"/>
      </w:pPr>
      <w:r>
        <w:rPr>
          <w:color w:val="000000"/>
          <w:spacing w:val="0"/>
          <w:w w:val="100"/>
          <w:position w:val="0"/>
        </w:rPr>
        <w:t>公司负责人叶青、主管会计工作负责人叶小平及会计机构负责人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涂晨声明：保证本年度报告中财务报告的真实、准确、完整。</w:t>
      </w:r>
    </w:p>
    <w:p>
      <w:pPr>
        <w:pStyle w:val="Style18"/>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ind w:left="0" w:right="0"/>
        <w:jc w:val="both"/>
      </w:pPr>
      <w:r>
        <w:rPr>
          <w:color w:val="000000"/>
          <w:spacing w:val="0"/>
          <w:w w:val="100"/>
          <w:position w:val="0"/>
        </w:rPr>
        <w:t>本年度报告中涉及未来计划或规划等前瞻性陈述的，均不构成公司对投资 者的实质承诺，投资者及相关人士均应对此保持足够的风险认识，并且应当理 解计划、预测与承诺之间的差异。敬请投资者注意投资风险。公司不存在因经营 状况、财务状况和持续盈利能力方面有严重不利影响的风险因素。有关公司可 能面对的风险及公司应对措施等详见本报告第九节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中相 关内容。</w:t>
      </w:r>
    </w:p>
    <w:p>
      <w:pPr>
        <w:pStyle w:val="Style18"/>
        <w:keepNext w:val="0"/>
        <w:keepLines w:val="0"/>
        <w:widowControl w:val="0"/>
        <w:shd w:val="clear" w:color="auto" w:fill="auto"/>
        <w:bidi w:val="0"/>
        <w:spacing w:before="0" w:line="624" w:lineRule="exact"/>
        <w:ind w:left="0" w:right="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426" w:right="970" w:bottom="2680" w:left="1104" w:header="0" w:footer="3" w:gutter="0"/>
          <w:pgNumType w:start="1"/>
          <w:cols w:space="720"/>
          <w:noEndnote/>
          <w:titlePg/>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146,666,700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0.9</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6"/>
        <w:keepNext w:val="0"/>
        <w:keepLines w:val="0"/>
        <w:widowControl w:val="0"/>
        <w:shd w:val="clear" w:color="auto" w:fill="auto"/>
        <w:bidi w:val="0"/>
        <w:spacing w:before="1380" w:after="1520" w:line="240" w:lineRule="auto"/>
        <w:ind w:left="0" w:right="0" w:firstLine="0"/>
        <w:jc w:val="center"/>
      </w:pPr>
      <w:r>
        <w:rPr>
          <w:color w:val="000000"/>
          <w:spacing w:val="0"/>
          <w:w w:val="100"/>
          <w:position w:val="0"/>
        </w:rPr>
        <w:t>目录</w:t>
      </w:r>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8"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7"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10</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86"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268"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30</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468"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52</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23"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58</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27" w:tooltip="Current Document">
        <w:r>
          <w:rPr>
            <w:color w:val="000000"/>
            <w:spacing w:val="0"/>
            <w:w w:val="100"/>
            <w:position w:val="0"/>
            <w:sz w:val="22"/>
            <w:szCs w:val="22"/>
          </w:rPr>
          <w:t>第八节可转换公司债券相关情况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59</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34" w:tooltip="Current Document">
        <w:r>
          <w:rPr>
            <w:color w:val="000000"/>
            <w:spacing w:val="0"/>
            <w:w w:val="100"/>
            <w:position w:val="0"/>
            <w:sz w:val="22"/>
            <w:szCs w:val="22"/>
          </w:rPr>
          <w:t>第九节董事、监事、高级管理人员和员工情况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60</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598" w:tooltip="Current Document">
        <w:r>
          <w:rPr>
            <w:color w:val="000000"/>
            <w:spacing w:val="0"/>
            <w:w w:val="100"/>
            <w:position w:val="0"/>
            <w:sz w:val="22"/>
            <w:szCs w:val="22"/>
          </w:rPr>
          <w:t>第十节公司治理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69</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693" w:tooltip="Current Document">
        <w:r>
          <w:rPr>
            <w:color w:val="000000"/>
            <w:spacing w:val="0"/>
            <w:w w:val="100"/>
            <w:position w:val="0"/>
            <w:sz w:val="22"/>
            <w:szCs w:val="22"/>
          </w:rPr>
          <w:t>第十一节公司债券相关情况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74</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700" w:tooltip="Current Document">
        <w:r>
          <w:rPr>
            <w:color w:val="000000"/>
            <w:spacing w:val="0"/>
            <w:w w:val="100"/>
            <w:position w:val="0"/>
            <w:sz w:val="22"/>
            <w:szCs w:val="22"/>
          </w:rPr>
          <w:t>第十二节财务报告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24"/>
        <w:keepNext w:val="0"/>
        <w:keepLines w:val="0"/>
        <w:widowControl w:val="0"/>
        <w:shd w:val="clear" w:color="auto" w:fill="auto"/>
        <w:tabs>
          <w:tab w:leader="dot" w:pos="9615" w:val="right"/>
        </w:tabs>
        <w:bidi w:val="0"/>
        <w:spacing w:before="0" w:line="240" w:lineRule="auto"/>
        <w:ind w:left="0" w:right="0" w:firstLine="0"/>
        <w:jc w:val="left"/>
        <w:rPr>
          <w:sz w:val="24"/>
          <w:szCs w:val="24"/>
        </w:rPr>
      </w:pPr>
      <w:hyperlink w:anchor="bookmark1649" w:tooltip="Current Document">
        <w:r>
          <w:rPr>
            <w:color w:val="000000"/>
            <w:spacing w:val="0"/>
            <w:w w:val="100"/>
            <w:position w:val="0"/>
            <w:sz w:val="22"/>
            <w:szCs w:val="22"/>
          </w:rPr>
          <w:t>第十三节备查文件目录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162</w:t>
        </w:r>
      </w:hyperlink>
      <w:r>
        <w:br w:type="page"/>
      </w:r>
      <w:r>
        <w:fldChar w:fldCharType="end"/>
      </w:r>
    </w:p>
    <w:p>
      <w:pPr>
        <w:pStyle w:val="Style8"/>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2386"/>
        <w:gridCol w:w="710"/>
        <w:gridCol w:w="64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2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公司、本公司、建科院、</w:t>
            </w:r>
            <w:r>
              <w:rPr>
                <w:rFonts w:ascii="Times New Roman" w:eastAsia="Times New Roman" w:hAnsi="Times New Roman" w:cs="Times New Roman"/>
                <w:color w:val="000000"/>
                <w:spacing w:val="0"/>
                <w:w w:val="100"/>
                <w:position w:val="0"/>
                <w:sz w:val="18"/>
                <w:szCs w:val="18"/>
              </w:rPr>
              <w:t>IBR</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控股股东、公司控股股东、 深圳资本集团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深圳市资本运营集团有限公司，曾用名：深圳市远致投资有限公司（简称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远致投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深圳市国资委、市国资委</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市政中心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深圳市市政工程咨询中心有限公司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北京艾科城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北京艾科城工程技术有限公司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深圳艾科城工程技术有限公司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艾科筑业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深圳艾科筑业工程技术有限公司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建研检测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深圳市建研检测有限公司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常州城建艾科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常州市城建艾科绿色技术有限公司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上海爱轲</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上海市爱轲城生态科技有限公司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深圳玖伊绿色运营管理有限公司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雄安玖壹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河北雄安玖壹生态科技有限公司</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绿研检验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31" w:lineRule="exact"/>
              <w:ind w:left="0" w:right="0" w:firstLine="0"/>
              <w:jc w:val="left"/>
            </w:pPr>
            <w:r>
              <w:rPr>
                <w:color w:val="000000"/>
                <w:spacing w:val="0"/>
                <w:w w:val="100"/>
                <w:position w:val="0"/>
              </w:rPr>
              <w:t>雄安绿研检验认证有限公司（原河北雄安绿研检验认证有限公司，于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p>
            <w:pPr>
              <w:pStyle w:val="Style27"/>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日完成企业名称变更的工商变更登记手续并换发营业执照，公司已披露相关公 告）</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迪赛恩</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深圳市迪赛恩科技有限公司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建信筑和</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深圳市建信筑和科技有限公司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绿研智库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荆门玖伊园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荆门玖伊园科技有限公司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六邻科技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六邻科技（北京）有限公司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湖北建胜工程技术咨询有限公司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丰天工程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湖北丰天工程技术服务有限公司</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图强建设</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湖北图强建设工程施工图咨询有限公司</w:t>
            </w:r>
          </w:p>
        </w:tc>
      </w:tr>
    </w:tbl>
    <w:p>
      <w:pPr>
        <w:widowControl w:val="0"/>
        <w:spacing w:line="1" w:lineRule="exac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534" w:right="1120" w:bottom="1645" w:left="1093" w:header="0" w:footer="3" w:gutter="0"/>
          <w:cols w:space="720"/>
          <w:noEndnote/>
          <w:rtlGutter w:val="0"/>
          <w:docGrid w:linePitch="360"/>
        </w:sectPr>
      </w:pPr>
    </w:p>
    <w:tbl>
      <w:tblPr>
        <w:tblOverlap w:val="never"/>
        <w:jc w:val="center"/>
        <w:tblLayout w:type="fixed"/>
      </w:tblPr>
      <w:tblGrid>
        <w:gridCol w:w="2386"/>
        <w:gridCol w:w="710"/>
        <w:gridCol w:w="6490"/>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精兴建设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湖北精兴建设工程质量检测有限公司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领航培训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荆门市领航职业技能培训有限公司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湾区规划设计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湾区（深圳）城市规划设计有限公司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湾区绿色技术</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湾区（深圳）绿色技术有限公司</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绿色建筑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在全寿命期内，节约资源、保护环境、减少污染，为人们提供健康、适用、高效 的使用空间，最大限度地实现人与自然和谐共生的高质量建筑，包括设计、建 造、运营、维修、更新、拆除等全过程</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生态诊断</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通过对城市或城区地质安全、生态安全、环境安全、资源条件等方面的诊断分 析，综合评估其生态敏感性、环境资源承载力、开发适宜性、低影响开发模式、 人居健康安全等，判定生态控制基线和环境承载底线，划定城镇建设生态控制 线，建立城市发展与自然生态的平衡点，是生态规划的基础，建科院创造性地把 生态诊断技术系统化、模板化、数据化、三维显性化，纳入到生态城市整体建设 体系中</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生态城市规划</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利用生态学和现代城市规划理论及方法，重点针对城市生态系统及其与产业、社 会之间的系统关系进行评估，着眼于''生态导向''的整体规划设计，涵盖生态城市 诊断、生态指标体系、生态专项规划（土地集约利用、生态环境、绿色交通、绿 色能源、水资源综合利用、固废利用、绿色建筑、人文等）及不同层次的相关规 划活动。与传统规划的主要差异在于将人的建设活动和自然生态系统进行平衡规 划，关注人的活动对区域的影响，追求生活、生态、生产三合一，而不是通过大 规模破坏自然体系的建设活动来实现规划意图</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公信服务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以公正、权威的非当事人身份，根据有关法律、标准或合同所进行的工程、建筑 材料或部品、建筑设备、建筑环境等检测、检验、认证、评估等活动</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根据建设工程和法律法规的要求，对建设工程所需的技术、经济、资源、环境等 条件进行综合分析、论证，编制建设工程设计文件，提供相关服务的活动</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工程勘察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根据建设工程和法律法规的要求，查明、分析、评价建设场地的地质、地理环境 特征和岩土工程条件，编制建设工程勘察文件的活动</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工程咨询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遵循独立、科学、公正的原则，运用工程技术、科学技术、经济管理和法律法规 等多学科方面的知识和经验，为政府部门、项目业主及其他各类客户的工程建设 项目决策和管理提供咨询活动的智力服务，包括前期立项阶段咨询、勘察设计阶 段咨询、施工阶段咨询、投产或交付使用后的评价等工作</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绿色综合运营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 OT</w:t>
            </w: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Design-Operation-Transfer</w:t>
            </w:r>
            <w:r>
              <w:rPr>
                <w:color w:val="000000"/>
                <w:spacing w:val="0"/>
                <w:w w:val="100"/>
                <w:position w:val="0"/>
              </w:rPr>
              <w:t>的缩写，即包含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移交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等三个环节。提供涵盖 规划设计、建设运营全过程的综合服务，为客户减少协调沟通成本，实现项目绿 色运营实效</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工程总承包</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EPC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Engineering Procurement Construction</w:t>
            </w:r>
            <w:r>
              <w:rPr>
                <w:color w:val="000000"/>
                <w:spacing w:val="0"/>
                <w:w w:val="100"/>
                <w:position w:val="0"/>
              </w:rPr>
              <w:t>）是指公司受业主委托，按照合同约定 对工程建设项目的设计、采购、施工、试运行等实行全过程或若干阶段的承包</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五感六性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绿色建筑领域中对于使用者的味觉、嗅觉、视觉、听觉、触觉，及技术的安全 性、适用性、舒适性、健康性、环境性和经济性等的研究</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三有荟</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IBR</w:t>
            </w:r>
            <w:r>
              <w:rPr>
                <w:color w:val="000000"/>
                <w:spacing w:val="0"/>
                <w:w w:val="100"/>
                <w:position w:val="0"/>
              </w:rPr>
              <w:t>人发起并创建的自组织，响应国家绿色低碳新生活方式，以自愿为原则，践 行并传播有机、有趣、有爱的绿色生活方式</w:t>
            </w:r>
          </w:p>
        </w:tc>
      </w:tr>
    </w:tbl>
    <w:p>
      <w:pPr>
        <w:spacing w:lineRule="exact" w:line="1"/>
        <w:rPr>
          <w:sz w:val="2"/>
          <w:szCs w:val="2"/>
        </w:rPr>
      </w:pPr>
      <w:r>
        <w:br w:type="page"/>
      </w:r>
    </w:p>
    <w:p>
      <w:pPr>
        <w:pStyle w:val="Style8"/>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30"/>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一</w:t>
      </w:r>
      <w:bookmarkEnd w:id="18"/>
      <w:r>
        <w:rPr>
          <w:color w:val="000000"/>
          <w:spacing w:val="0"/>
          <w:w w:val="100"/>
          <w:position w:val="0"/>
        </w:rPr>
        <w:t>、公司信息</w:t>
      </w:r>
      <w:bookmarkEnd w:id="16"/>
      <w:bookmarkEnd w:id="17"/>
      <w:bookmarkEnd w:id="19"/>
    </w:p>
    <w:tbl>
      <w:tblPr>
        <w:tblOverlap w:val="never"/>
        <w:jc w:val="center"/>
        <w:tblLayout w:type="fixed"/>
      </w:tblPr>
      <w:tblGrid>
        <w:gridCol w:w="2952"/>
        <w:gridCol w:w="3403"/>
        <w:gridCol w:w="1046"/>
        <w:gridCol w:w="218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建科院</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300675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深圳建科院</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Institute of Building Research Co., Ltd.</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IBR</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深圳市福田区梅林梅坳三路</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号建科大楼</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深圳市福田区梅林梅坳三路</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号建科大楼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518049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"https://www" </w:instrText>
            </w:r>
            <w:r>
              <w:fldChar w:fldCharType="separate"/>
            </w:r>
            <w:r>
              <w:rPr>
                <w:rFonts w:ascii="Times New Roman" w:eastAsia="Times New Roman" w:hAnsi="Times New Roman" w:cs="Times New Roman"/>
                <w:color w:val="000000"/>
                <w:spacing w:val="0"/>
                <w:w w:val="100"/>
                <w:position w:val="0"/>
                <w:sz w:val="18"/>
                <w:szCs w:val="18"/>
              </w:rPr>
              <w:t>https://www</w:t>
            </w:r>
            <w:r>
              <w:fldChar w:fldCharType="end"/>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szibr.com/</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"mailto:ibrir@ibrcn.com" </w:instrText>
            </w:r>
            <w:r>
              <w:fldChar w:fldCharType="separate"/>
            </w:r>
            <w:r>
              <w:rPr>
                <w:rFonts w:ascii="Times New Roman" w:eastAsia="Times New Roman" w:hAnsi="Times New Roman" w:cs="Times New Roman"/>
                <w:color w:val="000000"/>
                <w:spacing w:val="0"/>
                <w:w w:val="100"/>
                <w:position w:val="0"/>
                <w:sz w:val="18"/>
                <w:szCs w:val="18"/>
              </w:rPr>
              <w:t>ibrir@ibrcn.com</w:t>
            </w:r>
            <w:r>
              <w:fldChar w:fldCharType="end"/>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二</w:t>
      </w:r>
      <w:bookmarkEnd w:id="22"/>
      <w:r>
        <w:rPr>
          <w:color w:val="000000"/>
          <w:spacing w:val="0"/>
          <w:w w:val="100"/>
          <w:position w:val="0"/>
        </w:rPr>
        <w:t>、联系人和联系方式</w:t>
      </w:r>
      <w:bookmarkEnd w:id="20"/>
      <w:bookmarkEnd w:id="21"/>
      <w:bookmarkEnd w:id="23"/>
    </w:p>
    <w:tbl>
      <w:tblPr>
        <w:tblOverlap w:val="never"/>
        <w:jc w:val="center"/>
        <w:tblLayout w:type="fixed"/>
      </w:tblPr>
      <w:tblGrid>
        <w:gridCol w:w="1819"/>
        <w:gridCol w:w="4570"/>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叶小平</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深圳市福田区梅林梅坳三路</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号建科大楼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0755-23950525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0755-23931800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"mailto:ibrir@ibrcn.com" </w:instrText>
            </w:r>
            <w:r>
              <w:fldChar w:fldCharType="separate"/>
            </w:r>
            <w:r>
              <w:rPr>
                <w:rFonts w:ascii="Times New Roman" w:eastAsia="Times New Roman" w:hAnsi="Times New Roman" w:cs="Times New Roman"/>
                <w:color w:val="000000"/>
                <w:spacing w:val="0"/>
                <w:w w:val="100"/>
                <w:position w:val="0"/>
                <w:sz w:val="18"/>
                <w:szCs w:val="18"/>
              </w:rPr>
              <w:t>ibrir@ibrcn.com</w:t>
            </w:r>
            <w:r>
              <w:fldChar w:fldCharType="end"/>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三</w:t>
      </w:r>
      <w:bookmarkEnd w:id="26"/>
      <w:r>
        <w:rPr>
          <w:color w:val="000000"/>
          <w:spacing w:val="0"/>
          <w:w w:val="100"/>
          <w:position w:val="0"/>
        </w:rPr>
        <w:t>、信息披露及备置地点</w:t>
      </w:r>
      <w:bookmarkEnd w:id="24"/>
      <w:bookmarkEnd w:id="25"/>
      <w:bookmarkEnd w:id="27"/>
    </w:p>
    <w:tbl>
      <w:tblPr>
        <w:tblOverlap w:val="never"/>
        <w:jc w:val="center"/>
        <w:tblLayout w:type="fixed"/>
      </w:tblPr>
      <w:tblGrid>
        <w:gridCol w:w="3998"/>
        <w:gridCol w:w="558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四</w:t>
      </w:r>
      <w:bookmarkEnd w:id="30"/>
      <w:r>
        <w:rPr>
          <w:color w:val="000000"/>
          <w:spacing w:val="0"/>
          <w:w w:val="100"/>
          <w:position w:val="0"/>
        </w:rPr>
        <w:t>、其他有关资料</w:t>
      </w:r>
      <w:bookmarkEnd w:id="28"/>
      <w:bookmarkEnd w:id="29"/>
      <w:bookmarkEnd w:id="31"/>
    </w:p>
    <w:p>
      <w:pPr>
        <w:pStyle w:val="Style21"/>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北京市东城区东长安街</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号东方广场东</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座办公楼</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陈泳意、刘琬婷</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958"/>
        <w:gridCol w:w="2832"/>
        <w:gridCol w:w="1565"/>
        <w:gridCol w:w="323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保荐机构名称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申万宏源证券承销保荐</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深圳市福田区金田路</w:t>
            </w:r>
            <w:r>
              <w:rPr>
                <w:rFonts w:ascii="Times New Roman" w:eastAsia="Times New Roman" w:hAnsi="Times New Roman" w:cs="Times New Roman"/>
                <w:color w:val="000000"/>
                <w:spacing w:val="0"/>
                <w:w w:val="100"/>
                <w:position w:val="0"/>
                <w:sz w:val="18"/>
                <w:szCs w:val="18"/>
              </w:rPr>
              <w:t>4018</w:t>
            </w:r>
            <w:r>
              <w:rPr>
                <w:color w:val="000000"/>
                <w:spacing w:val="0"/>
                <w:w w:val="100"/>
                <w:position w:val="0"/>
              </w:rPr>
              <w:t>号安联 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区</w:t>
            </w:r>
            <w:r>
              <w:rPr>
                <w:rFonts w:ascii="Times New Roman" w:eastAsia="Times New Roman" w:hAnsi="Times New Roman" w:cs="Times New Roman"/>
                <w:color w:val="000000"/>
                <w:spacing w:val="0"/>
                <w:w w:val="100"/>
                <w:position w:val="0"/>
                <w:sz w:val="18"/>
                <w:szCs w:val="18"/>
              </w:rPr>
              <w:t>22A03</w:t>
            </w:r>
            <w:r>
              <w:rPr>
                <w:color w:val="000000"/>
                <w:spacing w:val="0"/>
                <w:w w:val="100"/>
                <w:position w:val="0"/>
              </w:rPr>
              <w:t>室</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李志文、梁葳</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五</w:t>
      </w:r>
      <w:bookmarkEnd w:id="34"/>
      <w:r>
        <w:rPr>
          <w:color w:val="000000"/>
          <w:spacing w:val="0"/>
          <w:w w:val="100"/>
          <w:position w:val="0"/>
        </w:rPr>
        <w:t>、主要会计数据和财务指标</w:t>
      </w:r>
      <w:bookmarkEnd w:id="32"/>
      <w:bookmarkEnd w:id="33"/>
      <w:bookmarkEnd w:id="35"/>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3235"/>
        <w:gridCol w:w="1560"/>
        <w:gridCol w:w="1699"/>
        <w:gridCol w:w="1704"/>
        <w:gridCol w:w="138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506,457,668.54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467,972,060.82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397,007,934.86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43,866,588.22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36,620,943.28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34,630,772.68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归属于上市公司股东的扣除非经常性损 益的净利润（元）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25,826,381.22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4,562,916.38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12,116,967.00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65,653,321.15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63,513,713.47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42,986,794.68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0.2361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0.2361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上升</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个百分比</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1,309,962,633.16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1,057,460,482.19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23.88%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847,429,547.90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503,541,912.51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469,624,578.88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443,270,304.60</w:t>
            </w:r>
          </w:p>
        </w:tc>
      </w:tr>
    </w:tbl>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26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六</w:t>
      </w:r>
      <w:bookmarkEnd w:id="38"/>
      <w:r>
        <w:rPr>
          <w:color w:val="000000"/>
          <w:spacing w:val="0"/>
          <w:w w:val="100"/>
          <w:position w:val="0"/>
        </w:rPr>
        <w:t>、分季度主要财务指标</w:t>
      </w:r>
      <w:bookmarkEnd w:id="36"/>
      <w:bookmarkEnd w:id="37"/>
      <w:bookmarkEnd w:id="39"/>
    </w:p>
    <w:p>
      <w:pPr>
        <w:pStyle w:val="Style21"/>
        <w:keepNext w:val="0"/>
        <w:keepLines w:val="0"/>
        <w:widowControl w:val="0"/>
        <w:shd w:val="clear" w:color="auto" w:fill="auto"/>
        <w:bidi w:val="0"/>
        <w:spacing w:before="0" w:after="140" w:line="317" w:lineRule="exact"/>
        <w:ind w:left="0" w:right="0" w:firstLine="0"/>
        <w:jc w:val="right"/>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534" w:right="1120" w:bottom="1645" w:left="1093" w:header="0" w:footer="3" w:gutter="0"/>
          <w:cols w:space="720"/>
          <w:noEndnote/>
          <w:rtlGutter w:val="0"/>
          <w:docGrid w:linePitch="360"/>
        </w:sectPr>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2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50,993,784.49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127,489,192.28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125,758,652.34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202,216,039.43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-20,987,355.08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24,232,621.87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12,526,541.87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28,094,779.56</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-25,840,446.01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21,163,968.91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5,854,476.29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24,648,382.03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-10,905,945.52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42,357,632.12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-36,097,613.41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70,299,247.96</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tabs>
          <w:tab w:pos="522" w:val="left"/>
        </w:tabs>
        <w:bidi w:val="0"/>
        <w:spacing w:before="0" w:after="380" w:line="240" w:lineRule="auto"/>
        <w:ind w:left="0" w:right="0" w:firstLine="0"/>
        <w:jc w:val="both"/>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w:t>
        <w:tab/>
        <w:t>境内外会计准则下会计数据差异</w:t>
      </w:r>
      <w:bookmarkEnd w:id="40"/>
      <w:bookmarkEnd w:id="41"/>
      <w:bookmarkEnd w:id="43"/>
    </w:p>
    <w:p>
      <w:pPr>
        <w:pStyle w:val="Style34"/>
        <w:keepNext/>
        <w:keepLines/>
        <w:widowControl w:val="0"/>
        <w:shd w:val="clear" w:color="auto" w:fill="auto"/>
        <w:tabs>
          <w:tab w:pos="403" w:val="left"/>
        </w:tabs>
        <w:bidi w:val="0"/>
        <w:spacing w:before="0" w:after="38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w:t>
        <w:tab/>
        <w:t>同时按照国际会计准则与按照中国会计准则披露的财务报告中净利润和净资产差异情况</w:t>
      </w:r>
      <w:bookmarkEnd w:id="44"/>
      <w:bookmarkEnd w:id="45"/>
      <w:bookmarkEnd w:id="47"/>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403" w:val="left"/>
        </w:tabs>
        <w:bidi w:val="0"/>
        <w:spacing w:before="0" w:after="380" w:line="240" w:lineRule="auto"/>
        <w:ind w:left="0" w:right="0" w:firstLine="0"/>
        <w:jc w:val="both"/>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w:t>
        <w:tab/>
        <w:t>同时按照境外会计准则与按照中国会计准则披露的财务报告中净利润和净资产差异情况</w:t>
      </w:r>
      <w:bookmarkEnd w:id="48"/>
      <w:bookmarkEnd w:id="49"/>
      <w:bookmarkEnd w:id="51"/>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30"/>
        <w:keepNext/>
        <w:keepLines/>
        <w:widowControl w:val="0"/>
        <w:shd w:val="clear" w:color="auto" w:fill="auto"/>
        <w:tabs>
          <w:tab w:pos="522" w:val="left"/>
        </w:tabs>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八</w:t>
      </w:r>
      <w:bookmarkEnd w:id="54"/>
      <w:r>
        <w:rPr>
          <w:color w:val="000000"/>
          <w:spacing w:val="0"/>
          <w:w w:val="100"/>
          <w:position w:val="0"/>
        </w:rPr>
        <w:t>、</w:t>
        <w:tab/>
        <w:t>非经常性损益项目及金额</w:t>
      </w:r>
      <w:bookmarkEnd w:id="52"/>
      <w:bookmarkEnd w:id="53"/>
      <w:bookmarkEnd w:id="55"/>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78"/>
        <w:gridCol w:w="1277"/>
        <w:gridCol w:w="1277"/>
        <w:gridCol w:w="1272"/>
        <w:gridCol w:w="68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-99,622.82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21,238,974.97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32,618,947.45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24,011,542.95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102,739.72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452,998.64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2,948,458.44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2,112,436.97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2,353,889.40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743,850.00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108,571.76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67,817.03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-202,402.17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3,591,961.38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5,907,187.02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4,156,069.25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171,493.89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16,256.85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9"/>
        <w:keepNext w:val="0"/>
        <w:keepLines w:val="0"/>
        <w:widowControl w:val="0"/>
        <w:shd w:val="clear" w:color="auto" w:fill="auto"/>
        <w:tabs>
          <w:tab w:pos="5942" w:val="left"/>
          <w:tab w:pos="7210" w:val="left"/>
        </w:tabs>
        <w:bidi w:val="0"/>
        <w:spacing w:before="0" w:after="200" w:line="240" w:lineRule="auto"/>
        <w:ind w:left="4680" w:right="0" w:firstLine="0"/>
        <w:jc w:val="left"/>
      </w:pPr>
      <w:r>
        <mc:AlternateContent>
          <mc:Choice Requires="wps">
            <w:drawing>
              <wp:anchor distT="0" distB="0" distL="114300" distR="114300" simplePos="0" relativeHeight="125829378" behindDoc="0" locked="0" layoutInCell="1" allowOverlap="1">
                <wp:simplePos x="0" y="0"/>
                <wp:positionH relativeFrom="page">
                  <wp:posOffset>768985</wp:posOffset>
                </wp:positionH>
                <wp:positionV relativeFrom="paragraph">
                  <wp:posOffset>12700</wp:posOffset>
                </wp:positionV>
                <wp:extent cx="255905" cy="149225"/>
                <wp:wrapSquare wrapText="right"/>
                <wp:docPr id="43" name="Shape 43"/>
                <a:graphic xmlns:a="http://schemas.openxmlformats.org/drawingml/2006/main">
                  <a:graphicData uri="http://schemas.microsoft.com/office/word/2010/wordprocessingShape">
                    <wps:wsp>
                      <wps:cNvSpPr txBox="1"/>
                      <wps:spPr>
                        <a:xfrm>
                          <a:ext cx="25590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69" type="#_x0000_t202" style="position:absolute;margin-left:60.550000000000004pt;margin-top:1.pt;width:20.150000000000002pt;height:11.75pt;z-index:-125829375;mso-wrap-distance-left:9.pt;mso-wrap-distance-right:9.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square" side="right" anchorx="page"/>
              </v:shape>
            </w:pict>
          </mc:Fallback>
        </mc:AlternateContent>
      </w:r>
      <w:r>
        <w:rPr>
          <w:color w:val="000000"/>
          <w:spacing w:val="0"/>
          <w:w w:val="100"/>
          <w:position w:val="0"/>
        </w:rPr>
        <w:t>18,040,207.00</w:t>
        <w:tab/>
        <w:t>32,058,026.90</w:t>
        <w:tab/>
        <w:t>22,513,805.68</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号一非经常性损益》定义界定的非经常性损益项目，以及把 </w:t>
      </w:r>
      <w:r>
        <w:rPr>
          <w:color w:val="000000"/>
          <w:spacing w:val="0"/>
          <w:w w:val="100"/>
          <w:position w:val="0"/>
        </w:rPr>
        <w:t>《公开发行证券的公司信息披露解释性公告第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 xml:space="preserve">非经常性损益》中列举的非经常性损益项目界定为经常性损益的项 </w:t>
      </w:r>
      <w:r>
        <w:rPr>
          <w:color w:val="000000"/>
          <w:spacing w:val="0"/>
          <w:w w:val="100"/>
          <w:position w:val="0"/>
        </w:rPr>
        <w:t>目，应说明原因</w:t>
      </w:r>
    </w:p>
    <w:p>
      <w:pPr>
        <w:pStyle w:val="Style21"/>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20" w:line="317" w:lineRule="exact"/>
        <w:ind w:left="0" w:right="0" w:firstLine="0"/>
        <w:jc w:val="both"/>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534" w:right="1120" w:bottom="1645" w:left="1093"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 益项目界定为经常性损益的项目的情形。</w:t>
      </w:r>
    </w:p>
    <w:p>
      <w:pPr>
        <w:pStyle w:val="Style8"/>
        <w:keepNext/>
        <w:keepLines/>
        <w:widowControl w:val="0"/>
        <w:shd w:val="clear" w:color="auto" w:fill="auto"/>
        <w:bidi w:val="0"/>
        <w:spacing w:before="440" w:after="580"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30"/>
        <w:keepNext/>
        <w:keepLines/>
        <w:widowControl w:val="0"/>
        <w:shd w:val="clear" w:color="auto" w:fill="auto"/>
        <w:tabs>
          <w:tab w:pos="484" w:val="left"/>
        </w:tabs>
        <w:bidi w:val="0"/>
        <w:spacing w:before="0" w:after="240" w:line="240" w:lineRule="auto"/>
        <w:ind w:left="0" w:right="0" w:firstLine="0"/>
        <w:jc w:val="left"/>
      </w:pPr>
      <w:bookmarkStart w:id="59" w:name="bookmark59"/>
      <w:bookmarkStart w:id="60" w:name="bookmark60"/>
      <w:bookmarkStart w:id="61" w:name="bookmark61"/>
      <w:bookmarkStart w:id="62" w:name="bookmark62"/>
      <w:r>
        <w:rPr>
          <w:color w:val="000000"/>
          <w:spacing w:val="0"/>
          <w:w w:val="100"/>
          <w:position w:val="0"/>
        </w:rPr>
        <w:t>一</w:t>
      </w:r>
      <w:bookmarkEnd w:id="61"/>
      <w:r>
        <w:rPr>
          <w:color w:val="000000"/>
          <w:spacing w:val="0"/>
          <w:w w:val="100"/>
          <w:position w:val="0"/>
        </w:rPr>
        <w:t>、</w:t>
        <w:tab/>
        <w:t>报告期内公司从事的主要业务</w:t>
      </w:r>
      <w:bookmarkEnd w:id="59"/>
      <w:bookmarkEnd w:id="60"/>
      <w:bookmarkEnd w:id="62"/>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公司以绿色、生态、低碳理念为指导，以本土化、低成本、精细、适宜的技术路线为特色，以全生命周期服务为手段，面向 城市绿色发展，提供涵盖科研、规划、设计、咨询、检测、项目管理以及运营等全过程所需综合解决方案，逐步发展成为国 内知名、领先的绿色建筑和绿色城市技术服务提供者。</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公司主营业务集中在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城市绿色发展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绿色人居公信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服务两大全过程技术服务业务板块：</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在城市绿色发展服务板块中，公司提供城市规划、建筑设计等技术咨询服务业务，是公司多年形成的核心主营业务之一。</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城市规划业务，是公司基于传统规划，综合生态经济学知识和现代城市规划理论及方法，针对城市生态本底及其与产业、社 会、人口之间复杂的系统关系进行生态诊断，并为之提出经济可行的基于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生态导向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动态平衡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的规划和建设运营整体解 决方案；而绿色建筑设计业务，是公司基于业务发展所形成的独特的共享设计理念和方法，利用数字化设计，形成独特的设 计风格，致力于为客户打造人与自然和谐共生、更加人性化、更加适宜的各类建筑。公司承担的城市规划和建筑设计项目凭 借出色的技术水平和绿色设计理念，先后获得了多项国家、省市甚至国际组织的奖项。</w:t>
      </w:r>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及项目全过程管理业务，是以绿色建筑交付为目标的工程总包服务业务，整合了公司在规划设计、绿色建筑咨询、检测 服务、项目管理咨询等业务的优势，是公司的重要业务增长点之一。</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绿色建设运营服务业务，如</w:t>
      </w:r>
      <w:r>
        <w:rPr>
          <w:rFonts w:ascii="Times New Roman" w:eastAsia="Times New Roman" w:hAnsi="Times New Roman" w:cs="Times New Roman"/>
          <w:color w:val="000000"/>
          <w:spacing w:val="0"/>
          <w:w w:val="100"/>
          <w:position w:val="0"/>
          <w:sz w:val="18"/>
          <w:szCs w:val="18"/>
        </w:rPr>
        <w:t>DOT</w:t>
      </w:r>
      <w:r>
        <w:rPr>
          <w:color w:val="000000"/>
          <w:spacing w:val="0"/>
          <w:w w:val="100"/>
          <w:position w:val="0"/>
        </w:rPr>
        <w:t>业务，是基于公司所掌握的系统完整的城市和建筑绿色建设运营全过程的集成技术体系，因 地制宜地为不同区域、类型的客户提供具有品质、适宜和能较好实现绿色效益的综合技术服务。目前已形成系统的技术积累 和较好的行业科技品牌影响力。</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在绿色人居公信服务板块中，公信服务业务是公司另一个核心主营业务领域。</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以为城市、建筑、家居的安全、健康、舒适、高效、可持续性提供一站式解决方案为目标，公司公信服务是以检测、检验、 认证为基础，集成绿色建筑设计优化、工程性能质量检测检验认证、综合技术研究咨询于一体的服务模式，包括：绿色建筑 综合咨询、能源环境规划咨询、装修污染物全过程控制咨询、既有建筑绿色化改造全过程咨询、建设工程检测和验收全过程 服务、合成材料运动场地检测及监管、甲方内部质量控制抽检服务、建筑工程质量潜在缺陷保险风险管理服务、产品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体系</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服务认证、绿色生态城区智慧运营监测数据平台建设等内容。</w:t>
      </w:r>
    </w:p>
    <w:p>
      <w:pPr>
        <w:pStyle w:val="Style2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为更好地突出生态规划、建筑设计、项目管理、公信检测和绿色运营等全过程业务和组合业务的优势，公司集中力量和资源 服务于生态建设和绿色发展业务需求大的重点城市，将城市作为虚拟客户主体，实施以城市绿色发展为目的全过程业务和组 合业务营销策略，即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市场战略，以更好发挥公司竞争力，提升公司客户的集中度和单个城市业务规模，从而提高 业务运作效率，并已取得较为明显的成效。</w:t>
      </w:r>
    </w:p>
    <w:p>
      <w:pPr>
        <w:pStyle w:val="Style30"/>
        <w:keepNext/>
        <w:keepLines/>
        <w:widowControl w:val="0"/>
        <w:shd w:val="clear" w:color="auto" w:fill="auto"/>
        <w:tabs>
          <w:tab w:pos="484" w:val="left"/>
        </w:tabs>
        <w:bidi w:val="0"/>
        <w:spacing w:before="0" w:after="380" w:line="240" w:lineRule="auto"/>
        <w:ind w:left="0" w:right="0" w:firstLine="0"/>
        <w:jc w:val="both"/>
      </w:pPr>
      <w:bookmarkStart w:id="63" w:name="bookmark63"/>
      <w:bookmarkStart w:id="64" w:name="bookmark64"/>
      <w:bookmarkStart w:id="65" w:name="bookmark65"/>
      <w:bookmarkStart w:id="66" w:name="bookmark66"/>
      <w:r>
        <w:rPr>
          <w:color w:val="000000"/>
          <w:spacing w:val="0"/>
          <w:w w:val="100"/>
          <w:position w:val="0"/>
        </w:rPr>
        <w:t>二</w:t>
      </w:r>
      <w:bookmarkEnd w:id="65"/>
      <w:r>
        <w:rPr>
          <w:color w:val="000000"/>
          <w:spacing w:val="0"/>
          <w:w w:val="100"/>
          <w:position w:val="0"/>
        </w:rPr>
        <w:t>、</w:t>
        <w:tab/>
        <w:t>主要资产重大变化情况</w:t>
      </w:r>
      <w:bookmarkEnd w:id="63"/>
      <w:bookmarkEnd w:id="64"/>
      <w:bookmarkEnd w:id="66"/>
    </w:p>
    <w:p>
      <w:pPr>
        <w:pStyle w:val="Style34"/>
        <w:keepNext/>
        <w:keepLines/>
        <w:widowControl w:val="0"/>
        <w:shd w:val="clear" w:color="auto" w:fill="auto"/>
        <w:bidi w:val="0"/>
        <w:spacing w:before="0" w:after="320" w:line="240" w:lineRule="auto"/>
        <w:ind w:left="0" w:right="0" w:firstLine="0"/>
        <w:jc w:val="both"/>
      </w:pPr>
      <w:bookmarkStart w:id="67" w:name="bookmark67"/>
      <w:bookmarkStart w:id="68" w:name="bookmark68"/>
      <w:bookmarkStart w:id="69" w:name="bookmark69"/>
      <w:bookmarkStart w:id="70" w:name="bookmark70"/>
      <w:r>
        <w:rPr>
          <w:rFonts w:ascii="Times New Roman" w:eastAsia="Times New Roman" w:hAnsi="Times New Roman" w:cs="Times New Roman"/>
          <w:color w:val="000000"/>
          <w:spacing w:val="0"/>
          <w:w w:val="100"/>
          <w:position w:val="0"/>
        </w:rPr>
        <w:t>1</w:t>
      </w:r>
      <w:bookmarkEnd w:id="69"/>
      <w:r>
        <w:rPr>
          <w:color w:val="000000"/>
          <w:spacing w:val="0"/>
          <w:w w:val="100"/>
          <w:position w:val="0"/>
        </w:rPr>
        <w:t>、主要资产重大变化情况</w:t>
      </w:r>
      <w:bookmarkEnd w:id="67"/>
      <w:bookmarkEnd w:id="68"/>
      <w:bookmarkEnd w:id="70"/>
    </w:p>
    <w:tbl>
      <w:tblPr>
        <w:tblOverlap w:val="never"/>
        <w:jc w:val="center"/>
        <w:tblLayout w:type="fixed"/>
      </w:tblPr>
      <w:tblGrid>
        <w:gridCol w:w="1958"/>
        <w:gridCol w:w="7627"/>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68.03%</w:t>
            </w:r>
            <w:r>
              <w:rPr>
                <w:color w:val="000000"/>
                <w:spacing w:val="0"/>
                <w:w w:val="100"/>
                <w:position w:val="0"/>
              </w:rPr>
              <w:t>，系公司未来大厦项目投资建设所致</w:t>
            </w:r>
          </w:p>
        </w:tc>
      </w:tr>
    </w:tbl>
    <w:tbl>
      <w:tblPr>
        <w:tblOverlap w:val="never"/>
        <w:jc w:val="center"/>
        <w:tblLayout w:type="fixed"/>
      </w:tblPr>
      <w:tblGrid>
        <w:gridCol w:w="1958"/>
        <w:gridCol w:w="7627"/>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38.08%</w:t>
            </w:r>
            <w:r>
              <w:rPr>
                <w:color w:val="000000"/>
                <w:spacing w:val="0"/>
                <w:w w:val="100"/>
                <w:position w:val="0"/>
              </w:rPr>
              <w:t>，主要系经营性现金净流入增加所致</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57.71%</w:t>
            </w:r>
            <w:r>
              <w:rPr>
                <w:color w:val="000000"/>
                <w:spacing w:val="0"/>
                <w:w w:val="100"/>
                <w:position w:val="0"/>
              </w:rPr>
              <w:t>，主要系持有的票据到期承兑所致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11.65%</w:t>
            </w:r>
            <w:r>
              <w:rPr>
                <w:color w:val="000000"/>
                <w:spacing w:val="0"/>
                <w:w w:val="100"/>
                <w:position w:val="0"/>
              </w:rPr>
              <w:t>，主要系业务增长带来的应收款增加所致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158.93%</w:t>
            </w:r>
            <w:r>
              <w:rPr>
                <w:color w:val="000000"/>
                <w:spacing w:val="0"/>
                <w:w w:val="100"/>
                <w:position w:val="0"/>
              </w:rPr>
              <w:t>，主要系业务预付款增加所致</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7,247.90</w:t>
            </w:r>
            <w:r>
              <w:rPr>
                <w:color w:val="000000"/>
                <w:spacing w:val="0"/>
                <w:w w:val="100"/>
                <w:position w:val="0"/>
              </w:rPr>
              <w:t>万元，系该科目系根据报告期初开始实施的会计政策变更而新增</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同比下降</w:t>
            </w:r>
            <w:r>
              <w:rPr>
                <w:rFonts w:ascii="Times New Roman" w:eastAsia="Times New Roman" w:hAnsi="Times New Roman" w:cs="Times New Roman"/>
                <w:color w:val="000000"/>
                <w:spacing w:val="0"/>
                <w:w w:val="100"/>
                <w:position w:val="0"/>
                <w:sz w:val="18"/>
                <w:szCs w:val="18"/>
              </w:rPr>
              <w:t>32.63%</w:t>
            </w:r>
            <w:r>
              <w:rPr>
                <w:color w:val="000000"/>
                <w:spacing w:val="0"/>
                <w:w w:val="100"/>
                <w:position w:val="0"/>
              </w:rPr>
              <w:t>，主要系部分长期资产项目报告期内摊销所致</w:t>
            </w:r>
          </w:p>
        </w:tc>
      </w:tr>
    </w:tbl>
    <w:p>
      <w:pPr>
        <w:widowControl w:val="0"/>
        <w:spacing w:after="279" w:line="1" w:lineRule="exact"/>
      </w:pPr>
    </w:p>
    <w:p>
      <w:pPr>
        <w:pStyle w:val="Style34"/>
        <w:keepNext/>
        <w:keepLines/>
        <w:widowControl w:val="0"/>
        <w:shd w:val="clear" w:color="auto" w:fill="auto"/>
        <w:bidi w:val="0"/>
        <w:spacing w:before="0" w:after="28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2</w:t>
      </w:r>
      <w:bookmarkEnd w:id="73"/>
      <w:r>
        <w:rPr>
          <w:color w:val="000000"/>
          <w:spacing w:val="0"/>
          <w:w w:val="100"/>
          <w:position w:val="0"/>
        </w:rPr>
        <w:t>、主要境外资产情况</w:t>
      </w:r>
      <w:bookmarkEnd w:id="71"/>
      <w:bookmarkEnd w:id="72"/>
      <w:bookmarkEnd w:id="74"/>
    </w:p>
    <w:p>
      <w:pPr>
        <w:pStyle w:val="Style21"/>
        <w:keepNext w:val="0"/>
        <w:keepLines w:val="0"/>
        <w:widowControl w:val="0"/>
        <w:shd w:val="clear" w:color="auto" w:fill="auto"/>
        <w:bidi w:val="0"/>
        <w:spacing w:before="0" w:after="3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三</w:t>
      </w:r>
      <w:bookmarkEnd w:id="77"/>
      <w:r>
        <w:rPr>
          <w:color w:val="000000"/>
          <w:spacing w:val="0"/>
          <w:w w:val="100"/>
          <w:position w:val="0"/>
        </w:rPr>
        <w:t>、核心竞争力分析</w:t>
      </w:r>
      <w:bookmarkEnd w:id="75"/>
      <w:bookmarkEnd w:id="76"/>
      <w:bookmarkEnd w:id="78"/>
    </w:p>
    <w:p>
      <w:pPr>
        <w:pStyle w:val="Style21"/>
        <w:keepNext w:val="0"/>
        <w:keepLines w:val="0"/>
        <w:widowControl w:val="0"/>
        <w:shd w:val="clear" w:color="auto" w:fill="auto"/>
        <w:tabs>
          <w:tab w:pos="471" w:val="left"/>
        </w:tabs>
        <w:bidi w:val="0"/>
        <w:spacing w:before="0" w:after="0" w:line="311" w:lineRule="exact"/>
        <w:ind w:left="0" w:right="0" w:firstLine="0"/>
        <w:jc w:val="left"/>
      </w:pPr>
      <w:bookmarkStart w:id="79" w:name="bookmark79"/>
      <w:r>
        <w:rPr>
          <w:color w:val="000000"/>
          <w:spacing w:val="0"/>
          <w:w w:val="100"/>
          <w:position w:val="0"/>
        </w:rPr>
        <w:t>（</w:t>
      </w:r>
      <w:bookmarkEnd w:id="79"/>
      <w:r>
        <w:rPr>
          <w:color w:val="000000"/>
          <w:spacing w:val="0"/>
          <w:w w:val="100"/>
          <w:position w:val="0"/>
        </w:rPr>
        <w:t>一）</w:t>
        <w:tab/>
        <w:t>城市绿色发展领域全过程技术积累和技术创新优势</w:t>
      </w:r>
    </w:p>
    <w:p>
      <w:pPr>
        <w:pStyle w:val="Style21"/>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公司（含公司控股子公司）十多年来积极推动绿色低碳理念和技术的普及，率先开展规模化的建筑节能、绿色建筑和城市绿 色发展实践，拥有国家级平台</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个、省（市）级技术平台</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 xml:space="preserve">个，主持国家重点研发计划等在内的国内外各级重点项目（课题）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余项，主、参编包括《绿色建筑评价标准》等国家、省、市级和团体标准、规范</w:t>
      </w:r>
      <w:r>
        <w:rPr>
          <w:rFonts w:ascii="Times New Roman" w:eastAsia="Times New Roman" w:hAnsi="Times New Roman" w:cs="Times New Roman"/>
          <w:color w:val="000000"/>
          <w:spacing w:val="0"/>
          <w:w w:val="100"/>
          <w:position w:val="0"/>
          <w:sz w:val="18"/>
          <w:szCs w:val="18"/>
        </w:rPr>
        <w:t>200</w:t>
      </w:r>
      <w:r>
        <w:rPr>
          <w:color w:val="000000"/>
          <w:spacing w:val="0"/>
          <w:w w:val="100"/>
          <w:position w:val="0"/>
          <w:sz w:val="17"/>
          <w:szCs w:val="17"/>
        </w:rPr>
        <w:t>余项，开展绿色建筑领域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五感六性</w:t>
      </w:r>
      <w:r>
        <w:rPr>
          <w:rFonts w:ascii="Times New Roman" w:eastAsia="Times New Roman" w:hAnsi="Times New Roman" w:cs="Times New Roman"/>
          <w:color w:val="000000"/>
          <w:spacing w:val="0"/>
          <w:w w:val="100"/>
          <w:position w:val="0"/>
          <w:sz w:val="18"/>
          <w:szCs w:val="18"/>
        </w:rPr>
        <w:t>”</w:t>
      </w:r>
    </w:p>
    <w:p>
      <w:pPr>
        <w:pStyle w:val="Style21"/>
        <w:keepNext w:val="0"/>
        <w:keepLines w:val="0"/>
        <w:widowControl w:val="0"/>
        <w:shd w:val="clear" w:color="auto" w:fill="auto"/>
        <w:bidi w:val="0"/>
        <w:spacing w:before="0" w:after="280" w:line="311" w:lineRule="exact"/>
        <w:ind w:left="0" w:right="0" w:firstLine="0"/>
        <w:jc w:val="left"/>
      </w:pPr>
      <w:r>
        <w:rPr>
          <w:color w:val="000000"/>
          <w:spacing w:val="0"/>
          <w:w w:val="100"/>
          <w:position w:val="0"/>
        </w:rPr>
        <w:t>（即使用者的味觉、嗅觉、视觉、听觉、触觉，及技术的安全性、适用性、舒适性、健康性、环境性和经济性等）的研究、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w:t>
      </w:r>
      <w:r>
        <w:rPr>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为导向的生态城市领域研究及直流电技术在建筑领域的研究应用，直接参与和推动了全国建筑节能强制 实施和绿色建筑的普及；直接拥有专利</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项（含子公司，其中发明专利</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项）、计算机软件著作权</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项。经过多年的精耕细 作，在持续的研发创新、实验、项目实施基础上，公司掌握了系统完整的城市和建筑绿色建设运营全过程的集成技术体系， 能因地制宜地为不同区域、类型的客户提供具有品质、特色、适宜、能较好实现绿色效益的综合技术服务，形成了系统的技 术积累和较好的行业科技品牌影响力。</w:t>
      </w:r>
    </w:p>
    <w:p>
      <w:pPr>
        <w:pStyle w:val="Style21"/>
        <w:keepNext w:val="0"/>
        <w:keepLines w:val="0"/>
        <w:widowControl w:val="0"/>
        <w:shd w:val="clear" w:color="auto" w:fill="auto"/>
        <w:tabs>
          <w:tab w:pos="471" w:val="left"/>
        </w:tabs>
        <w:bidi w:val="0"/>
        <w:spacing w:before="0" w:after="0" w:line="313" w:lineRule="exact"/>
        <w:ind w:left="0" w:right="0" w:firstLine="0"/>
        <w:jc w:val="left"/>
      </w:pPr>
      <w:bookmarkStart w:id="80" w:name="bookmark80"/>
      <w:r>
        <w:rPr>
          <w:color w:val="000000"/>
          <w:spacing w:val="0"/>
          <w:w w:val="100"/>
          <w:position w:val="0"/>
        </w:rPr>
        <w:t>（</w:t>
      </w:r>
      <w:bookmarkEnd w:id="80"/>
      <w:r>
        <w:rPr>
          <w:color w:val="000000"/>
          <w:spacing w:val="0"/>
          <w:w w:val="100"/>
          <w:position w:val="0"/>
        </w:rPr>
        <w:t>二）</w:t>
        <w:tab/>
        <w:t>基于研发、实验、数据平台的实证能力优势</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公司具有中国国家认证认可监督管理委员会颁发的检验检测机构资质认定证书、中国合格评定国家认可委员会颁发的检验 机构认可证书及实验室认可证书、广东省质量技术监督局颁发的检验检测机构资质认定证书，以及拥有多个国家及省市级检 测平台，具有覆盖多项专业检测项目的核心技术能力。公司还与美国劳伦斯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伯克利国家实验室、美国能源基金会、耶鲁大 学、康奈尔大学、雪城大学、牛津大学、荷兰应用科学研究院、欧洲环境基金会、清华大学等国内外知名机构开展生态城市、 绿色建筑领域研发合作，建立了</w:t>
      </w:r>
      <w:r>
        <w:rPr>
          <w:rFonts w:ascii="Times New Roman" w:eastAsia="Times New Roman" w:hAnsi="Times New Roman" w:cs="Times New Roman"/>
          <w:color w:val="000000"/>
          <w:spacing w:val="0"/>
          <w:w w:val="100"/>
          <w:position w:val="0"/>
          <w:sz w:val="18"/>
          <w:szCs w:val="18"/>
        </w:rPr>
        <w:t>IBR</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清华大学绿色人居环境研究中心等。上述研究平台、实验室为公司城市、建筑绿色技术 的研发和应用发挥着重要的支撑作用，为公司持续技术创新提供了平台保障。</w:t>
      </w:r>
    </w:p>
    <w:p>
      <w:pPr>
        <w:pStyle w:val="Style21"/>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公司从事建设工程检测业务超过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年，全资子公司建研检测可提供城市建设领域的检测项目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参数</w:t>
      </w:r>
      <w:r>
        <w:rPr>
          <w:rFonts w:ascii="Times New Roman" w:eastAsia="Times New Roman" w:hAnsi="Times New Roman" w:cs="Times New Roman"/>
          <w:color w:val="000000"/>
          <w:spacing w:val="0"/>
          <w:w w:val="100"/>
          <w:position w:val="0"/>
          <w:sz w:val="18"/>
          <w:szCs w:val="18"/>
        </w:rPr>
        <w:t>3917</w:t>
      </w:r>
      <w:r>
        <w:rPr>
          <w:color w:val="000000"/>
          <w:spacing w:val="0"/>
          <w:w w:val="100"/>
          <w:position w:val="0"/>
        </w:rPr>
        <w:t>项；</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年设立的全 资子公司绿研检验可提供城市建设领域的检测项目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参数</w:t>
      </w:r>
      <w:r>
        <w:rPr>
          <w:rFonts w:ascii="Times New Roman" w:eastAsia="Times New Roman" w:hAnsi="Times New Roman" w:cs="Times New Roman"/>
          <w:color w:val="000000"/>
          <w:spacing w:val="0"/>
          <w:w w:val="100"/>
          <w:position w:val="0"/>
          <w:sz w:val="18"/>
          <w:szCs w:val="18"/>
        </w:rPr>
        <w:t>650</w:t>
      </w:r>
      <w:r>
        <w:rPr>
          <w:color w:val="000000"/>
          <w:spacing w:val="0"/>
          <w:w w:val="100"/>
          <w:position w:val="0"/>
        </w:rPr>
        <w:t>项，在当地处于领先地位。公司通过多年工程及材料检测、能耗 监测以及绿色建筑、生态城市技术服务业务和研发实验，建立了庞大的涉及城市气候、空气质量、水文、资源、地质、能耗、 碳排放、自然植被、交通等城市基底、建筑性能相关数据库。同时建立了具有自有知识产权的城市评估、热岛、能源、碳排 放、植物生态数据、生态城评估等软件平台。公司数据库涵盖范围广泛，时间跨度长，较为完备地收集整理了我国绿色建筑 研究领域相关数据资料，为公司在全国范围内开展技术服务提供重要的数据支持，形成公司特有的差异化竞争优势。</w:t>
      </w:r>
    </w:p>
    <w:p>
      <w:pPr>
        <w:pStyle w:val="Style21"/>
        <w:keepNext w:val="0"/>
        <w:keepLines w:val="0"/>
        <w:widowControl w:val="0"/>
        <w:shd w:val="clear" w:color="auto" w:fill="auto"/>
        <w:tabs>
          <w:tab w:pos="471" w:val="left"/>
        </w:tabs>
        <w:bidi w:val="0"/>
        <w:spacing w:before="0" w:after="0" w:line="312" w:lineRule="exact"/>
        <w:ind w:left="0" w:right="0" w:firstLine="0"/>
        <w:jc w:val="left"/>
      </w:pPr>
      <w:bookmarkStart w:id="81" w:name="bookmark81"/>
      <w:r>
        <w:rPr>
          <w:color w:val="000000"/>
          <w:spacing w:val="0"/>
          <w:w w:val="100"/>
          <w:position w:val="0"/>
        </w:rPr>
        <w:t>（</w:t>
      </w:r>
      <w:bookmarkEnd w:id="81"/>
      <w:r>
        <w:rPr>
          <w:color w:val="000000"/>
          <w:spacing w:val="0"/>
          <w:w w:val="100"/>
          <w:position w:val="0"/>
        </w:rPr>
        <w:t>三）</w:t>
        <w:tab/>
        <w:t>灵活、快速响应市场需求的业务模式创新机制优势</w:t>
      </w:r>
    </w:p>
    <w:p>
      <w:pPr>
        <w:pStyle w:val="Style21"/>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公司倡导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理念，建立了多点科技创新、业务链灵活组合业务模式，逐步形成了涵盖科研服务、规划设计、公信 服务、项目管理以及运营服务等全过程业务链，业务模式创新机制在行业内较有鲜明特色和差异化竞争优势。</w:t>
      </w:r>
    </w:p>
    <w:p>
      <w:pPr>
        <w:pStyle w:val="Style21"/>
        <w:keepNext w:val="0"/>
        <w:keepLines w:val="0"/>
        <w:widowControl w:val="0"/>
        <w:shd w:val="clear" w:color="auto" w:fill="auto"/>
        <w:bidi w:val="0"/>
        <w:spacing w:before="0" w:after="300" w:line="240" w:lineRule="auto"/>
        <w:ind w:left="0" w:right="0" w:firstLine="0"/>
        <w:jc w:val="left"/>
      </w:pPr>
      <w:bookmarkStart w:id="82" w:name="bookmark82"/>
      <w:r>
        <w:rPr>
          <w:color w:val="000000"/>
          <w:spacing w:val="0"/>
          <w:w w:val="100"/>
          <w:position w:val="0"/>
        </w:rPr>
        <w:t>（</w:t>
      </w:r>
      <w:bookmarkEnd w:id="82"/>
      <w:r>
        <w:rPr>
          <w:color w:val="000000"/>
          <w:spacing w:val="0"/>
          <w:w w:val="100"/>
          <w:position w:val="0"/>
        </w:rPr>
        <w:t xml:space="preserve">四）建设领域的绿色品牌优势 </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 xml:space="preserve">年建立第一个建筑节能实验室并确立以绿色为核心的发展路线以来，公司一直专注于绿色建筑和生态城市领域技术 </w:t>
      </w:r>
      <w:r>
        <w:rPr>
          <w:color w:val="000000"/>
          <w:spacing w:val="0"/>
          <w:w w:val="100"/>
          <w:position w:val="0"/>
        </w:rPr>
        <w:t xml:space="preserve">的研发、创新及工程应用实践，完成了众多优秀项目的设计或技术咨询工作。公司凭借技术创新和市场业务方面的优势, </w:t>
      </w:r>
      <w:r>
        <w:rPr>
          <w:color w:val="000000"/>
          <w:spacing w:val="0"/>
          <w:w w:val="100"/>
          <w:position w:val="0"/>
        </w:rPr>
        <w:t>先后获得了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中国企业新纪录</w:t>
      </w:r>
      <w:r>
        <w:rPr>
          <w:color w:val="000000"/>
          <w:spacing w:val="0"/>
          <w:w w:val="100"/>
          <w:position w:val="0"/>
        </w:rPr>
        <w:t>*</w:t>
      </w:r>
      <w:r>
        <w:rPr>
          <w:color w:val="000000"/>
          <w:spacing w:val="0"/>
          <w:w w:val="100"/>
          <w:position w:val="0"/>
        </w:rPr>
        <w:t>全国建筑节能技术创新企业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当代中国建筑设计百家名院</w:t>
      </w:r>
      <w:r>
        <w:rPr>
          <w:color w:val="000000"/>
          <w:spacing w:val="0"/>
          <w:w w:val="100"/>
          <w:position w:val="0"/>
        </w:rPr>
        <w:t>*</w:t>
      </w:r>
      <w:r>
        <w:rPr>
          <w:color w:val="000000"/>
          <w:spacing w:val="0"/>
          <w:w w:val="100"/>
          <w:position w:val="0"/>
        </w:rPr>
        <w:t>全国绿色建筑先锋奖</w:t>
      </w:r>
      <w:r>
        <w:rPr>
          <w:color w:val="000000"/>
          <w:spacing w:val="0"/>
          <w:w w:val="100"/>
          <w:position w:val="0"/>
        </w:rPr>
        <w:t>*</w:t>
      </w:r>
      <w:r>
        <w:rPr>
          <w:color w:val="000000"/>
          <w:spacing w:val="0"/>
          <w:w w:val="100"/>
          <w:position w:val="0"/>
        </w:rPr>
        <w:t xml:space="preserve">国家装配 </w:t>
      </w:r>
      <w:r>
        <w:rPr>
          <w:color w:val="000000"/>
          <w:spacing w:val="0"/>
          <w:w w:val="100"/>
          <w:position w:val="0"/>
        </w:rPr>
        <w:t>式建筑范例城市和产业基地广东省装配式建筑（设计类、检测类）产业基地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等多项荣誉。公司已发展成为我国绿色建 </w:t>
      </w:r>
      <w:r>
        <w:rPr>
          <w:color w:val="000000"/>
          <w:spacing w:val="0"/>
          <w:w w:val="100"/>
          <w:position w:val="0"/>
        </w:rPr>
        <w:t>筑、生态城市领域的知名企业，具有很好的行业品牌影响力。</w:t>
      </w:r>
    </w:p>
    <w:p>
      <w:pPr>
        <w:pStyle w:val="Style21"/>
        <w:keepNext w:val="0"/>
        <w:keepLines w:val="0"/>
        <w:widowControl w:val="0"/>
        <w:shd w:val="clear" w:color="auto" w:fill="auto"/>
        <w:bidi w:val="0"/>
        <w:spacing w:before="0" w:after="0" w:line="311" w:lineRule="exact"/>
        <w:ind w:left="0" w:right="0" w:firstLine="0"/>
        <w:jc w:val="left"/>
      </w:pPr>
      <w:bookmarkStart w:id="83" w:name="bookmark83"/>
      <w:r>
        <w:rPr>
          <w:color w:val="000000"/>
          <w:spacing w:val="0"/>
          <w:w w:val="100"/>
          <w:position w:val="0"/>
        </w:rPr>
        <w:t>（</w:t>
      </w:r>
      <w:bookmarkEnd w:id="83"/>
      <w:r>
        <w:rPr>
          <w:color w:val="000000"/>
          <w:spacing w:val="0"/>
          <w:w w:val="100"/>
          <w:position w:val="0"/>
        </w:rPr>
        <w:t>五）管理优势</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公司多年来持续创新和内化多种先进的管理理念和机制，不断提升管理效能，逐步形成独特的管理机制：</w:t>
      </w:r>
    </w:p>
    <w:p>
      <w:pPr>
        <w:pStyle w:val="Style21"/>
        <w:keepNext w:val="0"/>
        <w:keepLines w:val="0"/>
        <w:widowControl w:val="0"/>
        <w:shd w:val="clear" w:color="auto" w:fill="auto"/>
        <w:tabs>
          <w:tab w:pos="6127" w:val="left"/>
          <w:tab w:pos="8939" w:val="left"/>
        </w:tabs>
        <w:bidi w:val="0"/>
        <w:spacing w:before="0" w:after="0" w:line="311" w:lineRule="exact"/>
        <w:ind w:left="0" w:right="0" w:firstLine="0"/>
        <w:jc w:val="left"/>
      </w:pPr>
      <w:r>
        <w:rPr>
          <w:color w:val="000000"/>
          <w:spacing w:val="0"/>
          <w:w w:val="100"/>
          <w:position w:val="0"/>
        </w:rPr>
        <w:t>公司整体上形成以客户和市场为导向的业务和质量管理组织模式，实施扁平化的组织架构，采用端到端的流程式和矩阵式 经营管理模式。公司以项目为核心，由项目主任牵头总负责，质控部门进行全过程质量把控，各部门、专业人员密切配 合，充分实现资源、管理的协同。公司建立了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三合一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管理体系（</w:t>
      </w:r>
      <w:r>
        <w:rPr>
          <w:rFonts w:ascii="Times New Roman" w:eastAsia="Times New Roman" w:hAnsi="Times New Roman" w:cs="Times New Roman"/>
          <w:color w:val="000000"/>
          <w:spacing w:val="0"/>
          <w:w w:val="100"/>
          <w:position w:val="0"/>
          <w:sz w:val="18"/>
          <w:szCs w:val="18"/>
        </w:rPr>
        <w:t>IS014001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环境管理体系认证、</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质</w:t>
      </w:r>
    </w:p>
    <w:p>
      <w:pPr>
        <w:pStyle w:val="Style21"/>
        <w:keepNext w:val="0"/>
        <w:keepLines w:val="0"/>
        <w:widowControl w:val="0"/>
        <w:shd w:val="clear" w:color="auto" w:fill="auto"/>
        <w:tabs>
          <w:tab w:pos="2666" w:val="left"/>
        </w:tabs>
        <w:bidi w:val="0"/>
        <w:spacing w:before="0" w:after="0" w:line="311" w:lineRule="exact"/>
        <w:ind w:left="0" w:right="0" w:firstLine="0"/>
        <w:jc w:val="left"/>
      </w:pPr>
      <w:r>
        <w:rPr>
          <w:color w:val="000000"/>
          <w:spacing w:val="0"/>
          <w:w w:val="100"/>
          <w:position w:val="0"/>
        </w:rPr>
        <w:t>量管理体系认证、</w:t>
      </w:r>
      <w:r>
        <w:rPr>
          <w:rFonts w:ascii="Times New Roman" w:eastAsia="Times New Roman" w:hAnsi="Times New Roman" w:cs="Times New Roman"/>
          <w:color w:val="000000"/>
          <w:spacing w:val="0"/>
          <w:w w:val="100"/>
          <w:position w:val="0"/>
          <w:sz w:val="18"/>
          <w:szCs w:val="18"/>
        </w:rPr>
        <w:t>0HSAS18001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职业健康安全管理体系认证），还建立了规范的监督、评估和审计体系，包括管理</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审计、技术审计、财务审计、合同与产品质量的第三方后评估等制度，保障了公司管理体制的有效运行。公司运用平衡积 分卡（</w:t>
      </w:r>
      <w:r>
        <w:rPr>
          <w:rFonts w:ascii="Times New Roman" w:eastAsia="Times New Roman" w:hAnsi="Times New Roman" w:cs="Times New Roman"/>
          <w:color w:val="000000"/>
          <w:spacing w:val="0"/>
          <w:w w:val="100"/>
          <w:position w:val="0"/>
          <w:sz w:val="18"/>
          <w:szCs w:val="18"/>
        </w:rPr>
        <w:t>BSC</w:t>
      </w:r>
      <w:r>
        <w:rPr>
          <w:color w:val="000000"/>
          <w:spacing w:val="0"/>
          <w:w w:val="100"/>
          <w:position w:val="0"/>
        </w:rPr>
        <w:t>）工具进行战略管理，分解细化战略目标，并进行多维度综合考核评估，注重财务与非财务、短期目标与长期 目标、外部和内部、结果和过程等之间的平衡，确保战略目标的实现。</w:t>
      </w:r>
    </w:p>
    <w:p>
      <w:pPr>
        <w:pStyle w:val="Style21"/>
        <w:keepNext w:val="0"/>
        <w:keepLines w:val="0"/>
        <w:widowControl w:val="0"/>
        <w:shd w:val="clear" w:color="auto" w:fill="auto"/>
        <w:bidi w:val="0"/>
        <w:spacing w:before="0" w:after="300" w:line="311" w:lineRule="exact"/>
        <w:ind w:left="0" w:right="0" w:firstLine="0"/>
        <w:jc w:val="left"/>
      </w:pPr>
      <w:r>
        <w:rPr>
          <w:color w:val="000000"/>
          <w:spacing w:val="0"/>
          <w:w w:val="100"/>
          <w:position w:val="0"/>
        </w:rPr>
        <w:t>公司一直以来十分重视信息化建设，在建立协同办公系统、财务管理系统、科研项目管理系统、档案管理系统、客户资源 管理</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w:t>
      </w:r>
      <w:r>
        <w:rPr>
          <w:color w:val="000000"/>
          <w:spacing w:val="0"/>
          <w:w w:val="100"/>
          <w:position w:val="0"/>
        </w:rPr>
        <w:t>系统并整合为大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乐活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系统的同时，继续完善和建设了覆盖深圳、珠海、惠州、上海、雄安的实验室网络的 实验室信息管理系统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L IMS</w:t>
      </w:r>
      <w:r>
        <w:rPr>
          <w:color w:val="000000"/>
          <w:spacing w:val="0"/>
          <w:w w:val="100"/>
          <w:position w:val="0"/>
        </w:rPr>
        <w:t>）</w:t>
      </w:r>
      <w:r>
        <w:rPr>
          <w:color w:val="000000"/>
          <w:spacing w:val="0"/>
          <w:w w:val="100"/>
          <w:position w:val="0"/>
        </w:rPr>
        <w:t>二期、设计生产管理系统，并实现了各系统之间的有效对接。同时，新增区块链在建设行业 应用的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伊</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系统平台，并在多个工程项目中启动应用。此外，基于区块链技术的信用管理，可对全员行为信用进行系统 自动记录和评价，结合大数据和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算法创新迭代，逐步形成知识型团队各类型工作岗位的个人行为肖像，最终实现按不同 信用等级采取不同外部管理力度和审批程序，分级管理提高效率，把良好的职业行为显性化，与职业发展和考核体系互 通，形成正向激励。公司现已基本搭建出一套完整的信息化业务管理体系，有利于更好实现内部信息及时传递、共享，充 分发挥各业务、部门协同效应，加强内部控制，提升管理效率。</w:t>
      </w:r>
    </w:p>
    <w:p>
      <w:pPr>
        <w:pStyle w:val="Style21"/>
        <w:keepNext w:val="0"/>
        <w:keepLines w:val="0"/>
        <w:widowControl w:val="0"/>
        <w:shd w:val="clear" w:color="auto" w:fill="auto"/>
        <w:bidi w:val="0"/>
        <w:spacing w:before="0" w:after="0" w:line="312" w:lineRule="exact"/>
        <w:ind w:left="0" w:right="0" w:firstLine="0"/>
        <w:jc w:val="left"/>
      </w:pPr>
      <w:bookmarkStart w:id="84" w:name="bookmark84"/>
      <w:r>
        <w:rPr>
          <w:color w:val="000000"/>
          <w:spacing w:val="0"/>
          <w:w w:val="100"/>
          <w:position w:val="0"/>
        </w:rPr>
        <w:t>（</w:t>
      </w:r>
      <w:bookmarkEnd w:id="84"/>
      <w:r>
        <w:rPr>
          <w:color w:val="000000"/>
          <w:spacing w:val="0"/>
          <w:w w:val="100"/>
          <w:position w:val="0"/>
        </w:rPr>
        <w:t>六）资质优势</w:t>
      </w:r>
    </w:p>
    <w:p>
      <w:pPr>
        <w:pStyle w:val="Style21"/>
        <w:keepNext w:val="0"/>
        <w:keepLines w:val="0"/>
        <w:widowControl w:val="0"/>
        <w:shd w:val="clear" w:color="auto" w:fill="auto"/>
        <w:bidi w:val="0"/>
        <w:spacing w:before="0" w:after="100" w:line="312" w:lineRule="exact"/>
        <w:ind w:left="0" w:right="0" w:firstLine="0"/>
        <w:jc w:val="left"/>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525" w:right="1041" w:bottom="1414" w:left="1081" w:header="0" w:footer="3" w:gutter="0"/>
          <w:cols w:space="720"/>
          <w:noEndnote/>
          <w:titlePg/>
          <w:rtlGutter w:val="0"/>
          <w:docGrid w:linePitch="360"/>
        </w:sectPr>
      </w:pPr>
      <w:r>
        <w:rPr>
          <w:color w:val="000000"/>
          <w:spacing w:val="0"/>
          <w:w w:val="100"/>
          <w:position w:val="0"/>
        </w:rPr>
        <w:t>公司在发展的过程中不断积累和壮大，取得了各类资质，为公司业务发展提供了重要支撑。目前，公司及全资子公司拥有 城乡规划编制甲级、工程设计建筑行业（建筑工程）甲级、房屋建筑工程监理甲级、工程咨询单位甲级资信、工程设计市 政行业（给水工程、桥梁工程、道路工程、排水工程）专业乙级、风景园林工程设计专项乙级、工程勘察专业类（岩土工 程）乙级、建设工程质量检测机构资质证书、国家认证认可监督管理委员会颁发的检验检测机构资质认定证书</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CMA</w:t>
      </w:r>
      <w:r>
        <w:rPr>
          <w:color w:val="000000"/>
          <w:spacing w:val="0"/>
          <w:w w:val="100"/>
          <w:position w:val="0"/>
        </w:rPr>
        <w:t xml:space="preserve">）、 </w:t>
      </w:r>
      <w:r>
        <w:rPr>
          <w:color w:val="000000"/>
          <w:spacing w:val="0"/>
          <w:w w:val="100"/>
          <w:position w:val="0"/>
        </w:rPr>
        <w:t>中国合格评定国家认可委员会颁发的检验机构认可证书（</w:t>
      </w:r>
      <w:r>
        <w:rPr>
          <w:rFonts w:ascii="Times New Roman" w:eastAsia="Times New Roman" w:hAnsi="Times New Roman" w:cs="Times New Roman"/>
          <w:color w:val="000000"/>
          <w:spacing w:val="0"/>
          <w:w w:val="100"/>
          <w:position w:val="0"/>
          <w:sz w:val="18"/>
          <w:szCs w:val="18"/>
        </w:rPr>
        <w:t>CNAS</w:t>
      </w:r>
      <w:r>
        <w:rPr>
          <w:color w:val="000000"/>
          <w:spacing w:val="0"/>
          <w:w w:val="100"/>
          <w:position w:val="0"/>
        </w:rPr>
        <w:t>）</w:t>
      </w:r>
      <w:r>
        <w:rPr>
          <w:color w:val="000000"/>
          <w:spacing w:val="0"/>
          <w:w w:val="100"/>
          <w:position w:val="0"/>
        </w:rPr>
        <w:t>及实验室认可证书（</w:t>
      </w:r>
      <w:r>
        <w:rPr>
          <w:rFonts w:ascii="Times New Roman" w:eastAsia="Times New Roman" w:hAnsi="Times New Roman" w:cs="Times New Roman"/>
          <w:color w:val="000000"/>
          <w:spacing w:val="0"/>
          <w:w w:val="100"/>
          <w:position w:val="0"/>
          <w:sz w:val="18"/>
          <w:szCs w:val="18"/>
        </w:rPr>
        <w:t>CNAS</w:t>
      </w:r>
      <w:r>
        <w:rPr>
          <w:color w:val="000000"/>
          <w:spacing w:val="0"/>
          <w:w w:val="100"/>
          <w:position w:val="0"/>
        </w:rPr>
        <w:t>）</w:t>
      </w:r>
      <w:r>
        <w:rPr>
          <w:color w:val="000000"/>
          <w:spacing w:val="0"/>
          <w:w w:val="100"/>
          <w:position w:val="0"/>
        </w:rPr>
        <w:t>等资质。完善的资质和认可 体系是企业综合实力的体现，特别是在工程技术服务行业中，资质往往是业务开展和项目招投标的基本条件，公司资质和 认可涵盖了建筑工程、市政等领域，涉及到设计、咨询、管理和检测等多个环节，为公司全面开拓市场提供了强有力的资 质保证。</w:t>
      </w:r>
    </w:p>
    <w:p>
      <w:pPr>
        <w:pStyle w:val="Style8"/>
        <w:keepNext/>
        <w:keepLines/>
        <w:widowControl w:val="0"/>
        <w:shd w:val="clear" w:color="auto" w:fill="auto"/>
        <w:bidi w:val="0"/>
        <w:spacing w:before="540" w:line="240" w:lineRule="auto"/>
        <w:ind w:left="0" w:right="0" w:firstLine="0"/>
        <w:jc w:val="center"/>
      </w:pPr>
      <w:bookmarkStart w:id="85" w:name="bookmark85"/>
      <w:bookmarkStart w:id="86" w:name="bookmark86"/>
      <w:bookmarkStart w:id="87" w:name="bookmark87"/>
      <w:r>
        <w:rPr>
          <w:color w:val="000000"/>
          <w:spacing w:val="0"/>
          <w:w w:val="100"/>
          <w:position w:val="0"/>
        </w:rPr>
        <w:t>第四节经营情况讨论与分析</w:t>
      </w:r>
      <w:bookmarkEnd w:id="85"/>
      <w:bookmarkEnd w:id="86"/>
      <w:bookmarkEnd w:id="87"/>
    </w:p>
    <w:p>
      <w:pPr>
        <w:pStyle w:val="Style30"/>
        <w:keepNext/>
        <w:keepLines/>
        <w:widowControl w:val="0"/>
        <w:shd w:val="clear" w:color="auto" w:fill="auto"/>
        <w:bidi w:val="0"/>
        <w:spacing w:before="0" w:after="280" w:line="240" w:lineRule="auto"/>
        <w:ind w:left="0" w:right="0" w:firstLine="0"/>
        <w:jc w:val="both"/>
      </w:pPr>
      <w:bookmarkStart w:id="88" w:name="bookmark88"/>
      <w:bookmarkStart w:id="89" w:name="bookmark89"/>
      <w:bookmarkStart w:id="90" w:name="bookmark90"/>
      <w:bookmarkStart w:id="91" w:name="bookmark91"/>
      <w:r>
        <w:rPr>
          <w:color w:val="000000"/>
          <w:spacing w:val="0"/>
          <w:w w:val="100"/>
          <w:position w:val="0"/>
        </w:rPr>
        <w:t>一</w:t>
      </w:r>
      <w:bookmarkEnd w:id="90"/>
      <w:r>
        <w:rPr>
          <w:color w:val="000000"/>
          <w:spacing w:val="0"/>
          <w:w w:val="100"/>
          <w:position w:val="0"/>
        </w:rPr>
        <w:t>、概述</w:t>
      </w:r>
      <w:bookmarkEnd w:id="88"/>
      <w:bookmarkEnd w:id="89"/>
      <w:bookmarkEnd w:id="91"/>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近年，为有效应对国内经济向高质量发展转型、业内竞争日益激烈等所带来的外部环境压力，公司围绕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中国绿色城市价值 创造者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的使命，以国际化绿色科技产业集团为发展目标，持续打造绿色建筑和城市绿色发展的技术服务的差异化竞争优势， 协同推动业务模式转型、市场策略创新、管理效率提升等，实现经营业绩稳步增长。</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报告期内，公司积极发挥全过程业务及组合业务优势、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人力资源管理优势等，以稳健的经营策略，有效控制包括新 冠疫情、行业竞争加剧等在内的一系列外部不利因素影响，成为本地区首批复工企业，为二季度整体产能恢复至正常水平提 供了坚实保障。同时，通过积极捕捉市场复苏机会，公司进一步发挥全过程业务链的协同效应和核心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的市场带动 效应，最终实现全年营业收入</w:t>
      </w:r>
      <w:r>
        <w:rPr>
          <w:rFonts w:ascii="Times New Roman" w:eastAsia="Times New Roman" w:hAnsi="Times New Roman" w:cs="Times New Roman"/>
          <w:color w:val="000000"/>
          <w:spacing w:val="0"/>
          <w:w w:val="100"/>
          <w:position w:val="0"/>
          <w:sz w:val="18"/>
          <w:szCs w:val="18"/>
        </w:rPr>
        <w:t>50,646</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8.22%</w:t>
      </w:r>
      <w:r>
        <w:rPr>
          <w:color w:val="000000"/>
          <w:spacing w:val="0"/>
          <w:w w:val="100"/>
          <w:position w:val="0"/>
        </w:rPr>
        <w:t>；通过加强全面预算管理，合理控制费用支出，经营效益稳步提 升，归属于上市公司股东的净利润达</w:t>
      </w:r>
      <w:r>
        <w:rPr>
          <w:rFonts w:ascii="Times New Roman" w:eastAsia="Times New Roman" w:hAnsi="Times New Roman" w:cs="Times New Roman"/>
          <w:color w:val="000000"/>
          <w:spacing w:val="0"/>
          <w:w w:val="100"/>
          <w:position w:val="0"/>
          <w:sz w:val="18"/>
          <w:szCs w:val="18"/>
        </w:rPr>
        <w:t>4,387</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，经营活动产生的现金流量也稳步增长，且除受疫情影响 的一季度外，各季度净利润均为盈利，整体业绩质量有所提升。</w:t>
      </w:r>
    </w:p>
    <w:p>
      <w:pPr>
        <w:pStyle w:val="Style2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具体情况如下：</w:t>
      </w:r>
    </w:p>
    <w:p>
      <w:pPr>
        <w:pStyle w:val="Style21"/>
        <w:keepNext w:val="0"/>
        <w:keepLines w:val="0"/>
        <w:widowControl w:val="0"/>
        <w:shd w:val="clear" w:color="auto" w:fill="auto"/>
        <w:bidi w:val="0"/>
        <w:spacing w:before="0" w:after="0" w:line="312" w:lineRule="exact"/>
        <w:ind w:left="0" w:right="0" w:firstLine="0"/>
        <w:jc w:val="both"/>
      </w:pPr>
      <w:bookmarkStart w:id="92" w:name="bookmark92"/>
      <w:r>
        <w:rPr>
          <w:color w:val="000000"/>
          <w:spacing w:val="0"/>
          <w:w w:val="100"/>
          <w:position w:val="0"/>
        </w:rPr>
        <w:t>（</w:t>
      </w:r>
      <w:bookmarkEnd w:id="92"/>
      <w:r>
        <w:rPr>
          <w:color w:val="000000"/>
          <w:spacing w:val="0"/>
          <w:w w:val="100"/>
          <w:position w:val="0"/>
        </w:rPr>
        <w:t>一）全过程综合业务稳步发展，捕捉机遇加速业务转型</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报告期内，公司业务模式进一步向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全过程综合服务</w:t>
      </w:r>
      <w:r>
        <w:rPr>
          <w:color w:val="000000"/>
          <w:spacing w:val="0"/>
          <w:w w:val="100"/>
          <w:position w:val="0"/>
        </w:rPr>
        <w:t>*</w:t>
      </w:r>
      <w:r>
        <w:rPr>
          <w:color w:val="000000"/>
          <w:spacing w:val="0"/>
          <w:w w:val="100"/>
          <w:position w:val="0"/>
        </w:rPr>
        <w:t>全生命周期陪伴服务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价值创造的增值分利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的方向变革：</w:t>
      </w:r>
    </w:p>
    <w:p>
      <w:pPr>
        <w:pStyle w:val="Style21"/>
        <w:keepNext w:val="0"/>
        <w:keepLines w:val="0"/>
        <w:widowControl w:val="0"/>
        <w:numPr>
          <w:ilvl w:val="0"/>
          <w:numId w:val="1"/>
        </w:numPr>
        <w:shd w:val="clear" w:color="auto" w:fill="auto"/>
        <w:tabs>
          <w:tab w:pos="250" w:val="left"/>
        </w:tabs>
        <w:bidi w:val="0"/>
        <w:spacing w:before="0" w:after="0" w:line="312" w:lineRule="exact"/>
        <w:ind w:left="0" w:right="0" w:firstLine="0"/>
        <w:jc w:val="both"/>
      </w:pPr>
      <w:bookmarkStart w:id="93" w:name="bookmark93"/>
      <w:bookmarkEnd w:id="93"/>
      <w:r>
        <w:rPr>
          <w:color w:val="000000"/>
          <w:spacing w:val="0"/>
          <w:w w:val="100"/>
          <w:position w:val="0"/>
        </w:rPr>
        <w:t xml:space="preserve">涵盖城市规划、建筑设计、项目管理、绿色运营等业务单元的城市绿色发展全过程技术服务板块，报告期内实现营收合计 </w:t>
      </w:r>
      <w:r>
        <w:rPr>
          <w:rFonts w:ascii="Times New Roman" w:eastAsia="Times New Roman" w:hAnsi="Times New Roman" w:cs="Times New Roman"/>
          <w:color w:val="000000"/>
          <w:spacing w:val="0"/>
          <w:w w:val="100"/>
          <w:position w:val="0"/>
          <w:sz w:val="18"/>
          <w:szCs w:val="18"/>
        </w:rPr>
        <w:t>31,676.8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，继续保持稳步增长势头；同时毛利率达</w:t>
      </w:r>
      <w:r>
        <w:rPr>
          <w:rFonts w:ascii="Times New Roman" w:eastAsia="Times New Roman" w:hAnsi="Times New Roman" w:cs="Times New Roman"/>
          <w:color w:val="000000"/>
          <w:spacing w:val="0"/>
          <w:w w:val="100"/>
          <w:position w:val="0"/>
          <w:sz w:val="18"/>
          <w:szCs w:val="18"/>
        </w:rPr>
        <w:t>34.21%</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7.34</w:t>
      </w:r>
      <w:r>
        <w:rPr>
          <w:color w:val="000000"/>
          <w:spacing w:val="0"/>
          <w:w w:val="100"/>
          <w:position w:val="0"/>
        </w:rPr>
        <w:t>个百分点，利润率有所提升。 全年来看，这一成绩主要受益于建筑设计业务的增长，在叠加前期项目持续收益的基础上，其营业收入全年实现</w:t>
      </w:r>
      <w:r>
        <w:rPr>
          <w:rFonts w:ascii="Times New Roman" w:eastAsia="Times New Roman" w:hAnsi="Times New Roman" w:cs="Times New Roman"/>
          <w:color w:val="000000"/>
          <w:spacing w:val="0"/>
          <w:w w:val="100"/>
          <w:position w:val="0"/>
          <w:sz w:val="18"/>
          <w:szCs w:val="18"/>
        </w:rPr>
        <w:t>10,825.4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 元，同比增长</w:t>
      </w:r>
      <w:r>
        <w:rPr>
          <w:rFonts w:ascii="Times New Roman" w:eastAsia="Times New Roman" w:hAnsi="Times New Roman" w:cs="Times New Roman"/>
          <w:color w:val="000000"/>
          <w:spacing w:val="0"/>
          <w:w w:val="100"/>
          <w:position w:val="0"/>
          <w:sz w:val="18"/>
          <w:szCs w:val="18"/>
        </w:rPr>
        <w:t>26.76%</w:t>
      </w:r>
      <w:r>
        <w:rPr>
          <w:color w:val="000000"/>
          <w:spacing w:val="0"/>
          <w:w w:val="100"/>
          <w:position w:val="0"/>
        </w:rPr>
        <w:t>,同时毛利率提升至</w:t>
      </w:r>
      <w:r>
        <w:rPr>
          <w:rFonts w:ascii="Times New Roman" w:eastAsia="Times New Roman" w:hAnsi="Times New Roman" w:cs="Times New Roman"/>
          <w:color w:val="000000"/>
          <w:spacing w:val="0"/>
          <w:w w:val="100"/>
          <w:position w:val="0"/>
          <w:sz w:val="18"/>
          <w:szCs w:val="18"/>
        </w:rPr>
        <w:t>40.66%</w:t>
      </w:r>
      <w:r>
        <w:rPr>
          <w:color w:val="000000"/>
          <w:spacing w:val="0"/>
          <w:w w:val="100"/>
          <w:position w:val="0"/>
        </w:rPr>
        <w:t>，同比增加</w:t>
      </w:r>
      <w:r>
        <w:rPr>
          <w:rFonts w:ascii="Times New Roman" w:eastAsia="Times New Roman" w:hAnsi="Times New Roman" w:cs="Times New Roman"/>
          <w:color w:val="000000"/>
          <w:spacing w:val="0"/>
          <w:w w:val="100"/>
          <w:position w:val="0"/>
          <w:sz w:val="18"/>
          <w:szCs w:val="18"/>
        </w:rPr>
        <w:t>7.5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个百分点，在营业收入和人力效能方面都有效推动该板块业 绩的提升。城市规划业务营业收入实现</w:t>
      </w:r>
      <w:r>
        <w:rPr>
          <w:rFonts w:ascii="Times New Roman" w:eastAsia="Times New Roman" w:hAnsi="Times New Roman" w:cs="Times New Roman"/>
          <w:color w:val="000000"/>
          <w:spacing w:val="0"/>
          <w:w w:val="100"/>
          <w:position w:val="0"/>
          <w:sz w:val="18"/>
          <w:szCs w:val="18"/>
        </w:rPr>
        <w:t>9,464.17</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18.99%</w:t>
      </w:r>
      <w:r>
        <w:rPr>
          <w:color w:val="000000"/>
          <w:spacing w:val="0"/>
          <w:w w:val="100"/>
          <w:position w:val="0"/>
        </w:rPr>
        <w:t>,毛利率达</w:t>
      </w:r>
      <w:r>
        <w:rPr>
          <w:rFonts w:ascii="Times New Roman" w:eastAsia="Times New Roman" w:hAnsi="Times New Roman" w:cs="Times New Roman"/>
          <w:color w:val="000000"/>
          <w:spacing w:val="0"/>
          <w:w w:val="100"/>
          <w:position w:val="0"/>
          <w:sz w:val="18"/>
          <w:szCs w:val="18"/>
        </w:rPr>
        <w:t>42.97%</w:t>
      </w:r>
      <w:r>
        <w:rPr>
          <w:color w:val="000000"/>
          <w:spacing w:val="0"/>
          <w:w w:val="100"/>
          <w:position w:val="0"/>
        </w:rPr>
        <w:t>，同比小幅增长</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个百分点，业 务规模和利润率稳步提升。</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、代建及项目全过程管理业务实现营业收入</w:t>
      </w:r>
      <w:r>
        <w:rPr>
          <w:rFonts w:ascii="Times New Roman" w:eastAsia="Times New Roman" w:hAnsi="Times New Roman" w:cs="Times New Roman"/>
          <w:color w:val="000000"/>
          <w:spacing w:val="0"/>
          <w:w w:val="100"/>
          <w:position w:val="0"/>
          <w:sz w:val="18"/>
          <w:szCs w:val="18"/>
        </w:rPr>
        <w:t>9,174.99</w:t>
      </w:r>
      <w:r>
        <w:rPr>
          <w:color w:val="000000"/>
          <w:spacing w:val="0"/>
          <w:w w:val="100"/>
          <w:position w:val="0"/>
        </w:rPr>
        <w:t>万元，略低于同比水平，主要是因为部 分项目受因疫情影响导致现场施工进度滞后、工期延长等因素影响，营收确认进度相应放缓，同时部分战略性项目正处于增 大投入的阶段，对部分新增项目的实施也产生一定影响；但全过程咨询业务的拓展取得较大突破，新签订的全过程咨询业务 合同数量增幅明显，说明公司在该领域的业务逐步成型，服务能力也不断增强，加上有效管理，业务整体毛利率达</w:t>
      </w:r>
      <w:r>
        <w:rPr>
          <w:rFonts w:ascii="Times New Roman" w:eastAsia="Times New Roman" w:hAnsi="Times New Roman" w:cs="Times New Roman"/>
          <w:color w:val="000000"/>
          <w:spacing w:val="0"/>
          <w:w w:val="100"/>
          <w:position w:val="0"/>
          <w:sz w:val="18"/>
          <w:szCs w:val="18"/>
        </w:rPr>
        <w:t>22.90%</w:t>
      </w:r>
      <w:r>
        <w:rPr>
          <w:color w:val="000000"/>
          <w:spacing w:val="0"/>
          <w:w w:val="100"/>
          <w:position w:val="0"/>
        </w:rPr>
        <w:t>, 仍保持稳中有升。公司正着力提升有效产能以更好地为客户提供优质服务，并加大该业务的市场开拓力度，发挥具有特色的 技术管理优势，捕捉新市场机会。此外，绿色运营实现营业收入</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,443.20</w:t>
      </w:r>
      <w:r>
        <w:rPr>
          <w:color w:val="000000"/>
          <w:spacing w:val="0"/>
          <w:w w:val="100"/>
          <w:position w:val="0"/>
        </w:rPr>
        <w:t>万元，同比下降主要系市场拓展和部分会展业务受 疫情影响较为明显所致，不过鉴于其仍处于培育初期，对公司营收影响较小，且随着疫情防控态势向好，业务类型也逐步从 办公物业扩张到商业物业、医疗物业等，该业务仍具备一定的发展潜力。</w:t>
      </w:r>
    </w:p>
    <w:p>
      <w:pPr>
        <w:pStyle w:val="Style21"/>
        <w:keepNext w:val="0"/>
        <w:keepLines w:val="0"/>
        <w:widowControl w:val="0"/>
        <w:numPr>
          <w:ilvl w:val="0"/>
          <w:numId w:val="1"/>
        </w:numPr>
        <w:shd w:val="clear" w:color="auto" w:fill="auto"/>
        <w:tabs>
          <w:tab w:pos="260" w:val="left"/>
        </w:tabs>
        <w:bidi w:val="0"/>
        <w:spacing w:before="0" w:after="0" w:line="312" w:lineRule="exact"/>
        <w:ind w:left="0" w:right="0" w:firstLine="0"/>
        <w:jc w:val="both"/>
      </w:pPr>
      <w:bookmarkStart w:id="94" w:name="bookmark94"/>
      <w:bookmarkEnd w:id="94"/>
      <w:r>
        <w:rPr>
          <w:color w:val="000000"/>
          <w:spacing w:val="0"/>
          <w:w w:val="100"/>
          <w:position w:val="0"/>
        </w:rPr>
        <w:t>涵盖检测、检验、认证、咨询等业务单元的绿色人居公信检测全过程技术服务板块，在部分关键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与城市绿色发 展全过程技术服务形成良好协同，业绩得以共同提升，报告期内实现营收合计</w:t>
      </w:r>
      <w:r>
        <w:rPr>
          <w:rFonts w:ascii="Times New Roman" w:eastAsia="Times New Roman" w:hAnsi="Times New Roman" w:cs="Times New Roman"/>
          <w:color w:val="000000"/>
          <w:spacing w:val="0"/>
          <w:w w:val="100"/>
          <w:position w:val="0"/>
          <w:sz w:val="18"/>
          <w:szCs w:val="18"/>
        </w:rPr>
        <w:t>18,968.96</w:t>
      </w:r>
      <w:r>
        <w:rPr>
          <w:color w:val="000000"/>
          <w:spacing w:val="0"/>
          <w:w w:val="100"/>
          <w:position w:val="0"/>
        </w:rPr>
        <w:t>万元，较上年同期上升</w:t>
      </w:r>
      <w:r>
        <w:rPr>
          <w:rFonts w:ascii="Times New Roman" w:eastAsia="Times New Roman" w:hAnsi="Times New Roman" w:cs="Times New Roman"/>
          <w:color w:val="000000"/>
          <w:spacing w:val="0"/>
          <w:w w:val="100"/>
          <w:position w:val="0"/>
          <w:sz w:val="18"/>
          <w:szCs w:val="18"/>
        </w:rPr>
        <w:t>13.25%</w:t>
      </w:r>
      <w:r>
        <w:rPr>
          <w:color w:val="000000"/>
          <w:spacing w:val="0"/>
          <w:w w:val="100"/>
          <w:position w:val="0"/>
        </w:rPr>
        <w:t>。其中， 公信检测服务业务实现营收</w:t>
      </w:r>
      <w:r>
        <w:rPr>
          <w:rFonts w:ascii="Times New Roman" w:eastAsia="Times New Roman" w:hAnsi="Times New Roman" w:cs="Times New Roman"/>
          <w:color w:val="000000"/>
          <w:spacing w:val="0"/>
          <w:w w:val="100"/>
          <w:position w:val="0"/>
          <w:sz w:val="18"/>
          <w:szCs w:val="18"/>
        </w:rPr>
        <w:t>16,098.75</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27.09%</w:t>
      </w:r>
      <w:r>
        <w:rPr>
          <w:color w:val="000000"/>
          <w:spacing w:val="0"/>
          <w:w w:val="100"/>
          <w:position w:val="0"/>
        </w:rPr>
        <w:t>,毛利率有所下降但保持在</w:t>
      </w:r>
      <w:r>
        <w:rPr>
          <w:rFonts w:ascii="Times New Roman" w:eastAsia="Times New Roman" w:hAnsi="Times New Roman" w:cs="Times New Roman"/>
          <w:color w:val="000000"/>
          <w:spacing w:val="0"/>
          <w:w w:val="100"/>
          <w:position w:val="0"/>
          <w:sz w:val="18"/>
          <w:szCs w:val="18"/>
        </w:rPr>
        <w:t>34.90%</w:t>
      </w:r>
      <w:r>
        <w:rPr>
          <w:color w:val="000000"/>
          <w:spacing w:val="0"/>
          <w:w w:val="100"/>
          <w:position w:val="0"/>
        </w:rPr>
        <w:t>，一方面是报告期内雄 安新区检验检测业务主要为地基现场服务，受其业务特性影响，成本率较高，不过业务类型也与雄安大建设的整体发展节奏 相符，随着建设进程推进也已涌现更多类型的检验检测市场机会；同时，雄安新区、华中区域仍处于业务开拓前期，需在产 能提升、资质能力建设等方面加大投入，致使短期内成本有所上升；另一方面受产能调配不足和检测市场竞争加剧影响，部 分业务未能更好地把握优势服务产品的市场机遇从而推动人均效能进一步提升，致使毛利率有所下降。</w:t>
      </w:r>
    </w:p>
    <w:p>
      <w:pPr>
        <w:pStyle w:val="Style2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为此，公司已采取有效措施，提升解决客户需求的能力以增强客户粘性，并继续加大市场开拓，在项目周转率高的公信服务 单元形成合同储备超</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千万元；在雄安新区和华中区域，继续通过资质建设和能力拓展扩大业务服务范围，同时伴随新签合 同的不断增加，业务多样性程度也逐步提升，将更有利于发挥区域公司能力优势，为更好把握雄安新区大建设、新市场开拓 所带来的机遇奠定基础，促进公信服务利润率提升。从板块整体上看，公司也将把握作为《绿色建筑评价标准》等多项绿色 建筑和绿色人居相关标准的主参编单位优势，以及绿色装修咨询等新型业务迅猛发展的势头，推动建筑咨询业务的整合升 </w:t>
      </w:r>
      <w:r>
        <w:rPr>
          <w:color w:val="000000"/>
          <w:spacing w:val="0"/>
          <w:w w:val="100"/>
          <w:position w:val="0"/>
        </w:rPr>
        <w:t>级，扭转发展势头。</w:t>
      </w:r>
    </w:p>
    <w:p>
      <w:pPr>
        <w:pStyle w:val="Style21"/>
        <w:keepNext w:val="0"/>
        <w:keepLines w:val="0"/>
        <w:widowControl w:val="0"/>
        <w:shd w:val="clear" w:color="auto" w:fill="auto"/>
        <w:tabs>
          <w:tab w:pos="471" w:val="left"/>
        </w:tabs>
        <w:bidi w:val="0"/>
        <w:spacing w:before="0" w:after="0" w:line="312" w:lineRule="exact"/>
        <w:ind w:left="0" w:right="0" w:firstLine="0"/>
        <w:jc w:val="both"/>
      </w:pPr>
      <w:bookmarkStart w:id="95" w:name="bookmark95"/>
      <w:r>
        <w:rPr>
          <w:color w:val="000000"/>
          <w:spacing w:val="0"/>
          <w:w w:val="100"/>
          <w:position w:val="0"/>
        </w:rPr>
        <w:t>（</w:t>
      </w:r>
      <w:bookmarkEnd w:id="95"/>
      <w:r>
        <w:rPr>
          <w:color w:val="000000"/>
          <w:spacing w:val="0"/>
          <w:w w:val="100"/>
          <w:position w:val="0"/>
        </w:rPr>
        <w:t>二）</w:t>
        <w:tab/>
        <w:t>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市场战略，把握市场增长机遇</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城市客户’’体系已形成较为明显的集聚特征，市场主要集中在以深圳和雄安新区为核心的南北两大区域，有 力支撑公司的业绩增长。</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公司一方面继续深耕总部深圳市场，在中国特色社会主义先行示范区和粤港澳大湾区（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）城市绿色发展的背景下，系 统梳理各市区发展需求，从城市建设运营的不同环节切入，为客户提供陪伴式服务，实现价值共赢；同时结合周边城市不同 发展阶段的差异性需求特点，通过规划研究、建筑设计、检测咨询等组合业务策略，更系统地参与到新区域的城市绿色发展 之中，目前已在珠海市形成较好的市场反馈，其他部分城市的发展潜力也不断显现。而通过投资设立湾区规划设计和湾区绿 色技术两家全资子公司，公司将更好地把握双区驱动战略优势，抢抓改革试点的重大历史机遇，更好发挥市国资国企在湾区 绿色发展中的引领作用。</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另一方面，基于深圳总部的发展基础，公司进一步整合当地分、子公司构建雄安总部体系，并继续推动本地化团队建设，增 强区域内多业务协同能力，捕捉市场复苏和城市建设机遇。此外，加大对公共艺术等城市运营类服务的机会挖掘，培育新业 务发展，其中容城县漫生活街区（罗萨街区）价值提升项目更是通过街区公共艺术轻旧改，为雄安新区打造了一张崭新的城 市名片。通过增资雄安检验子公司和实施企业名称实现去属地化（更名为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雄安绿研检验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），也将更有利于把握雄安新区及 周边市场的发展建设机遇。</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通过上述举措，公司已开发形成多个千万级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，先后中标及承担城市生态规划、绿色建筑设计、工程检测检验、全 过程工程咨询等领域的数项千万级项目，有力支撑当地绿色发展和公司业绩增长，华南及华北区域营收合计达</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亿元，实 现合同额超过</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亿元，占比分别达</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华中区域虽然营收占比和华南、华北区域还存在明显差距，但在上半年受疫情严重影响情况下，仍实现营业收入同比增长 </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，增长势头较好。该区域的收入和利润贡献主要来自公司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年并购控股的湖北建胜，凭借其专业实力和对市场需求 的把握，加大能力建设、扩大服务范围，有效开拓新区域、开展新业务，为后期该区域业绩的稳步提升奠定基础，也为公司 通过资本运作方式实施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战略积累了有效经验。</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战略的有效实施，也反映出公司积累的全过程业务和组合业务优势以及灵活的服务能力，能够在不同气候条 件和城市发展阶段，提供本地化的全过程城市绿色发展技术服务的优势。</w:t>
      </w:r>
    </w:p>
    <w:p>
      <w:pPr>
        <w:pStyle w:val="Style2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华东、西北、西南等区域营收占比较小，公司后期也将结合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体系建设逐步推进，采取更有针对性的市场策略。</w:t>
      </w:r>
    </w:p>
    <w:p>
      <w:pPr>
        <w:pStyle w:val="Style21"/>
        <w:keepNext w:val="0"/>
        <w:keepLines w:val="0"/>
        <w:widowControl w:val="0"/>
        <w:shd w:val="clear" w:color="auto" w:fill="auto"/>
        <w:tabs>
          <w:tab w:pos="471" w:val="left"/>
        </w:tabs>
        <w:bidi w:val="0"/>
        <w:spacing w:before="0" w:after="0" w:line="313" w:lineRule="exact"/>
        <w:ind w:left="0" w:right="0" w:firstLine="0"/>
        <w:jc w:val="both"/>
      </w:pPr>
      <w:bookmarkStart w:id="96" w:name="bookmark96"/>
      <w:r>
        <w:rPr>
          <w:color w:val="000000"/>
          <w:spacing w:val="0"/>
          <w:w w:val="100"/>
          <w:position w:val="0"/>
        </w:rPr>
        <w:t>（</w:t>
      </w:r>
      <w:bookmarkEnd w:id="96"/>
      <w:r>
        <w:rPr>
          <w:color w:val="000000"/>
          <w:spacing w:val="0"/>
          <w:w w:val="100"/>
          <w:position w:val="0"/>
        </w:rPr>
        <w:t>三）</w:t>
        <w:tab/>
        <w:t>推动</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业务突破</w:t>
      </w:r>
    </w:p>
    <w:p>
      <w:pPr>
        <w:pStyle w:val="Style2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报告期内，在原有室内环境污染预测、检测、监测等</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端业务爆发式增长的同时，公司跨界运用城市服务技术优势，实现以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三有荟</w:t>
      </w:r>
      <w:r>
        <w:rPr>
          <w:rFonts w:ascii="Times New Roman" w:eastAsia="Times New Roman" w:hAnsi="Times New Roman" w:cs="Times New Roman"/>
          <w:color w:val="000000"/>
          <w:spacing w:val="0"/>
          <w:w w:val="100"/>
          <w:position w:val="0"/>
          <w:sz w:val="18"/>
          <w:szCs w:val="18"/>
        </w:rPr>
        <w:t>”“IBR</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等为试点的</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业务试点突破，主办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发现城市系列探索活动直流建筑百问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线上讲堂直流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 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绿色音乐会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等各类通过线上线下相结合的方式传播绿色技术及文化的活动，并基于实践经验继续推进</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端推广模式的创 新研究以及推动落地，梳理面向</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端客户的技术要点、内容体系，推动内容建设，加大公司与社会大众的联系，逐步驱动公 司品牌认知从</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端客户及行业，渗透到社会大众，探索绿色人居环境、绿色低碳生活方式、绿色低碳理念传播等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人民的城市</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重要组成业务的开展模式，为后续业务探索和目标客户找寻奠定基础的同时，也带动公司创新发展竞争力迈上新台阶。</w:t>
      </w:r>
    </w:p>
    <w:p>
      <w:pPr>
        <w:pStyle w:val="Style21"/>
        <w:keepNext w:val="0"/>
        <w:keepLines w:val="0"/>
        <w:widowControl w:val="0"/>
        <w:shd w:val="clear" w:color="auto" w:fill="auto"/>
        <w:tabs>
          <w:tab w:pos="471" w:val="left"/>
        </w:tabs>
        <w:bidi w:val="0"/>
        <w:spacing w:before="0" w:after="0" w:line="314" w:lineRule="exact"/>
        <w:ind w:left="0" w:right="0" w:firstLine="0"/>
        <w:jc w:val="both"/>
      </w:pPr>
      <w:bookmarkStart w:id="97" w:name="bookmark97"/>
      <w:r>
        <w:rPr>
          <w:color w:val="000000"/>
          <w:spacing w:val="0"/>
          <w:w w:val="100"/>
          <w:position w:val="0"/>
        </w:rPr>
        <w:t>（</w:t>
      </w:r>
      <w:bookmarkEnd w:id="97"/>
      <w:r>
        <w:rPr>
          <w:color w:val="000000"/>
          <w:spacing w:val="0"/>
          <w:w w:val="100"/>
          <w:position w:val="0"/>
        </w:rPr>
        <w:t>四）</w:t>
        <w:tab/>
        <w:t>增强创新核心竞争力，绿色科技创新孵化服务模式成效初显</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公司始终坚持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的技术引领战略，持续推进科研创新。报告期内，公司新一代绿色技术集成研发基地一未来大厦 主体结构正式封顶，累计实现投资</w:t>
      </w:r>
      <w:r>
        <w:rPr>
          <w:rFonts w:ascii="Times New Roman" w:eastAsia="Times New Roman" w:hAnsi="Times New Roman" w:cs="Times New Roman"/>
          <w:color w:val="000000"/>
          <w:spacing w:val="0"/>
          <w:w w:val="100"/>
          <w:position w:val="0"/>
          <w:sz w:val="18"/>
          <w:szCs w:val="18"/>
        </w:rPr>
        <w:t>3.89</w:t>
      </w:r>
      <w:r>
        <w:rPr>
          <w:color w:val="000000"/>
          <w:spacing w:val="0"/>
          <w:w w:val="100"/>
          <w:position w:val="0"/>
        </w:rPr>
        <w:t>亿元（含土地购置投入</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亿元）；其中</w:t>
      </w:r>
      <w:r>
        <w:rPr>
          <w:rFonts w:ascii="Times New Roman" w:eastAsia="Times New Roman" w:hAnsi="Times New Roman" w:cs="Times New Roman"/>
          <w:color w:val="000000"/>
          <w:spacing w:val="0"/>
          <w:w w:val="100"/>
          <w:position w:val="0"/>
          <w:sz w:val="18"/>
          <w:szCs w:val="18"/>
        </w:rPr>
        <w:t>R3</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建筑直流实验室项目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通过国家课题验 收，作为全球首个走出实验室且规模化应用的全直流建筑，正处于调试阶段，以探索直流环境下的多功能空间使用，更好的 为后续不同类型业务生产和活动的开展，以及上下游产业链的企业入驻和产品中试奠定基础。公司科技创新平台的建设，将 为公司核心竞争力培育及科研及业务的中长期发展提供支撑。</w:t>
      </w:r>
    </w:p>
    <w:p>
      <w:pPr>
        <w:pStyle w:val="Style21"/>
        <w:keepNext w:val="0"/>
        <w:keepLines w:val="0"/>
        <w:widowControl w:val="0"/>
        <w:shd w:val="clear" w:color="auto" w:fill="auto"/>
        <w:bidi w:val="0"/>
        <w:spacing w:before="0" w:after="140" w:line="314" w:lineRule="exact"/>
        <w:ind w:left="0" w:right="0" w:firstLine="0"/>
        <w:jc w:val="both"/>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55" w:right="1043" w:bottom="1235" w:left="1046" w:header="0" w:footer="3" w:gutter="0"/>
          <w:cols w:space="720"/>
          <w:noEndnote/>
          <w:rtlGutter w:val="0"/>
          <w:docGrid w:linePitch="360"/>
        </w:sectPr>
      </w:pPr>
      <w:r>
        <w:rPr>
          <w:color w:val="000000"/>
          <w:spacing w:val="0"/>
          <w:w w:val="100"/>
          <w:position w:val="0"/>
        </w:rPr>
        <w:t>同时，绿色科技创新孵化方面，</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年底公司以原始股东身份投资入股的、从事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技术创新的六邻科技</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 并将未来大厦作为其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技术中试研究场景，促进该技术应用研究和市场推广。报告期内六邻科技即将完成</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轮融资， 为公司科技孵化服务模式探索提供了有益经验。</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此外，以区块链技术为核心的透明建造管理平台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伊</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 xml:space="preserve">已应用于公司及部分公司客户管理的建设项目中，服务范围覆盖深 </w:t>
      </w:r>
      <w:r>
        <w:rPr>
          <w:color w:val="000000"/>
          <w:spacing w:val="0"/>
          <w:w w:val="100"/>
          <w:position w:val="0"/>
        </w:rPr>
        <w:t>圳市、雄安新区、北京市、珠海市等地的</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 xml:space="preserve">多家建设、总包、设计、监理、咨询等单位，能为建筑行业上下游各参与方提 </w:t>
      </w:r>
      <w:r>
        <w:rPr>
          <w:color w:val="000000"/>
          <w:spacing w:val="0"/>
          <w:w w:val="100"/>
          <w:position w:val="0"/>
        </w:rPr>
        <w:t>供建造全过程透明监管、工程资金透明监管和安全质量透明监管等服务。</w:t>
      </w:r>
    </w:p>
    <w:p>
      <w:pPr>
        <w:pStyle w:val="Style21"/>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受益于公司科研创新的持续投入，公司及公司全资子公司市政咨询、北京艾科城等均被继续认定为国家高新技术企业（含全 </w:t>
      </w:r>
      <w:r>
        <w:rPr>
          <w:color w:val="000000"/>
          <w:spacing w:val="0"/>
          <w:w w:val="100"/>
          <w:position w:val="0"/>
        </w:rPr>
        <w:t>资子公司建研检测、绿研检验，共</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家），对于公司科研发展和税收减免均发挥建设性作用。</w:t>
      </w:r>
    </w:p>
    <w:p>
      <w:pPr>
        <w:pStyle w:val="Style21"/>
        <w:keepNext w:val="0"/>
        <w:keepLines w:val="0"/>
        <w:widowControl w:val="0"/>
        <w:shd w:val="clear" w:color="auto" w:fill="auto"/>
        <w:bidi w:val="0"/>
        <w:spacing w:before="0" w:after="0" w:line="315" w:lineRule="exact"/>
        <w:ind w:left="0" w:right="0" w:firstLine="0"/>
        <w:jc w:val="left"/>
      </w:pPr>
      <w:bookmarkStart w:id="98" w:name="bookmark98"/>
      <w:r>
        <w:rPr>
          <w:color w:val="000000"/>
          <w:spacing w:val="0"/>
          <w:w w:val="100"/>
          <w:position w:val="0"/>
        </w:rPr>
        <w:t>（</w:t>
      </w:r>
      <w:bookmarkEnd w:id="98"/>
      <w:r>
        <w:rPr>
          <w:color w:val="000000"/>
          <w:spacing w:val="0"/>
          <w:w w:val="100"/>
          <w:position w:val="0"/>
        </w:rPr>
        <w:t>五）深化管理变革，落实科改举措</w:t>
      </w:r>
    </w:p>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年，公司董事会、监事会顺利完成换届交接工作，经理层完成市场化选聘，高层人员主要由长期在公司经营管理和市场 一线的骨干人才担任，干部年轻化特征更为明显，经营活力不断提升。同时，通过推进全面预算管理，公司进一步优化经营 成本费用预算，严控各项成本开支，提高内部运作效率，在报告期初防疫成本突增的情况下仍实现成本费用同比下降，效果 较好。</w:t>
      </w:r>
    </w:p>
    <w:p>
      <w:pPr>
        <w:pStyle w:val="Style21"/>
        <w:keepNext w:val="0"/>
        <w:keepLines w:val="0"/>
        <w:widowControl w:val="0"/>
        <w:shd w:val="clear" w:color="auto" w:fill="auto"/>
        <w:bidi w:val="0"/>
        <w:spacing w:before="0" w:after="280" w:line="315" w:lineRule="exact"/>
        <w:ind w:left="0" w:right="0" w:firstLine="0"/>
        <w:jc w:val="left"/>
      </w:pPr>
      <w:r>
        <w:rPr>
          <w:color w:val="000000"/>
          <w:spacing w:val="0"/>
          <w:w w:val="100"/>
          <w:position w:val="0"/>
        </w:rPr>
        <w:t>此外，公司于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月入选国务院国有企业改革领导小组办公室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科改示范企业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,通过积极把握改革机遇和相关支持政策， 在创新人才团队建设、薪酬绩效改革等方面均取得一定进展：公司管理和业务均已上线公司自组织管理平台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乐活工社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 有动作实现线上留痕便于回顾、优化；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双赢协议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纳入考核机制并实现全员覆盖，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薪酬回顾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评优自主申报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实施完成, 推动组织和个人基于目标分解和沟通授权等方式实现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，整体管理形式从以</w:t>
      </w:r>
      <w:r>
        <w:rPr>
          <w:rFonts w:ascii="Times New Roman" w:eastAsia="Times New Roman" w:hAnsi="Times New Roman" w:cs="Times New Roman"/>
          <w:color w:val="000000"/>
          <w:spacing w:val="0"/>
          <w:w w:val="100"/>
          <w:position w:val="0"/>
          <w:sz w:val="18"/>
          <w:szCs w:val="18"/>
        </w:rPr>
        <w:t>KPI</w:t>
      </w:r>
      <w:r>
        <w:rPr>
          <w:color w:val="000000"/>
          <w:spacing w:val="0"/>
          <w:w w:val="100"/>
          <w:position w:val="0"/>
        </w:rPr>
        <w:t>为中心的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他组织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模式正在向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自组织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模式转变。</w:t>
      </w:r>
    </w:p>
    <w:p>
      <w:pPr>
        <w:pStyle w:val="Style21"/>
        <w:keepNext w:val="0"/>
        <w:keepLines w:val="0"/>
        <w:widowControl w:val="0"/>
        <w:shd w:val="clear" w:color="auto" w:fill="auto"/>
        <w:bidi w:val="0"/>
        <w:spacing w:before="0" w:after="0" w:line="316" w:lineRule="exact"/>
        <w:ind w:left="0" w:right="0" w:firstLine="0"/>
        <w:jc w:val="left"/>
      </w:pPr>
      <w:bookmarkStart w:id="99" w:name="bookmark99"/>
      <w:r>
        <w:rPr>
          <w:color w:val="000000"/>
          <w:spacing w:val="0"/>
          <w:w w:val="100"/>
          <w:position w:val="0"/>
        </w:rPr>
        <w:t>（</w:t>
      </w:r>
      <w:bookmarkEnd w:id="99"/>
      <w:r>
        <w:rPr>
          <w:color w:val="000000"/>
          <w:spacing w:val="0"/>
          <w:w w:val="100"/>
          <w:position w:val="0"/>
        </w:rPr>
        <w:t>六）品牌宣传持续发力，社会影响再提升</w:t>
      </w:r>
    </w:p>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在深圳市海绵办举办的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年度深圳市海绵城市建设优秀项目经验分享会暨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年度海绵城市奖励申报启动仪式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活动中， 公司作为深圳市海绵城市建设技术联盟成员单位和三个优秀海绵城市建设项目的获奖单位，向与会单位及社会大众分享海 绵城市建设经验。而在由宝安区住建局筹办、公司策划执行的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宝安建筑节能周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系列活动中，公司也通过展示未来大厦、直 流建筑、健康人居等项目的模型及资料，宣传城市绿色发展领域的最新实践成果。</w:t>
      </w:r>
    </w:p>
    <w:p>
      <w:pPr>
        <w:pStyle w:val="Style21"/>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同时，公司董事长叶青女士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年先后荣获深圳市工程勘察设计大师、深圳经济特区建立</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周年创新创业人物和先进模范人 物之杰出创新人才（</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）、世界绿色建筑委员会亚太地区绿色建筑行业女性领袖奖（中国大陆唯一获奖单元）等荣 誉，公司结构副总工程师汪四新女士获深圳市宝安区住房和建设局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年度优秀个人表彰，一方面体现公司在城市建设绿色 发展领域的成绩受到越来越广泛的认可，也说明公司品牌影响力得到了进一步提升。</w:t>
      </w:r>
    </w:p>
    <w:p>
      <w:pPr>
        <w:pStyle w:val="Style30"/>
        <w:keepNext/>
        <w:keepLines/>
        <w:widowControl w:val="0"/>
        <w:shd w:val="clear" w:color="auto" w:fill="auto"/>
        <w:bidi w:val="0"/>
        <w:spacing w:before="0" w:after="38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rPr>
        <w:t>二</w:t>
      </w:r>
      <w:bookmarkEnd w:id="102"/>
      <w:r>
        <w:rPr>
          <w:color w:val="000000"/>
          <w:spacing w:val="0"/>
          <w:w w:val="100"/>
          <w:position w:val="0"/>
        </w:rPr>
        <w:t>、主营业务分析</w:t>
      </w:r>
      <w:bookmarkEnd w:id="100"/>
      <w:bookmarkEnd w:id="101"/>
      <w:bookmarkEnd w:id="103"/>
    </w:p>
    <w:p>
      <w:pPr>
        <w:pStyle w:val="Style34"/>
        <w:keepNext/>
        <w:keepLines/>
        <w:widowControl w:val="0"/>
        <w:shd w:val="clear" w:color="auto" w:fill="auto"/>
        <w:tabs>
          <w:tab w:pos="366" w:val="left"/>
        </w:tabs>
        <w:bidi w:val="0"/>
        <w:spacing w:before="0" w:after="28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w:t>
        <w:tab/>
        <w:t>概述</w:t>
      </w:r>
      <w:bookmarkEnd w:id="104"/>
      <w:bookmarkEnd w:id="105"/>
      <w:bookmarkEnd w:id="107"/>
    </w:p>
    <w:p>
      <w:pPr>
        <w:pStyle w:val="Style21"/>
        <w:keepNext w:val="0"/>
        <w:keepLines w:val="0"/>
        <w:widowControl w:val="0"/>
        <w:shd w:val="clear" w:color="auto" w:fill="auto"/>
        <w:bidi w:val="0"/>
        <w:spacing w:before="0" w:after="380" w:line="316"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76" w:val="left"/>
        </w:tabs>
        <w:bidi w:val="0"/>
        <w:spacing w:before="0" w:after="38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收入与成本</w:t>
      </w:r>
      <w:bookmarkEnd w:id="108"/>
      <w:bookmarkEnd w:id="109"/>
      <w:bookmarkEnd w:id="111"/>
    </w:p>
    <w:p>
      <w:pPr>
        <w:pStyle w:val="Style34"/>
        <w:keepNext/>
        <w:keepLines/>
        <w:widowControl w:val="0"/>
        <w:shd w:val="clear" w:color="auto" w:fill="auto"/>
        <w:bidi w:val="0"/>
        <w:spacing w:before="0" w:after="280" w:line="240" w:lineRule="auto"/>
        <w:ind w:left="0" w:right="0" w:firstLine="0"/>
        <w:jc w:val="left"/>
      </w:pPr>
      <w:bookmarkStart w:id="108" w:name="bookmark108"/>
      <w:bookmarkStart w:id="109" w:name="bookmark109"/>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8"/>
      <w:bookmarkEnd w:id="109"/>
      <w:bookmarkEnd w:id="113"/>
    </w:p>
    <w:p>
      <w:pPr>
        <w:pStyle w:val="Style21"/>
        <w:keepNext w:val="0"/>
        <w:keepLines w:val="0"/>
        <w:widowControl w:val="0"/>
        <w:shd w:val="clear" w:color="auto" w:fill="auto"/>
        <w:bidi w:val="0"/>
        <w:spacing w:before="0" w:after="100" w:line="316" w:lineRule="exact"/>
        <w:ind w:left="0" w:right="0" w:firstLine="0"/>
        <w:jc w:val="left"/>
      </w:pPr>
      <w:r>
        <w:rPr>
          <w:color w:val="000000"/>
          <w:spacing w:val="0"/>
          <w:w w:val="100"/>
          <w:position w:val="0"/>
        </w:rPr>
        <w:t>营业收入整体情况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1699"/>
        <w:gridCol w:w="1704"/>
        <w:gridCol w:w="1416"/>
        <w:gridCol w:w="1416"/>
        <w:gridCol w:w="124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506,457,668.54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467,972,060.82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413" w:hRule="exact"/>
        </w:trPr>
        <w:tc>
          <w:tcPr>
            <w:gridSpan w:val="6"/>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bl>
    <w:p>
      <w:pPr>
        <w:widowControl w:val="0"/>
        <w:spacing w:line="1" w:lineRule="exact"/>
      </w:pPr>
      <w:r>
        <w:br w:type="page"/>
      </w:r>
    </w:p>
    <w:tbl>
      <w:tblPr>
        <w:tblOverlap w:val="never"/>
        <w:jc w:val="center"/>
        <w:tblLayout w:type="fixed"/>
      </w:tblPr>
      <w:tblGrid>
        <w:gridCol w:w="2102"/>
        <w:gridCol w:w="1699"/>
        <w:gridCol w:w="1704"/>
        <w:gridCol w:w="1416"/>
        <w:gridCol w:w="1416"/>
        <w:gridCol w:w="1248"/>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506,457,668.54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467,972,060.82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398"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城市规划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94,641,652.11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79,535,136.55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公信服务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160,987,452.54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126,675,249.97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108,254,008.13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85,403,799.16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28,702,184.65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40,820,006.65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91,749,889.00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101,949,597.64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22,122,482.11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33,588,270.85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w:t>
            </w:r>
          </w:p>
        </w:tc>
      </w:tr>
      <w:tr>
        <w:trPr>
          <w:trHeight w:val="403" w:hRule="exact"/>
        </w:trPr>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329,410,743.98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326,834,318.80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101,082,306.57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93,095,675.11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44,427,455.58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15,461,232.84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19,178,378.67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18,687,969.45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6,807,934.68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8,777,569.81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4,796,132.09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5,115,294.81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754,716.97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19" w:line="1" w:lineRule="exact"/>
      </w:pPr>
    </w:p>
    <w:p>
      <w:pPr>
        <w:pStyle w:val="Style34"/>
        <w:keepNext/>
        <w:keepLines/>
        <w:widowControl w:val="0"/>
        <w:numPr>
          <w:ilvl w:val="0"/>
          <w:numId w:val="3"/>
        </w:numPr>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bookmarkEnd w:id="116"/>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4"/>
      <w:bookmarkEnd w:id="115"/>
      <w:bookmarkEnd w:id="117"/>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421"/>
        <w:gridCol w:w="1416"/>
        <w:gridCol w:w="677"/>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506,457,668.54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330,897,581.35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城市规划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94,641,652.11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53,974,083.83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公信服务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160,987,452.54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104,795,972.90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108,254,008.13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64,239,273.86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91,749,889.00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70,737,474.89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w:t>
            </w:r>
          </w:p>
        </w:tc>
      </w:tr>
      <w:tr>
        <w:trPr>
          <w:trHeight w:val="403" w:hRule="exact"/>
        </w:trPr>
        <w:tc>
          <w:tcPr>
            <w:gridSpan w:val="7"/>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329,410,743.98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191,667,166.45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101,082,306.57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87,614,030.34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bl>
    <w:p>
      <w:pPr>
        <w:pStyle w:val="Style21"/>
        <w:keepNext w:val="0"/>
        <w:keepLines w:val="0"/>
        <w:widowControl w:val="0"/>
        <w:shd w:val="clear" w:color="auto" w:fill="auto"/>
        <w:bidi w:val="0"/>
        <w:spacing w:before="0" w:after="320" w:line="350" w:lineRule="exact"/>
        <w:ind w:left="0" w:right="0" w:firstLine="0"/>
        <w:jc w:val="left"/>
        <w:sectPr>
          <w:headerReference w:type="default" r:id="rId35"/>
          <w:footerReference w:type="default" r:id="rId36"/>
          <w:headerReference w:type="even" r:id="rId37"/>
          <w:footerReference w:type="even" r:id="rId38"/>
          <w:footnotePr>
            <w:pos w:val="pageBottom"/>
            <w:numFmt w:val="decimal"/>
            <w:numRestart w:val="continuous"/>
          </w:footnotePr>
          <w:type w:val="continuous"/>
          <w:pgSz w:w="11900" w:h="16840"/>
          <w:pgMar w:top="1455" w:right="1043" w:bottom="1235" w:left="1046" w:header="0" w:footer="3" w:gutter="0"/>
          <w:cols w:space="720"/>
          <w:noEndnote/>
          <w:rtlGutter w:val="0"/>
          <w:docGrid w:linePitch="360"/>
        </w:sectPr>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493" w:val="left"/>
        </w:tabs>
        <w:bidi w:val="0"/>
        <w:spacing w:before="0" w:after="38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18"/>
      <w:bookmarkEnd w:id="119"/>
      <w:bookmarkEnd w:id="121"/>
    </w:p>
    <w:p>
      <w:pPr>
        <w:pStyle w:val="Style21"/>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p>
      <w:pPr>
        <w:pStyle w:val="Style34"/>
        <w:keepNext/>
        <w:keepLines/>
        <w:widowControl w:val="0"/>
        <w:shd w:val="clear" w:color="auto" w:fill="auto"/>
        <w:tabs>
          <w:tab w:pos="493" w:val="left"/>
        </w:tabs>
        <w:bidi w:val="0"/>
        <w:spacing w:before="0" w:after="38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2"/>
      <w:bookmarkEnd w:id="123"/>
      <w:bookmarkEnd w:id="125"/>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17" w:right="0" w:firstLine="0"/>
        <w:jc w:val="left"/>
      </w:pPr>
      <w:r>
        <w:rPr>
          <w:color w:val="000000"/>
          <w:spacing w:val="0"/>
          <w:w w:val="100"/>
          <w:position w:val="0"/>
        </w:rPr>
        <w:t>单位：万元</w:t>
      </w:r>
    </w:p>
    <w:tbl>
      <w:tblPr>
        <w:tblOverlap w:val="never"/>
        <w:jc w:val="center"/>
        <w:tblLayout w:type="fixed"/>
      </w:tblPr>
      <w:tblGrid>
        <w:gridCol w:w="984"/>
        <w:gridCol w:w="1589"/>
        <w:gridCol w:w="869"/>
        <w:gridCol w:w="850"/>
        <w:gridCol w:w="994"/>
        <w:gridCol w:w="989"/>
        <w:gridCol w:w="854"/>
        <w:gridCol w:w="1570"/>
        <w:gridCol w:w="1013"/>
      </w:tblGrid>
      <w:tr>
        <w:trPr>
          <w:trHeight w:val="979"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合同订立 公司方名称</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合同订立对方名称</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合同 总金额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合同履行 的进度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 销售收入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 金额</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 回款情况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影响重大合同履行 的各项条件</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是否发生重大变化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是否存在合 同无法履行 的重大风险</w:t>
            </w:r>
          </w:p>
        </w:tc>
      </w:tr>
      <w:tr>
        <w:trPr>
          <w:trHeight w:val="6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深圳市龙岗区住房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和建设局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39,957.37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7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河北雄安商务服务 中心有限公司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18,934.75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据《企业会计准则第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号——收入》规定，本公司在与深圳市龙岗区住房和建设局订立的合同中所确认的收入以净额法确认 为准（占合同总金额的</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），不包含施工单位建安工程费用</w:t>
      </w:r>
      <w:r>
        <w:rPr>
          <w:rFonts w:ascii="Times New Roman" w:eastAsia="Times New Roman" w:hAnsi="Times New Roman" w:cs="Times New Roman"/>
          <w:color w:val="000000"/>
          <w:spacing w:val="0"/>
          <w:w w:val="100"/>
          <w:position w:val="0"/>
          <w:sz w:val="18"/>
          <w:szCs w:val="18"/>
        </w:rPr>
        <w:t>31,112.06</w:t>
      </w:r>
      <w:r>
        <w:rPr>
          <w:color w:val="000000"/>
          <w:spacing w:val="0"/>
          <w:w w:val="100"/>
          <w:position w:val="0"/>
        </w:rPr>
        <w:t>万元（占合同总金额的</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w:t>
      </w:r>
    </w:p>
    <w:p>
      <w:pPr>
        <w:pStyle w:val="Style21"/>
        <w:keepNext w:val="0"/>
        <w:keepLines w:val="0"/>
        <w:widowControl w:val="0"/>
        <w:shd w:val="clear" w:color="auto" w:fill="auto"/>
        <w:bidi w:val="0"/>
        <w:spacing w:before="0" w:after="38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年本公司与中国雄安集团城市发展投资有限公司签订原合同《雄安商务服务中心项目全过程工程咨询》的补充协议：因 合同主体发生变更，该项目原甲方中国雄安集团城市发展投资有限公司的全部权利义务转让给河北雄安商务服务中心有限 公司，除上述权利义务概括转移外，原合同的其他内容不变。本合同中所确认的收入以净额法确认为准，不包含北京双圆工 程监理咨询有限公司的监理费。</w:t>
      </w:r>
    </w:p>
    <w:p>
      <w:pPr>
        <w:pStyle w:val="Style34"/>
        <w:keepNext/>
        <w:keepLines/>
        <w:widowControl w:val="0"/>
        <w:shd w:val="clear" w:color="auto" w:fill="auto"/>
        <w:bidi w:val="0"/>
        <w:spacing w:before="0" w:after="280" w:line="240" w:lineRule="auto"/>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26"/>
      <w:bookmarkEnd w:id="127"/>
      <w:bookmarkEnd w:id="129"/>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产品分类</w:t>
      </w:r>
    </w:p>
    <w:p>
      <w:pPr>
        <w:pStyle w:val="Style21"/>
        <w:keepNext w:val="0"/>
        <w:keepLines w:val="0"/>
        <w:widowControl w:val="0"/>
        <w:shd w:val="clear" w:color="auto" w:fill="auto"/>
        <w:bidi w:val="0"/>
        <w:spacing w:before="0" w:after="120" w:line="313" w:lineRule="exact"/>
        <w:ind w:left="0" w:right="0" w:firstLine="0"/>
        <w:jc w:val="both"/>
      </w:pPr>
      <w:r>
        <w:rPr>
          <w:color w:val="000000"/>
          <w:spacing w:val="0"/>
          <w:w w:val="100"/>
          <w:position w:val="0"/>
        </w:rPr>
        <w:t>产品分类</w:t>
      </w:r>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142,367,256.93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140,049,127.67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88,634,922.62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77,863,448.68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15,579,570.27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17,101,979.34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20,378,618.87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17,913,096.74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63,937,212.66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52,514,573.73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pStyle w:val="Style21"/>
        <w:keepNext w:val="0"/>
        <w:keepLines w:val="0"/>
        <w:widowControl w:val="0"/>
        <w:shd w:val="clear" w:color="auto" w:fill="auto"/>
        <w:bidi w:val="0"/>
        <w:spacing w:before="0" w:after="340" w:line="314" w:lineRule="exact"/>
        <w:ind w:left="0" w:right="0" w:firstLine="0"/>
        <w:jc w:val="both"/>
      </w:pPr>
      <w:r>
        <w:rPr>
          <w:color w:val="000000"/>
          <w:spacing w:val="0"/>
          <w:w w:val="100"/>
          <w:position w:val="0"/>
        </w:rPr>
        <w:t>报告期内人工成本增长，一方面是随着公司业务增长相应产能需求扩大，技术人员投入增加，同时湖北建胜于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月并 表，存在部分不可比因素影响所致；分包成本增长主要系区域市场部分增长较快的业务的性质影响所致（该类型业务所需 其他专业分包占比较高），但随着业务结构逐步优化，有助于控制分包费相关的成本；折旧摊销增长主要为生产增加产能 购置设备折旧以及平台建设摊销增加所致。</w:t>
      </w:r>
    </w:p>
    <w:p>
      <w:pPr>
        <w:pStyle w:val="Style16"/>
        <w:keepNext/>
        <w:keepLines/>
        <w:widowControl w:val="0"/>
        <w:shd w:val="clear" w:color="auto" w:fill="auto"/>
        <w:bidi w:val="0"/>
        <w:spacing w:before="0" w:after="80" w:line="240" w:lineRule="auto"/>
        <w:ind w:left="0" w:right="0"/>
        <w:jc w:val="left"/>
      </w:pPr>
      <w:bookmarkStart w:id="130" w:name="bookmark130"/>
      <w:bookmarkStart w:id="131" w:name="bookmark131"/>
      <w:bookmarkStart w:id="132" w:name="bookmark132"/>
      <w:r>
        <w:rPr>
          <w:spacing w:val="0"/>
          <w:w w:val="100"/>
          <w:position w:val="0"/>
        </w:rPr>
        <w:t>i3R</w:t>
      </w:r>
      <w:bookmarkEnd w:id="130"/>
      <w:bookmarkEnd w:id="131"/>
      <w:bookmarkEnd w:id="132"/>
    </w:p>
    <w:p>
      <w:pPr>
        <w:pStyle w:val="Style34"/>
        <w:keepNext/>
        <w:keepLines/>
        <w:widowControl w:val="0"/>
        <w:shd w:val="clear" w:color="auto" w:fill="auto"/>
        <w:tabs>
          <w:tab w:pos="493" w:val="left"/>
        </w:tabs>
        <w:bidi w:val="0"/>
        <w:spacing w:before="0" w:after="280" w:line="240" w:lineRule="auto"/>
        <w:ind w:left="0" w:right="0" w:firstLine="0"/>
        <w:jc w:val="both"/>
      </w:pPr>
      <w:bookmarkStart w:id="133" w:name="bookmark133"/>
      <w:bookmarkStart w:id="134" w:name="bookmark134"/>
      <w:bookmarkStart w:id="135" w:name="bookmark135"/>
      <w:bookmarkStart w:id="136" w:name="bookmark136"/>
      <w:r>
        <w:rPr>
          <w:color w:val="000000"/>
          <w:spacing w:val="0"/>
          <w:w w:val="100"/>
          <w:position w:val="0"/>
        </w:rPr>
        <w:t>（</w:t>
      </w:r>
      <w:bookmarkEnd w:id="135"/>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3"/>
      <w:bookmarkEnd w:id="134"/>
      <w:bookmarkEnd w:id="136"/>
    </w:p>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报告期内纳入合并范围的子公司共</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日投资设立全资子公司湾区（深圳）城市规划设计 有限公司（注册资本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万元）和湾区（深圳）绿色技术有限公司（注册资本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万元），持股比例均为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，均纳入财务 报表合并范围。无减少公司。</w:t>
      </w:r>
    </w:p>
    <w:p>
      <w:pPr>
        <w:pStyle w:val="Style34"/>
        <w:keepNext/>
        <w:keepLines/>
        <w:widowControl w:val="0"/>
        <w:shd w:val="clear" w:color="auto" w:fill="auto"/>
        <w:tabs>
          <w:tab w:pos="493" w:val="left"/>
        </w:tabs>
        <w:bidi w:val="0"/>
        <w:spacing w:before="0" w:after="280" w:line="240" w:lineRule="auto"/>
        <w:ind w:left="0" w:right="0" w:firstLine="0"/>
        <w:jc w:val="both"/>
      </w:pPr>
      <w:bookmarkStart w:id="137" w:name="bookmark137"/>
      <w:bookmarkStart w:id="138" w:name="bookmark138"/>
      <w:bookmarkStart w:id="139" w:name="bookmark139"/>
      <w:bookmarkStart w:id="140" w:name="bookmark140"/>
      <w:r>
        <w:rPr>
          <w:color w:val="000000"/>
          <w:spacing w:val="0"/>
          <w:w w:val="100"/>
          <w:position w:val="0"/>
        </w:rPr>
        <w:t>（</w:t>
      </w:r>
      <w:bookmarkEnd w:id="13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7"/>
      <w:bookmarkEnd w:id="138"/>
      <w:bookmarkEnd w:id="140"/>
    </w:p>
    <w:p>
      <w:pPr>
        <w:pStyle w:val="Style21"/>
        <w:keepNext w:val="0"/>
        <w:keepLines w:val="0"/>
        <w:widowControl w:val="0"/>
        <w:shd w:val="clear" w:color="auto" w:fill="auto"/>
        <w:bidi w:val="0"/>
        <w:spacing w:before="0" w:after="38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8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w:t>
      </w:r>
      <w:bookmarkEnd w:id="14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1"/>
      <w:bookmarkEnd w:id="142"/>
      <w:bookmarkEnd w:id="144"/>
    </w:p>
    <w:p>
      <w:pPr>
        <w:pStyle w:val="Style21"/>
        <w:keepNext w:val="0"/>
        <w:keepLines w:val="0"/>
        <w:widowControl w:val="0"/>
        <w:shd w:val="clear" w:color="auto" w:fill="auto"/>
        <w:bidi w:val="0"/>
        <w:spacing w:before="0" w:after="80" w:line="317" w:lineRule="exact"/>
        <w:ind w:left="0" w:right="0" w:firstLine="0"/>
        <w:jc w:val="both"/>
      </w:pPr>
      <w:r>
        <w:rPr>
          <w:color w:val="000000"/>
          <w:spacing w:val="0"/>
          <w:w w:val="100"/>
          <w:position w:val="0"/>
        </w:rPr>
        <w:t>公司主要销售客户情况</w:t>
      </w:r>
    </w:p>
    <w:tbl>
      <w:tblPr>
        <w:tblOverlap w:val="never"/>
        <w:jc w:val="center"/>
        <w:tblLayout w:type="fixed"/>
      </w:tblPr>
      <w:tblGrid>
        <w:gridCol w:w="5078"/>
        <w:gridCol w:w="454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115,183,478.31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2990"/>
        <w:gridCol w:w="2554"/>
        <w:gridCol w:w="326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客户一（国有企业）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67,818,605.75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客户二（政府机构）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13,331,859.52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2.63%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客户三（国有企业）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13,263,590.68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2.62%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客户四（国有企业）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10,943,001.91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2.16%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客户五（国有企业）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9,826,420.45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76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115,183,478.31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5506"/>
        <w:gridCol w:w="411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141,474,093.78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1"/>
        <w:gridCol w:w="3144"/>
        <w:gridCol w:w="2554"/>
        <w:gridCol w:w="2986"/>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77,359,371.47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36,242,847.41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11,756,016.29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10,011,990.69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r>
    </w:tbl>
    <w:p>
      <w:pPr>
        <w:widowControl w:val="0"/>
        <w:spacing w:line="1" w:lineRule="exact"/>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455" w:right="1043" w:bottom="1235" w:left="1046" w:header="0" w:footer="3" w:gutter="0"/>
          <w:cols w:space="720"/>
          <w:noEndnote/>
          <w:titlePg/>
          <w:rtlGutter w:val="0"/>
          <w:docGrid w:linePitch="360"/>
        </w:sectPr>
      </w:pPr>
    </w:p>
    <w:tbl>
      <w:tblPr>
        <w:tblOverlap w:val="never"/>
        <w:jc w:val="center"/>
        <w:tblLayout w:type="fixed"/>
      </w:tblPr>
      <w:tblGrid>
        <w:gridCol w:w="941"/>
        <w:gridCol w:w="3144"/>
        <w:gridCol w:w="2554"/>
        <w:gridCol w:w="2986"/>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6,103,867.92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141,474,093.78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42.98%</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主要供应商其他情况说明</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45" w:name="bookmark145"/>
      <w:bookmarkStart w:id="146" w:name="bookmark146"/>
      <w:bookmarkStart w:id="147" w:name="bookmark147"/>
      <w:bookmarkStart w:id="148" w:name="bookmark148"/>
      <w:r>
        <w:rPr>
          <w:rFonts w:ascii="Times New Roman" w:eastAsia="Times New Roman" w:hAnsi="Times New Roman" w:cs="Times New Roman"/>
          <w:color w:val="000000"/>
          <w:spacing w:val="0"/>
          <w:w w:val="100"/>
          <w:position w:val="0"/>
        </w:rPr>
        <w:t>3</w:t>
      </w:r>
      <w:bookmarkEnd w:id="147"/>
      <w:r>
        <w:rPr>
          <w:color w:val="000000"/>
          <w:spacing w:val="0"/>
          <w:w w:val="100"/>
          <w:position w:val="0"/>
        </w:rPr>
        <w:t>、费用</w:t>
      </w:r>
      <w:bookmarkEnd w:id="145"/>
      <w:bookmarkEnd w:id="146"/>
      <w:bookmarkEnd w:id="14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1277"/>
        <w:gridCol w:w="1277"/>
        <w:gridCol w:w="850"/>
        <w:gridCol w:w="535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45,796,399.22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59,577,973.30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主要为部分前期市场拓展投入转化为具体项目，相关人员薪酬计入 项目成本，同时受疫情影响部分科目费用有所下降所致</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52,317,467.02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46,564,216.17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主要为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年新并购湖北建胜于上期</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月并表，存在不可比因素 影响所致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240,991.02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3,430,553.35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主要为利息收入和未来大厦借款利息资本化综合影响所致</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35,648,650.23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37,387,758.04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bl>
    <w:p>
      <w:pPr>
        <w:widowControl w:val="0"/>
        <w:spacing w:after="359" w:line="1" w:lineRule="exact"/>
      </w:pPr>
    </w:p>
    <w:p>
      <w:pPr>
        <w:pStyle w:val="Style34"/>
        <w:keepNext/>
        <w:keepLines/>
        <w:widowControl w:val="0"/>
        <w:shd w:val="clear" w:color="auto" w:fill="auto"/>
        <w:bidi w:val="0"/>
        <w:spacing w:before="0" w:after="280" w:line="240" w:lineRule="auto"/>
        <w:ind w:left="0" w:right="0" w:firstLine="0"/>
        <w:jc w:val="both"/>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4</w:t>
      </w:r>
      <w:bookmarkEnd w:id="151"/>
      <w:r>
        <w:rPr>
          <w:color w:val="000000"/>
          <w:spacing w:val="0"/>
          <w:w w:val="100"/>
          <w:position w:val="0"/>
        </w:rPr>
        <w:t>、研发投入</w:t>
      </w:r>
      <w:bookmarkEnd w:id="149"/>
      <w:bookmarkEnd w:id="150"/>
      <w:bookmarkEnd w:id="152"/>
    </w:p>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报告期内，公司（含控股子公司）在研课题</w:t>
      </w:r>
      <w:r>
        <w:rPr>
          <w:rFonts w:ascii="Times New Roman" w:eastAsia="Times New Roman" w:hAnsi="Times New Roman" w:cs="Times New Roman"/>
          <w:color w:val="000000"/>
          <w:spacing w:val="0"/>
          <w:w w:val="100"/>
          <w:position w:val="0"/>
          <w:sz w:val="18"/>
          <w:szCs w:val="18"/>
        </w:rPr>
        <w:t>58</w:t>
      </w:r>
      <w:r>
        <w:rPr>
          <w:color w:val="000000"/>
          <w:spacing w:val="0"/>
          <w:w w:val="100"/>
          <w:position w:val="0"/>
        </w:rPr>
        <w:t>项（其中国家、省市级科技计划项目、课题、子课题合计</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项），发布地方标 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项、协会标准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项，新增专利申请</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项、专利授权</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项，完成专利转化产品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项，深圳国际低碳城中美中心建设渣土资源化 利用示范、低碳检测服务机构培育工程等一批重点示范项目通过验收；组织多次国内外学术会议、论坛、研讨分享等，一方 面及时掌握行业发展前沿动态，另一方面也与国内外知名专家学者和著名机构开展多次交流，建立广泛的联系与合作，为科 研发展、联合创新等奠定基础的同时增加行业影响力。</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本年度研发重点聚焦生态城市与直流建筑领域，并持续保持在绿色建筑领域的研发投入。</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生态城市领域以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为导向，基于公司</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年的生态城市研究积累，推动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城市优地指数评估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再创新：初探各 类城市疫情发展趋势与城市的特征关联性，对经济发展、运营管理、道路交通、大气环境、城市碳汇等进行专项评估；通过 生态城市板块体系性研究，从城市生态本底诊断、生态空间修复、绿色转型路径等方面深化与业务部门的协同，在实践中将 研究转化为落地方案，培育业务板块，挖掘市场需求，开展包括近零碳排放示范、城市绿色生态转型等项目实践，创造新的 业绩增长点。</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直流建筑领域则伴随未来大厦主体结构封顶，推动建筑直流化从图纸到落地，再向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光储直柔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（即集成分布式光伏产能、储 能及直流配电，实现用电柔性调节的技术体系）、电力交互等领域不断深化；围绕未来大厦实验平台，从电能质量、安全可 靠和系统能效等三个方面对直流系统的可靠性和可实施性开展初步实验验证；探索在电力市场化改革背景下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光储直柔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价值 实现途径，与深圳供电局和南方电网科研院开展合作，利用直流建筑的柔性和可调节性尝试搭建城市虚拟电厂平台，参与电 力现货交易和需求侧响应，服务城市整体碳中和能源系统。未来大厦</w:t>
      </w:r>
      <w:r>
        <w:rPr>
          <w:rFonts w:ascii="Times New Roman" w:eastAsia="Times New Roman" w:hAnsi="Times New Roman" w:cs="Times New Roman"/>
          <w:color w:val="000000"/>
          <w:spacing w:val="0"/>
          <w:w w:val="100"/>
          <w:position w:val="0"/>
          <w:sz w:val="18"/>
          <w:szCs w:val="18"/>
        </w:rPr>
        <w:t>R3</w:t>
      </w:r>
      <w:r>
        <w:rPr>
          <w:color w:val="000000"/>
          <w:spacing w:val="0"/>
          <w:w w:val="100"/>
          <w:position w:val="0"/>
        </w:rPr>
        <w:t>楼作为第一个走出实验室、规模化应用的全直流建 筑，已成为探索以直流电应用为媒介，从实践层面解决能源转型需求，打破电力、建筑、交通等行业壁垒，推动全社会层面 的能源合理高效分配乃至实现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近零能耗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，为构建新能源背景下探索人民城市和宜居城市营造良好开端。</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同时，公司的科研成果也不断推动公司业务开拓与创新。近零碳排放、生态修复、海绵城市、室内装修空气污染预控制等一 系列研究成果，已在南北核心城市及周边城市项目中进行应用实践，培育新的业绩增长点。</w:t>
      </w:r>
    </w:p>
    <w:p>
      <w:pPr>
        <w:pStyle w:val="Style21"/>
        <w:keepNext w:val="0"/>
        <w:keepLines w:val="0"/>
        <w:widowControl w:val="0"/>
        <w:shd w:val="clear" w:color="auto" w:fill="auto"/>
        <w:bidi w:val="0"/>
        <w:spacing w:before="0" w:after="200" w:line="313" w:lineRule="exact"/>
        <w:ind w:left="0" w:right="0" w:firstLine="0"/>
        <w:jc w:val="both"/>
      </w:pPr>
      <w:r>
        <w:rPr>
          <w:color w:val="000000"/>
          <w:spacing w:val="0"/>
          <w:w w:val="100"/>
          <w:position w:val="0"/>
        </w:rPr>
        <w:t>在科研管理方面，通过线上线下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两手抓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、经费、进度、成果实现完全在线化等手段，为课题负责人实时掌握课题进展提供 便利；通过执行季报以及季度专项会议，公司科研管理部门有效督促项目推进，保证课题进度可控，保障公司科研活动的有 序保质开展。</w:t>
      </w:r>
      <w:r>
        <w:br w:type="page"/>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3518"/>
        <w:gridCol w:w="1843"/>
        <w:gridCol w:w="2126"/>
        <w:gridCol w:w="20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26.29%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21.61%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44,468,216.24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43,128,912.23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36,161,301.95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5,186,276.10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5,741,154.19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1,019,279.18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资本化研发支出占研发投入的比例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资本化研发支出占当期净利润的比重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15.68%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8"/>
                <w:szCs w:val="18"/>
              </w:rPr>
            </w:pPr>
            <w:r>
              <w:rPr>
                <w:rFonts w:ascii="Times New Roman" w:eastAsia="Times New Roman" w:hAnsi="Times New Roman" w:cs="Times New Roman"/>
                <w:color w:val="000000"/>
                <w:spacing w:val="0"/>
                <w:w w:val="100"/>
                <w:position w:val="0"/>
                <w:sz w:val="18"/>
                <w:szCs w:val="18"/>
              </w:rPr>
              <w:t>2.94%</w:t>
            </w:r>
          </w:p>
        </w:tc>
      </w:tr>
    </w:tbl>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1"/>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5</w:t>
      </w:r>
      <w:bookmarkEnd w:id="155"/>
      <w:r>
        <w:rPr>
          <w:color w:val="000000"/>
          <w:spacing w:val="0"/>
          <w:w w:val="100"/>
          <w:position w:val="0"/>
        </w:rPr>
        <w:t>、现金流</w:t>
      </w:r>
      <w:bookmarkEnd w:id="153"/>
      <w:bookmarkEnd w:id="154"/>
      <w:bookmarkEnd w:id="15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9"/>
        <w:gridCol w:w="2410"/>
        <w:gridCol w:w="1982"/>
        <w:gridCol w:w="18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505,369,710.04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466,091,681.55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439,716,388.89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402,577,968.08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65,653,321.15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63,513,713.47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44,276,316.53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109,516,611.22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-59.57%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135,385,118.89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178,403,218.71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-24.11%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-91,108,802.36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-68,886,607.49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32.26%</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210,000,000.00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123,969,333.15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149,427,066.99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-17.04%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66,030,666.85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60,572,933.01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40,575,185.64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55,200,038.99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-26.49%</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相关数据同比发生重大变动的主要影响因素说明</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tabs>
          <w:tab w:pos="445" w:val="left"/>
        </w:tabs>
        <w:bidi w:val="0"/>
        <w:spacing w:before="0" w:after="120" w:line="240" w:lineRule="auto"/>
        <w:ind w:left="0" w:right="0" w:firstLine="0"/>
        <w:jc w:val="left"/>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投资活动现金流量净流出增长，主要系本期赎回的交易性金融资产较上期减少所致。</w:t>
      </w:r>
    </w:p>
    <w:p>
      <w:pPr>
        <w:pStyle w:val="Style21"/>
        <w:keepNext w:val="0"/>
        <w:keepLines w:val="0"/>
        <w:widowControl w:val="0"/>
        <w:shd w:val="clear" w:color="auto" w:fill="auto"/>
        <w:bidi w:val="0"/>
        <w:spacing w:before="0" w:after="160" w:line="240" w:lineRule="auto"/>
        <w:ind w:left="0" w:right="0" w:firstLine="0"/>
        <w:jc w:val="left"/>
      </w:pPr>
      <w:bookmarkStart w:id="158" w:name="bookmark158"/>
      <w:r>
        <w:rPr>
          <w:color w:val="000000"/>
          <w:spacing w:val="0"/>
          <w:w w:val="100"/>
          <w:position w:val="0"/>
        </w:rPr>
        <w:t>（</w:t>
      </w:r>
      <w:bookmarkEnd w:id="1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筹资活动现金流量净流入增长，主要系本期偿还到期银行借款减少，筹资活动流出上年同期减少。</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159" w:name="bookmark159"/>
      <w:bookmarkStart w:id="160" w:name="bookmark160"/>
      <w:bookmarkStart w:id="161" w:name="bookmark161"/>
      <w:bookmarkStart w:id="162" w:name="bookmark162"/>
      <w:r>
        <w:rPr>
          <w:color w:val="000000"/>
          <w:spacing w:val="0"/>
          <w:w w:val="100"/>
          <w:position w:val="0"/>
        </w:rPr>
        <w:t>三</w:t>
      </w:r>
      <w:bookmarkEnd w:id="161"/>
      <w:r>
        <w:rPr>
          <w:color w:val="000000"/>
          <w:spacing w:val="0"/>
          <w:w w:val="100"/>
          <w:position w:val="0"/>
        </w:rPr>
        <w:t>、非主营业务情况</w:t>
      </w:r>
      <w:bookmarkEnd w:id="159"/>
      <w:bookmarkEnd w:id="160"/>
      <w:bookmarkEnd w:id="16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846"/>
        <w:gridCol w:w="16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2,313,089.47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主要为本期收到政府补助形成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-10,249,893.13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应收账款预期信用损失计提形成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22,088,247.41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主要为确认本期递延收益形成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四</w:t>
      </w:r>
      <w:bookmarkEnd w:id="165"/>
      <w:r>
        <w:rPr>
          <w:color w:val="000000"/>
          <w:spacing w:val="0"/>
          <w:w w:val="100"/>
          <w:position w:val="0"/>
        </w:rPr>
        <w:t>、资产及负债状况分析</w:t>
      </w:r>
      <w:bookmarkEnd w:id="163"/>
      <w:bookmarkEnd w:id="164"/>
      <w:bookmarkEnd w:id="166"/>
    </w:p>
    <w:p>
      <w:pPr>
        <w:pStyle w:val="Style34"/>
        <w:keepNext/>
        <w:keepLines/>
        <w:widowControl w:val="0"/>
        <w:shd w:val="clear" w:color="auto" w:fill="auto"/>
        <w:bidi w:val="0"/>
        <w:spacing w:before="0" w:line="240" w:lineRule="auto"/>
        <w:ind w:left="0" w:right="0" w:firstLine="0"/>
        <w:jc w:val="left"/>
      </w:pPr>
      <w:bookmarkStart w:id="167" w:name="bookmark167"/>
      <w:bookmarkStart w:id="168" w:name="bookmark168"/>
      <w:bookmarkStart w:id="169" w:name="bookmark169"/>
      <w:bookmarkStart w:id="170" w:name="bookmark170"/>
      <w:r>
        <w:rPr>
          <w:rFonts w:ascii="Times New Roman" w:eastAsia="Times New Roman" w:hAnsi="Times New Roman" w:cs="Times New Roman"/>
          <w:color w:val="000000"/>
          <w:spacing w:val="0"/>
          <w:w w:val="100"/>
          <w:position w:val="0"/>
        </w:rPr>
        <w:t>1</w:t>
      </w:r>
      <w:bookmarkEnd w:id="169"/>
      <w:r>
        <w:rPr>
          <w:color w:val="000000"/>
          <w:spacing w:val="0"/>
          <w:w w:val="100"/>
          <w:position w:val="0"/>
        </w:rPr>
        <w:t>、资产构成重大变动情况</w:t>
      </w:r>
      <w:bookmarkEnd w:id="167"/>
      <w:bookmarkEnd w:id="168"/>
      <w:bookmarkEnd w:id="170"/>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378"/>
        <w:gridCol w:w="1430"/>
        <w:gridCol w:w="797"/>
        <w:gridCol w:w="1474"/>
        <w:gridCol w:w="782"/>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占总资产</w:t>
            </w:r>
          </w:p>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291,165,712.09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210,860,381.95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322,491,461.71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243,583,677.07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主要系业务增长带来的应收款增加 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102,552.40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70,916.15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3,610,696.80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3,737,477.72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109,460,063.66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116,127,414.24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331,186,836.96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197,099,469.04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系公司未来大厦项目投资建设所致</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110,099,944.44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100,146,875.00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未来大厦建设资金增加银行借款所 致</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43,779,895.89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理财产品到期赎回所致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72,479,031.74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50,484,331.30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实施新收入准则，根据报告期初开 始实施的会计政策变更而新增</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214,364,677.43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160,812,297.71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23,250,047.76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16,364,723.90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2</w:t>
      </w:r>
      <w:bookmarkEnd w:id="173"/>
      <w:r>
        <w:rPr>
          <w:color w:val="000000"/>
          <w:spacing w:val="0"/>
          <w:w w:val="100"/>
          <w:position w:val="0"/>
        </w:rPr>
        <w:t>、以公允价值计量的资产和负债</w:t>
      </w:r>
      <w:bookmarkEnd w:id="171"/>
      <w:bookmarkEnd w:id="172"/>
      <w:bookmarkEnd w:id="174"/>
    </w:p>
    <w:p>
      <w:pPr>
        <w:pStyle w:val="Style2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1133"/>
        <w:gridCol w:w="850"/>
        <w:gridCol w:w="1027"/>
        <w:gridCol w:w="926"/>
        <w:gridCol w:w="883"/>
        <w:gridCol w:w="1272"/>
        <w:gridCol w:w="1022"/>
        <w:gridCol w:w="1219"/>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本期出售金额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交易性金融 资产（不含衍 生金融资产）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43,779,895.89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-779,895.89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43,779,895.89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-779,895.89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其他变动的内容</w:t>
      </w:r>
    </w:p>
    <w:p>
      <w:pPr>
        <w:pStyle w:val="Style21"/>
        <w:keepNext w:val="0"/>
        <w:keepLines w:val="0"/>
        <w:widowControl w:val="0"/>
        <w:shd w:val="clear" w:color="auto" w:fill="auto"/>
        <w:bidi w:val="0"/>
        <w:spacing w:before="0" w:after="180" w:line="240" w:lineRule="auto"/>
        <w:ind w:left="0" w:right="0" w:firstLine="0"/>
        <w:jc w:val="both"/>
      </w:pPr>
      <w:r>
        <w:rPr>
          <w:color w:val="000000"/>
          <w:spacing w:val="0"/>
          <w:w w:val="100"/>
          <w:position w:val="0"/>
        </w:rPr>
        <w:t>无。</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报告期内公司主要资产计量属性是否发生重大变化</w:t>
      </w:r>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both"/>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3</w:t>
      </w:r>
      <w:bookmarkEnd w:id="177"/>
      <w:r>
        <w:rPr>
          <w:color w:val="000000"/>
          <w:spacing w:val="0"/>
          <w:w w:val="100"/>
          <w:position w:val="0"/>
        </w:rPr>
        <w:t>、截至报告期末的资产权利受限情况</w:t>
      </w:r>
      <w:bookmarkEnd w:id="175"/>
      <w:bookmarkEnd w:id="176"/>
      <w:bookmarkEnd w:id="178"/>
    </w:p>
    <w:tbl>
      <w:tblPr>
        <w:tblOverlap w:val="never"/>
        <w:jc w:val="center"/>
        <w:tblLayout w:type="fixed"/>
      </w:tblPr>
      <w:tblGrid>
        <w:gridCol w:w="1766"/>
        <w:gridCol w:w="1416"/>
        <w:gridCol w:w="1416"/>
        <w:gridCol w:w="1421"/>
        <w:gridCol w:w="1416"/>
        <w:gridCol w:w="1766"/>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10,075,354.76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181,338,137.30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141,607,992.80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49,805,499.26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保函保证金、代建户</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12,621,343.00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330,039.94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12,291,303.06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用于抵押借款</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56,168,845.53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3,472,603.21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52,696,242.32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用于抵押借款</w:t>
            </w:r>
          </w:p>
        </w:tc>
      </w:tr>
      <w:tr>
        <w:trPr>
          <w:trHeight w:val="35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78,865,543.29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181,338,137.30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145,410,635.95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114,793,044.64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79" w:name="bookmark179"/>
      <w:bookmarkStart w:id="180" w:name="bookmark180"/>
      <w:bookmarkStart w:id="181" w:name="bookmark181"/>
      <w:bookmarkStart w:id="182" w:name="bookmark182"/>
      <w:r>
        <w:rPr>
          <w:color w:val="000000"/>
          <w:spacing w:val="0"/>
          <w:w w:val="100"/>
          <w:position w:val="0"/>
        </w:rPr>
        <w:t>五</w:t>
      </w:r>
      <w:bookmarkEnd w:id="181"/>
      <w:r>
        <w:rPr>
          <w:color w:val="000000"/>
          <w:spacing w:val="0"/>
          <w:w w:val="100"/>
          <w:position w:val="0"/>
        </w:rPr>
        <w:t>、投资状况分析</w:t>
      </w:r>
      <w:bookmarkEnd w:id="179"/>
      <w:bookmarkEnd w:id="180"/>
      <w:bookmarkEnd w:id="182"/>
    </w:p>
    <w:p>
      <w:pPr>
        <w:pStyle w:val="Style34"/>
        <w:keepNext/>
        <w:keepLines/>
        <w:widowControl w:val="0"/>
        <w:shd w:val="clear" w:color="auto" w:fill="auto"/>
        <w:bidi w:val="0"/>
        <w:spacing w:before="0" w:line="240" w:lineRule="auto"/>
        <w:ind w:left="0" w:right="0" w:firstLine="0"/>
        <w:jc w:val="both"/>
      </w:pPr>
      <w:bookmarkStart w:id="183" w:name="bookmark183"/>
      <w:bookmarkStart w:id="184" w:name="bookmark184"/>
      <w:bookmarkStart w:id="185" w:name="bookmark185"/>
      <w:bookmarkStart w:id="186" w:name="bookmark186"/>
      <w:r>
        <w:rPr>
          <w:rFonts w:ascii="Times New Roman" w:eastAsia="Times New Roman" w:hAnsi="Times New Roman" w:cs="Times New Roman"/>
          <w:color w:val="000000"/>
          <w:spacing w:val="0"/>
          <w:w w:val="100"/>
          <w:position w:val="0"/>
        </w:rPr>
        <w:t>1</w:t>
      </w:r>
      <w:bookmarkEnd w:id="185"/>
      <w:r>
        <w:rPr>
          <w:color w:val="000000"/>
          <w:spacing w:val="0"/>
          <w:w w:val="100"/>
          <w:position w:val="0"/>
        </w:rPr>
        <w:t>、总体情况</w:t>
      </w:r>
      <w:bookmarkEnd w:id="183"/>
      <w:bookmarkEnd w:id="184"/>
      <w:bookmarkEnd w:id="186"/>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160,756,769.86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149,043,926.91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7.86%</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2</w:t>
      </w:r>
      <w:bookmarkEnd w:id="189"/>
      <w:r>
        <w:rPr>
          <w:color w:val="000000"/>
          <w:spacing w:val="0"/>
          <w:w w:val="100"/>
          <w:position w:val="0"/>
        </w:rPr>
        <w:t>、</w:t>
        <w:tab/>
        <w:t>报告期内获取的重大的股权投资情况</w:t>
      </w:r>
      <w:bookmarkEnd w:id="187"/>
      <w:bookmarkEnd w:id="188"/>
      <w:bookmarkEnd w:id="190"/>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both"/>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3</w:t>
      </w:r>
      <w:bookmarkEnd w:id="193"/>
      <w:r>
        <w:rPr>
          <w:color w:val="000000"/>
          <w:spacing w:val="0"/>
          <w:w w:val="100"/>
          <w:position w:val="0"/>
        </w:rPr>
        <w:t>、</w:t>
        <w:tab/>
        <w:t>报告期内正在进行的重大的非股权投资情况</w:t>
      </w:r>
      <w:bookmarkEnd w:id="191"/>
      <w:bookmarkEnd w:id="192"/>
      <w:bookmarkEnd w:id="194"/>
    </w:p>
    <w:p>
      <w:pPr>
        <w:pStyle w:val="Style21"/>
        <w:keepNext w:val="0"/>
        <w:keepLines w:val="0"/>
        <w:widowControl w:val="0"/>
        <w:shd w:val="clear" w:color="auto" w:fill="auto"/>
        <w:bidi w:val="0"/>
        <w:spacing w:before="0" w:after="360" w:line="240" w:lineRule="auto"/>
        <w:ind w:left="0" w:right="0" w:firstLine="0"/>
        <w:jc w:val="both"/>
        <w:sectPr>
          <w:headerReference w:type="default" r:id="rId45"/>
          <w:footerReference w:type="default" r:id="rId46"/>
          <w:headerReference w:type="even" r:id="rId47"/>
          <w:footerReference w:type="even" r:id="rId48"/>
          <w:headerReference w:type="first" r:id="rId49"/>
          <w:footerReference w:type="first" r:id="rId50"/>
          <w:footnotePr>
            <w:pos w:val="pageBottom"/>
            <w:numFmt w:val="decimal"/>
            <w:numRestart w:val="continuous"/>
          </w:footnotePr>
          <w:pgSz w:w="11900" w:h="16840"/>
          <w:pgMar w:top="1455" w:right="1043" w:bottom="1235" w:left="104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1"/>
        <w:keepNext w:val="0"/>
        <w:keepLines w:val="0"/>
        <w:widowControl w:val="0"/>
        <w:shd w:val="clear" w:color="auto" w:fill="auto"/>
        <w:bidi w:val="0"/>
        <w:spacing w:before="0" w:after="80" w:line="307" w:lineRule="exact"/>
        <w:ind w:left="3600" w:right="0" w:firstLine="0"/>
        <w:jc w:val="right"/>
      </w:pPr>
      <w:r>
        <w:drawing>
          <wp:anchor distT="0" distB="0" distL="114300" distR="114300" simplePos="0" relativeHeight="125829380" behindDoc="0" locked="0" layoutInCell="1" allowOverlap="1">
            <wp:simplePos x="0" y="0"/>
            <wp:positionH relativeFrom="page">
              <wp:posOffset>718820</wp:posOffset>
            </wp:positionH>
            <wp:positionV relativeFrom="margin">
              <wp:posOffset>-121920</wp:posOffset>
            </wp:positionV>
            <wp:extent cx="737870" cy="359410"/>
            <wp:wrapSquare wrapText="right"/>
            <wp:docPr id="141" name="Shape 141"/>
            <a:graphic xmlns:a="http://schemas.openxmlformats.org/drawingml/2006/main">
              <a:graphicData uri="http://schemas.openxmlformats.org/drawingml/2006/picture">
                <pic:pic xmlns:pic="http://schemas.openxmlformats.org/drawingml/2006/picture">
                  <pic:nvPicPr>
                    <pic:cNvPr id="142" name="Picture box 142"/>
                    <pic:cNvPicPr/>
                  </pic:nvPicPr>
                  <pic:blipFill>
                    <a:blip r:embed="rId51"/>
                    <a:stretch/>
                  </pic:blipFill>
                  <pic:spPr>
                    <a:xfrm>
                      <a:ext cx="737870" cy="359410"/>
                    </a:xfrm>
                    <a:prstGeom prst="rect"/>
                  </pic:spPr>
                </pic:pic>
              </a:graphicData>
            </a:graphic>
          </wp:anchor>
        </w:drawing>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单位：元</w:t>
      </w:r>
    </w:p>
    <w:tbl>
      <w:tblPr>
        <w:tblOverlap w:val="never"/>
        <w:jc w:val="center"/>
        <w:tblLayout w:type="fixed"/>
      </w:tblPr>
      <w:tblGrid>
        <w:gridCol w:w="826"/>
        <w:gridCol w:w="566"/>
        <w:gridCol w:w="566"/>
        <w:gridCol w:w="566"/>
        <w:gridCol w:w="1277"/>
        <w:gridCol w:w="1277"/>
        <w:gridCol w:w="850"/>
        <w:gridCol w:w="710"/>
        <w:gridCol w:w="422"/>
        <w:gridCol w:w="710"/>
        <w:gridCol w:w="710"/>
        <w:gridCol w:w="566"/>
        <w:gridCol w:w="538"/>
      </w:tblGrid>
      <w:tr>
        <w:trPr>
          <w:trHeight w:val="165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是否 为固 定资 产投 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 项目 涉及 行业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截至报告期末 累计实际投入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项目进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 收益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现的收 </w:t>
            </w:r>
            <w:r>
              <w:rPr>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 日期</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披露 索引</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（如 有）</w:t>
            </w:r>
          </w:p>
        </w:tc>
      </w:tr>
      <w:tr>
        <w:trPr>
          <w:trHeight w:val="75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建科院未</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来大厦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134,087,367.92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388,662,587.68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自有资金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134,087,367.92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388,662,587.68</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注：截至报告期末累计实际投入金额包含未来大厦土地摊余净值</w:t>
      </w:r>
      <w:r>
        <w:rPr>
          <w:rFonts w:ascii="Times New Roman" w:eastAsia="Times New Roman" w:hAnsi="Times New Roman" w:cs="Times New Roman"/>
          <w:color w:val="000000"/>
          <w:spacing w:val="0"/>
          <w:w w:val="100"/>
          <w:position w:val="0"/>
          <w:sz w:val="18"/>
          <w:szCs w:val="18"/>
        </w:rPr>
        <w:t>57,475,750.72</w:t>
      </w:r>
      <w:r>
        <w:rPr>
          <w:color w:val="000000"/>
          <w:spacing w:val="0"/>
          <w:w w:val="100"/>
          <w:position w:val="0"/>
        </w:rPr>
        <w:t>元。</w:t>
      </w:r>
    </w:p>
    <w:p>
      <w:pPr>
        <w:pStyle w:val="Style34"/>
        <w:keepNext/>
        <w:keepLines/>
        <w:widowControl w:val="0"/>
        <w:shd w:val="clear" w:color="auto" w:fill="auto"/>
        <w:bidi w:val="0"/>
        <w:spacing w:before="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4</w:t>
      </w:r>
      <w:bookmarkEnd w:id="197"/>
      <w:r>
        <w:rPr>
          <w:color w:val="000000"/>
          <w:spacing w:val="0"/>
          <w:w w:val="100"/>
          <w:position w:val="0"/>
        </w:rPr>
        <w:t>、以公允价值计量的金融资产</w:t>
      </w:r>
      <w:bookmarkEnd w:id="195"/>
      <w:bookmarkEnd w:id="196"/>
      <w:bookmarkEnd w:id="198"/>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826"/>
        <w:gridCol w:w="1277"/>
        <w:gridCol w:w="994"/>
        <w:gridCol w:w="1555"/>
        <w:gridCol w:w="1099"/>
        <w:gridCol w:w="1171"/>
        <w:gridCol w:w="1133"/>
        <w:gridCol w:w="850"/>
        <w:gridCol w:w="68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初始投资成本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报告期内售出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累计投资收</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募集资 金、自 有资金</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1,232,894.53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、募集资金使用情况</w:t>
      </w:r>
      <w:bookmarkEnd w:id="199"/>
      <w:bookmarkEnd w:id="200"/>
      <w:bookmarkEnd w:id="202"/>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14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w:t>
      </w:r>
      <w:bookmarkEnd w:id="205"/>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3"/>
      <w:bookmarkEnd w:id="204"/>
      <w:bookmarkEnd w:id="206"/>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02" w:right="0" w:firstLine="0"/>
        <w:jc w:val="left"/>
      </w:pPr>
      <w:r>
        <w:rPr>
          <w:color w:val="000000"/>
          <w:spacing w:val="0"/>
          <w:w w:val="100"/>
          <w:position w:val="0"/>
        </w:rPr>
        <w:t>单位：万元</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7"/>
              <w:keepNext w:val="0"/>
              <w:keepLines w:val="0"/>
              <w:widowControl w:val="0"/>
              <w:shd w:val="clear" w:color="auto" w:fill="auto"/>
              <w:bidi w:val="0"/>
              <w:spacing w:before="0" w:after="0" w:line="312" w:lineRule="exact"/>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首次公开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959.63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 专户存款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959.63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2,097.78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682" w:hRule="exact"/>
        </w:trPr>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日，公司对募集资金项目累计投入人民币</w:t>
            </w:r>
            <w:r>
              <w:rPr>
                <w:rFonts w:ascii="Times New Roman" w:eastAsia="Times New Roman" w:hAnsi="Times New Roman" w:cs="Times New Roman"/>
                <w:color w:val="000000"/>
                <w:spacing w:val="0"/>
                <w:w w:val="100"/>
                <w:position w:val="0"/>
                <w:sz w:val="18"/>
                <w:szCs w:val="18"/>
              </w:rPr>
              <w:t>8,641.98</w:t>
            </w:r>
            <w:r>
              <w:rPr>
                <w:color w:val="000000"/>
                <w:spacing w:val="0"/>
                <w:w w:val="100"/>
                <w:position w:val="0"/>
              </w:rPr>
              <w:t>万元，其中：公司于募集资金到位之前利用自有 资金先期投入募集资金项目人民币</w:t>
            </w:r>
            <w:r>
              <w:rPr>
                <w:rFonts w:ascii="Times New Roman" w:eastAsia="Times New Roman" w:hAnsi="Times New Roman" w:cs="Times New Roman"/>
                <w:color w:val="000000"/>
                <w:spacing w:val="0"/>
                <w:w w:val="100"/>
                <w:position w:val="0"/>
                <w:sz w:val="18"/>
                <w:szCs w:val="18"/>
              </w:rPr>
              <w:t>4,819.44</w:t>
            </w:r>
            <w:r>
              <w:rPr>
                <w:color w:val="000000"/>
                <w:spacing w:val="0"/>
                <w:w w:val="100"/>
                <w:position w:val="0"/>
              </w:rPr>
              <w:t>万元，该自筹投入资金经立信会计师事务所（特殊普通合伙）出具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w:t>
            </w:r>
          </w:p>
        </w:tc>
      </w:tr>
    </w:tbl>
    <w:p>
      <w:pPr>
        <w:spacing w:lineRule="exact" w:line="1"/>
        <w:rPr>
          <w:sz w:val="2"/>
          <w:szCs w:val="2"/>
        </w:rPr>
      </w:pPr>
      <w:r>
        <w:br w:type="page"/>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200" w:right="0" w:firstLine="0"/>
        <w:jc w:val="both"/>
      </w:pPr>
      <w:r>
        <w:rPr>
          <w:color w:val="000000"/>
          <w:spacing w:val="0"/>
          <w:w w:val="100"/>
          <w:position w:val="0"/>
        </w:rPr>
        <w:t>字</w:t>
      </w:r>
      <w:r>
        <w:rPr>
          <w:rFonts w:ascii="Times New Roman" w:eastAsia="Times New Roman" w:hAnsi="Times New Roman" w:cs="Times New Roman"/>
          <w:color w:val="000000"/>
          <w:spacing w:val="0"/>
          <w:w w:val="100"/>
          <w:position w:val="0"/>
          <w:sz w:val="18"/>
          <w:szCs w:val="18"/>
        </w:rPr>
        <w:t>[2017]10675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鉴证报告确认。募集资金专户收到利息收入(含现金管理收益)扣除手续费净额人民币</w:t>
      </w:r>
      <w:r>
        <w:rPr>
          <w:rFonts w:ascii="Times New Roman" w:eastAsia="Times New Roman" w:hAnsi="Times New Roman" w:cs="Times New Roman"/>
          <w:color w:val="000000"/>
          <w:spacing w:val="0"/>
          <w:w w:val="100"/>
          <w:position w:val="0"/>
          <w:sz w:val="18"/>
          <w:szCs w:val="18"/>
        </w:rPr>
        <w:t>318.08</w:t>
      </w:r>
      <w:r>
        <w:rPr>
          <w:color w:val="000000"/>
          <w:spacing w:val="0"/>
          <w:w w:val="100"/>
          <w:position w:val="0"/>
        </w:rPr>
        <w:t>万元。 资金使用完毕的两个项目募集资金专户销户余额转出</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万元。</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7" w:lineRule="exact"/>
        <w:ind w:left="0" w:right="0" w:firstLine="2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日，募集资金账户余额为人民币</w:t>
      </w:r>
      <w:r>
        <w:rPr>
          <w:rFonts w:ascii="Times New Roman" w:eastAsia="Times New Roman" w:hAnsi="Times New Roman" w:cs="Times New Roman"/>
          <w:color w:val="000000"/>
          <w:spacing w:val="0"/>
          <w:w w:val="100"/>
          <w:position w:val="0"/>
          <w:sz w:val="18"/>
          <w:szCs w:val="18"/>
        </w:rPr>
        <w:t>2,415.30</w:t>
      </w:r>
      <w:r>
        <w:rPr>
          <w:color w:val="000000"/>
          <w:spacing w:val="0"/>
          <w:w w:val="100"/>
          <w:position w:val="0"/>
        </w:rPr>
        <w:t>万，暂无用于现金管理的闲置募集资金。</w:t>
      </w:r>
    </w:p>
    <w:p>
      <w:pPr>
        <w:pStyle w:val="Style34"/>
        <w:keepNext/>
        <w:keepLines/>
        <w:widowControl w:val="0"/>
        <w:numPr>
          <w:ilvl w:val="0"/>
          <w:numId w:val="5"/>
        </w:numPr>
        <w:shd w:val="clear" w:color="auto" w:fill="auto"/>
        <w:bidi w:val="0"/>
        <w:spacing w:before="0" w:line="240" w:lineRule="auto"/>
        <w:ind w:left="0" w:right="0" w:firstLine="260"/>
        <w:jc w:val="left"/>
      </w:pPr>
      <w:bookmarkStart w:id="207" w:name="bookmark207"/>
      <w:bookmarkStart w:id="208" w:name="bookmark208"/>
      <w:bookmarkStart w:id="209" w:name="bookmark209"/>
      <w:bookmarkStart w:id="210" w:name="bookmark210"/>
      <w:bookmarkEnd w:id="209"/>
      <w:r>
        <w:rPr>
          <w:color w:val="000000"/>
          <w:spacing w:val="0"/>
          <w:w w:val="100"/>
          <w:position w:val="0"/>
        </w:rPr>
        <w:t>募集资金承诺项目情况</w:t>
      </w:r>
      <w:bookmarkEnd w:id="207"/>
      <w:bookmarkEnd w:id="208"/>
      <w:bookmarkEnd w:id="210"/>
    </w:p>
    <w:p>
      <w:pPr>
        <w:pStyle w:val="Style21"/>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142"/>
        <w:gridCol w:w="485"/>
        <w:gridCol w:w="787"/>
        <w:gridCol w:w="854"/>
        <w:gridCol w:w="989"/>
        <w:gridCol w:w="787"/>
        <w:gridCol w:w="917"/>
        <w:gridCol w:w="710"/>
        <w:gridCol w:w="562"/>
        <w:gridCol w:w="710"/>
        <w:gridCol w:w="566"/>
        <w:gridCol w:w="720"/>
      </w:tblGrid>
      <w:tr>
        <w:trPr>
          <w:trHeight w:val="196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 目和超募资 金投向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rPr>
                <w:sz w:val="18"/>
                <w:szCs w:val="18"/>
              </w:rPr>
            </w:pPr>
            <w:r>
              <w:rPr>
                <w:color w:val="000000"/>
                <w:spacing w:val="0"/>
                <w:w w:val="100"/>
                <w:position w:val="0"/>
                <w:sz w:val="17"/>
                <w:szCs w:val="17"/>
              </w:rPr>
              <w:t>是否 已变 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 部分 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rPr>
                <w:sz w:val="18"/>
                <w:szCs w:val="18"/>
              </w:rPr>
            </w:pPr>
            <w:r>
              <w:rPr>
                <w:color w:val="000000"/>
                <w:spacing w:val="0"/>
                <w:w w:val="100"/>
                <w:position w:val="0"/>
                <w:sz w:val="17"/>
                <w:szCs w:val="17"/>
              </w:rPr>
              <w:t>调整后投 资总额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本报告期投 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截至期末 投资进度</w:t>
            </w:r>
          </w:p>
          <w:p>
            <w:pPr>
              <w:pStyle w:val="Style27"/>
              <w:keepNext w:val="0"/>
              <w:keepLines w:val="0"/>
              <w:widowControl w:val="0"/>
              <w:shd w:val="clear" w:color="auto" w:fill="auto"/>
              <w:bidi w:val="0"/>
              <w:spacing w:before="0" w:after="0" w:line="36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7"/>
              <w:keepNext w:val="0"/>
              <w:keepLines w:val="0"/>
              <w:widowControl w:val="0"/>
              <w:shd w:val="clear" w:color="auto" w:fill="auto"/>
              <w:bidi w:val="0"/>
              <w:spacing w:before="0" w:after="0" w:line="36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本报 告期 实现 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8" w:lineRule="exact"/>
              <w:ind w:left="0" w:right="0" w:firstLine="0"/>
              <w:jc w:val="center"/>
            </w:pPr>
            <w:r>
              <w:rPr>
                <w:color w:val="000000"/>
                <w:spacing w:val="0"/>
                <w:w w:val="100"/>
                <w:position w:val="0"/>
              </w:rPr>
              <w:t xml:space="preserve">截止报 告期末 累计实 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7"/>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65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上海钢琴厂 低碳化升级 改造及运营</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DOT</w:t>
            </w:r>
            <w:r>
              <w:rPr>
                <w:color w:val="000000"/>
                <w:spacing w:val="0"/>
                <w:w w:val="100"/>
                <w:position w:val="0"/>
              </w:rPr>
              <w:t>)</w:t>
            </w:r>
            <w:r>
              <w:rPr>
                <w:color w:val="000000"/>
                <w:spacing w:val="0"/>
                <w:w w:val="100"/>
                <w:position w:val="0"/>
              </w:rPr>
              <w:t>项 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6,044.42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线上运营平 台及乐活系 统建设项目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2,588.6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低碳建筑研 究及社区级 应用服务实 验基地项目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承诺投资项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10,739.76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8,641.98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458.72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10,739.76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10,739.76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959.63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8,641.98</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458.72</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8" w:lineRule="exact"/>
              <w:ind w:left="0" w:right="0" w:firstLine="0"/>
              <w:jc w:val="left"/>
            </w:pPr>
            <w:r>
              <w:rPr>
                <w:color w:val="000000"/>
                <w:spacing w:val="0"/>
                <w:w w:val="100"/>
                <w:position w:val="0"/>
              </w:rPr>
              <w:t>未达到计划 进度或预计 收益的情况 和原因(分 具体项目)</w:t>
            </w:r>
          </w:p>
        </w:tc>
        <w:tc>
          <w:tcPr>
            <w:gridSpan w:val="11"/>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线上运营平台及乐活系统建设项目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受项目迭代先决条件及需求提升的影响，公司结合目前 募投项目的实际进展情况，在项目的实施主体、实施方式均未发生变更的情况下，调整该项目预计投 入完成时间至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日，以更好地推动项目的迭代升级。该募投项目延期的议案经公司第三 届董事会第三次临时会议决议通过，具体情况详见公司在巨潮资讯网披露的《公司关于部分募投项目 延期的公告》(公告编号：</w:t>
            </w:r>
            <w:r>
              <w:rPr>
                <w:rFonts w:ascii="Times New Roman" w:eastAsia="Times New Roman" w:hAnsi="Times New Roman" w:cs="Times New Roman"/>
                <w:color w:val="000000"/>
                <w:spacing w:val="0"/>
                <w:w w:val="100"/>
                <w:position w:val="0"/>
                <w:sz w:val="18"/>
                <w:szCs w:val="18"/>
              </w:rPr>
              <w:t>2020-075</w:t>
            </w:r>
            <w:r>
              <w:rPr>
                <w:color w:val="000000"/>
                <w:spacing w:val="0"/>
                <w:w w:val="100"/>
                <w:position w:val="0"/>
              </w:rPr>
              <w:t>)</w:t>
            </w:r>
            <w:r>
              <w:rPr>
                <w:color w:val="000000"/>
                <w:spacing w:val="0"/>
                <w:w w:val="100"/>
                <w:position w:val="0"/>
              </w:rPr>
              <w:t>。公司将继续按建设计划实施该募投项目。</w:t>
            </w:r>
          </w:p>
        </w:tc>
      </w:tr>
      <w:tr>
        <w:trPr>
          <w:trHeight w:val="99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 发生重大变 化的情况说</w:t>
            </w:r>
          </w:p>
        </w:tc>
        <w:tc>
          <w:tcPr>
            <w:gridSpan w:val="11"/>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142"/>
        <w:gridCol w:w="8088"/>
      </w:tblGrid>
      <w:tr>
        <w:trPr>
          <w:trHeight w:val="37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明</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超募资金的 金额、用途 及使用进展 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地点变更情 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募集资金投 资项目实施 方式调整情 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募集资金投 资项目先期 投入及置换 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51"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公司于募集资金到位之前利用自有资金先期投入募集资金项目人民币</w:t>
            </w:r>
            <w:r>
              <w:rPr>
                <w:rFonts w:ascii="Times New Roman" w:eastAsia="Times New Roman" w:hAnsi="Times New Roman" w:cs="Times New Roman"/>
                <w:color w:val="000000"/>
                <w:spacing w:val="0"/>
                <w:w w:val="100"/>
                <w:position w:val="0"/>
                <w:sz w:val="18"/>
                <w:szCs w:val="18"/>
              </w:rPr>
              <w:t>48,194,430.82</w:t>
            </w:r>
            <w:r>
              <w:rPr>
                <w:color w:val="000000"/>
                <w:spacing w:val="0"/>
                <w:w w:val="100"/>
                <w:position w:val="0"/>
              </w:rPr>
              <w:t>元，经公司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日召开的第二届董事会第二次定期会议、第二届监事会第三次会议审议通过，并经保荐人核 查同意，公司以募集资金置换预先已投入募集资金投资项目的自筹资金</w:t>
            </w:r>
            <w:r>
              <w:rPr>
                <w:rFonts w:ascii="Times New Roman" w:eastAsia="Times New Roman" w:hAnsi="Times New Roman" w:cs="Times New Roman"/>
                <w:color w:val="000000"/>
                <w:spacing w:val="0"/>
                <w:w w:val="100"/>
                <w:position w:val="0"/>
                <w:sz w:val="18"/>
                <w:szCs w:val="18"/>
              </w:rPr>
              <w:t>48,194,430.82</w:t>
            </w:r>
            <w:r>
              <w:rPr>
                <w:color w:val="000000"/>
                <w:spacing w:val="0"/>
                <w:w w:val="100"/>
                <w:position w:val="0"/>
              </w:rPr>
              <w:t>元，上述置换事 项及置换金额业经立信会计师事务所（特殊普通合伙）出具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信会师报字</w:t>
            </w:r>
            <w:r>
              <w:rPr>
                <w:rFonts w:ascii="Times New Roman" w:eastAsia="Times New Roman" w:hAnsi="Times New Roman" w:cs="Times New Roman"/>
                <w:color w:val="000000"/>
                <w:spacing w:val="0"/>
                <w:w w:val="100"/>
                <w:position w:val="0"/>
                <w:sz w:val="18"/>
                <w:szCs w:val="18"/>
              </w:rPr>
              <w:t>[2017]10675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鉴证报告确 认。</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 资金暂时补 充流动资金 情况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 现募集资金 结余的金额 及原因</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936"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 募集资金用 途及去向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未使用的募集资金存放于募集资金专户中，公司将根据项目进度妥善安排募集资金的使用。</w:t>
            </w:r>
          </w:p>
        </w:tc>
      </w:tr>
      <w:tr>
        <w:trPr>
          <w:trHeight w:val="1661"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募集资金使 用及披露中 存在的问题 或其他情况</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报告期内，进行现金管理的募集资金中，有</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万元资金的实际理财投资期限为十三个月，超过董 事会审议通过的不超过十二个月投资期限的情形，但未影响募集资金投资计划的正常进行。此外所有 进行现金管理的募集资金均未超过董事会审议通过的使用闲置募集资金进行现金管理的投资额度和投 资期限。相关情况详见公司于巨潮资讯网披露的《公司关于使用部分闲置募集资金进行现金管理赎回 剩余资金的公告》（公告编号：</w:t>
            </w:r>
            <w:r>
              <w:rPr>
                <w:rFonts w:ascii="Times New Roman" w:eastAsia="Times New Roman" w:hAnsi="Times New Roman" w:cs="Times New Roman"/>
                <w:color w:val="000000"/>
                <w:spacing w:val="0"/>
                <w:w w:val="100"/>
                <w:position w:val="0"/>
                <w:sz w:val="18"/>
                <w:szCs w:val="18"/>
              </w:rPr>
              <w:t>2020-049</w:t>
            </w: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211" w:name="bookmark211"/>
      <w:bookmarkStart w:id="212" w:name="bookmark212"/>
      <w:bookmarkStart w:id="213" w:name="bookmark213"/>
      <w:bookmarkStart w:id="214" w:name="bookmark214"/>
      <w:r>
        <w:rPr>
          <w:color w:val="000000"/>
          <w:spacing w:val="0"/>
          <w:w w:val="100"/>
          <w:position w:val="0"/>
        </w:rPr>
        <w:t>（</w:t>
      </w:r>
      <w:bookmarkEnd w:id="21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11"/>
      <w:bookmarkEnd w:id="212"/>
      <w:bookmarkEnd w:id="214"/>
    </w:p>
    <w:p>
      <w:pPr>
        <w:pStyle w:val="Style21"/>
        <w:keepNext w:val="0"/>
        <w:keepLines w:val="0"/>
        <w:widowControl w:val="0"/>
        <w:shd w:val="clear" w:color="auto" w:fill="auto"/>
        <w:bidi w:val="0"/>
        <w:spacing w:before="0" w:after="140" w:line="240" w:lineRule="auto"/>
        <w:ind w:left="0" w:right="0" w:firstLine="1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20" w:line="240" w:lineRule="auto"/>
        <w:ind w:left="0" w:right="0" w:firstLine="140"/>
        <w:jc w:val="left"/>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455" w:right="1043" w:bottom="1235" w:left="1046" w:header="0" w:footer="3" w:gutter="0"/>
          <w:cols w:space="720"/>
          <w:noEndnote/>
          <w:titlePg/>
          <w:rtlGutter w:val="0"/>
          <w:docGrid w:linePitch="360"/>
        </w:sectPr>
      </w:pPr>
      <w:r>
        <w:rPr>
          <w:color w:val="000000"/>
          <w:spacing w:val="0"/>
          <w:w w:val="100"/>
          <w:position w:val="0"/>
        </w:rPr>
        <w:t>公司报告期不存在募集资金变更项目情况。</w:t>
      </w:r>
    </w:p>
    <w:p>
      <w:pPr>
        <w:pStyle w:val="Style30"/>
        <w:keepNext/>
        <w:keepLines/>
        <w:widowControl w:val="0"/>
        <w:shd w:val="clear" w:color="auto" w:fill="auto"/>
        <w:bidi w:val="0"/>
        <w:spacing w:before="0" w:line="240" w:lineRule="auto"/>
        <w:ind w:left="0" w:right="0" w:firstLine="0"/>
        <w:jc w:val="left"/>
      </w:pPr>
      <w:bookmarkStart w:id="215" w:name="bookmark215"/>
      <w:bookmarkStart w:id="216" w:name="bookmark216"/>
      <w:bookmarkStart w:id="217" w:name="bookmark217"/>
      <w:bookmarkStart w:id="218" w:name="bookmark218"/>
      <w:r>
        <w:rPr>
          <w:color w:val="000000"/>
          <w:spacing w:val="0"/>
          <w:w w:val="100"/>
          <w:position w:val="0"/>
        </w:rPr>
        <w:t>六</w:t>
      </w:r>
      <w:bookmarkEnd w:id="217"/>
      <w:r>
        <w:rPr>
          <w:color w:val="000000"/>
          <w:spacing w:val="0"/>
          <w:w w:val="100"/>
          <w:position w:val="0"/>
        </w:rPr>
        <w:t>、重大资产和股权出售</w:t>
      </w:r>
      <w:bookmarkEnd w:id="215"/>
      <w:bookmarkEnd w:id="216"/>
      <w:bookmarkEnd w:id="218"/>
    </w:p>
    <w:p>
      <w:pPr>
        <w:pStyle w:val="Style34"/>
        <w:keepNext/>
        <w:keepLines/>
        <w:widowControl w:val="0"/>
        <w:shd w:val="clear" w:color="auto" w:fill="auto"/>
        <w:tabs>
          <w:tab w:pos="368" w:val="left"/>
        </w:tabs>
        <w:bidi w:val="0"/>
        <w:spacing w:before="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1</w:t>
      </w:r>
      <w:bookmarkEnd w:id="221"/>
      <w:r>
        <w:rPr>
          <w:color w:val="000000"/>
          <w:spacing w:val="0"/>
          <w:w w:val="100"/>
          <w:position w:val="0"/>
        </w:rPr>
        <w:t>、</w:t>
        <w:tab/>
        <w:t>出售重大资产情况</w:t>
      </w:r>
      <w:bookmarkEnd w:id="219"/>
      <w:bookmarkEnd w:id="220"/>
      <w:bookmarkEnd w:id="222"/>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378"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2</w:t>
      </w:r>
      <w:bookmarkEnd w:id="225"/>
      <w:r>
        <w:rPr>
          <w:color w:val="000000"/>
          <w:spacing w:val="0"/>
          <w:w w:val="100"/>
          <w:position w:val="0"/>
        </w:rPr>
        <w:t>、</w:t>
        <w:tab/>
        <w:t>出售重大股权情况</w:t>
      </w:r>
      <w:bookmarkEnd w:id="223"/>
      <w:bookmarkEnd w:id="224"/>
      <w:bookmarkEnd w:id="226"/>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rPr>
        <w:t>七</w:t>
      </w:r>
      <w:bookmarkEnd w:id="229"/>
      <w:r>
        <w:rPr>
          <w:color w:val="000000"/>
          <w:spacing w:val="0"/>
          <w:w w:val="100"/>
          <w:position w:val="0"/>
        </w:rPr>
        <w:t>、主要控股参股公司分析</w:t>
      </w:r>
      <w:bookmarkEnd w:id="227"/>
      <w:bookmarkEnd w:id="228"/>
      <w:bookmarkEnd w:id="230"/>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26"/>
        <w:gridCol w:w="710"/>
        <w:gridCol w:w="1272"/>
        <w:gridCol w:w="1138"/>
        <w:gridCol w:w="1272"/>
        <w:gridCol w:w="1138"/>
        <w:gridCol w:w="1128"/>
        <w:gridCol w:w="1046"/>
        <w:gridCol w:w="1056"/>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建研检测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建筑工程、建 筑材料及部品 检测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153,696,547.85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37,279,452.86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98,595,872.10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9,445,930.42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8,688,621.10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市政建设及规</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58,689,299.74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38,281,376.18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39,296,819.51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6,605,995.45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5,809,726.22</w:t>
            </w:r>
          </w:p>
        </w:tc>
      </w:tr>
      <w:tr>
        <w:trPr>
          <w:trHeight w:val="1032"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公信服务、施</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工图审查、不</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动产测绘</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31,038,500.00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44,543,582.01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38,078,825.50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35,598,514.72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5,113,091.66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4,824,531.45</w:t>
            </w:r>
          </w:p>
        </w:tc>
      </w:tr>
    </w:tbl>
    <w:p>
      <w:pPr>
        <w:pStyle w:val="Style21"/>
        <w:keepNext w:val="0"/>
        <w:keepLines w:val="0"/>
        <w:widowControl w:val="0"/>
        <w:shd w:val="clear" w:color="auto" w:fill="auto"/>
        <w:bidi w:val="0"/>
        <w:spacing w:before="0" w:after="120" w:line="346" w:lineRule="exact"/>
        <w:ind w:left="0" w:right="0" w:firstLine="0"/>
        <w:jc w:val="left"/>
      </w:pPr>
      <w:r>
        <w:rPr>
          <w:color w:val="000000"/>
          <w:spacing w:val="0"/>
          <w:w w:val="100"/>
          <w:position w:val="0"/>
        </w:rPr>
        <w:t xml:space="preserve">报告期内取得和处置子公司的情况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675"/>
        <w:gridCol w:w="3120"/>
        <w:gridCol w:w="47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湾区规划设计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报告期内暂无影响；对后续公司把握双区驱动战略优势，抢 抓改革试点的重大历史机遇提供有力抓手。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湾区绿色技术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投资设立</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报告期内暂无影响；对后续公司把握双区驱动战略优势，抢 抓改革试点的重大历史机遇提供有力抓手。</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八</w:t>
      </w:r>
      <w:bookmarkEnd w:id="233"/>
      <w:r>
        <w:rPr>
          <w:color w:val="000000"/>
          <w:spacing w:val="0"/>
          <w:w w:val="100"/>
          <w:position w:val="0"/>
        </w:rPr>
        <w:t>、公司控制的结构化主体情况</w:t>
      </w:r>
      <w:bookmarkEnd w:id="231"/>
      <w:bookmarkEnd w:id="232"/>
      <w:bookmarkEnd w:id="234"/>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keepLines/>
        <w:widowControl w:val="0"/>
        <w:shd w:val="clear" w:color="auto" w:fill="auto"/>
        <w:bidi w:val="0"/>
        <w:spacing w:before="0" w:after="2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九</w:t>
      </w:r>
      <w:bookmarkEnd w:id="237"/>
      <w:r>
        <w:rPr>
          <w:color w:val="000000"/>
          <w:spacing w:val="0"/>
          <w:w w:val="100"/>
          <w:position w:val="0"/>
        </w:rPr>
        <w:t>、公司未来发展的展望</w:t>
      </w:r>
      <w:bookmarkEnd w:id="235"/>
      <w:bookmarkEnd w:id="236"/>
      <w:bookmarkEnd w:id="238"/>
    </w:p>
    <w:p>
      <w:pPr>
        <w:pStyle w:val="Style21"/>
        <w:keepNext w:val="0"/>
        <w:keepLines w:val="0"/>
        <w:widowControl w:val="0"/>
        <w:shd w:val="clear" w:color="auto" w:fill="auto"/>
        <w:tabs>
          <w:tab w:pos="471" w:val="left"/>
        </w:tabs>
        <w:bidi w:val="0"/>
        <w:spacing w:before="0" w:after="0" w:line="312" w:lineRule="exact"/>
        <w:ind w:left="0" w:right="0" w:firstLine="0"/>
        <w:jc w:val="left"/>
      </w:pPr>
      <w:bookmarkStart w:id="239" w:name="bookmark239"/>
      <w:r>
        <w:rPr>
          <w:color w:val="000000"/>
          <w:spacing w:val="0"/>
          <w:w w:val="100"/>
          <w:position w:val="0"/>
        </w:rPr>
        <w:t>（</w:t>
      </w:r>
      <w:bookmarkEnd w:id="239"/>
      <w:r>
        <w:rPr>
          <w:color w:val="000000"/>
          <w:spacing w:val="0"/>
          <w:w w:val="100"/>
          <w:position w:val="0"/>
        </w:rPr>
        <w:t>一）</w:t>
        <w:tab/>
        <w:t>行业发展趋势</w:t>
      </w:r>
    </w:p>
    <w:p>
      <w:pPr>
        <w:pStyle w:val="Style21"/>
        <w:keepNext w:val="0"/>
        <w:keepLines w:val="0"/>
        <w:widowControl w:val="0"/>
        <w:shd w:val="clear" w:color="auto" w:fill="auto"/>
        <w:tabs>
          <w:tab w:pos="274" w:val="left"/>
        </w:tabs>
        <w:bidi w:val="0"/>
        <w:spacing w:before="0" w:after="0" w:line="312" w:lineRule="exact"/>
        <w:ind w:left="0" w:right="0" w:firstLine="0"/>
        <w:jc w:val="left"/>
      </w:pPr>
      <w:bookmarkStart w:id="240" w:name="bookmark240"/>
      <w:r>
        <w:rPr>
          <w:rFonts w:ascii="Times New Roman" w:eastAsia="Times New Roman" w:hAnsi="Times New Roman" w:cs="Times New Roman"/>
          <w:color w:val="000000"/>
          <w:spacing w:val="0"/>
          <w:w w:val="100"/>
          <w:position w:val="0"/>
          <w:sz w:val="18"/>
          <w:szCs w:val="18"/>
        </w:rPr>
        <w:t>1</w:t>
      </w:r>
      <w:bookmarkEnd w:id="240"/>
      <w:r>
        <w:rPr>
          <w:color w:val="000000"/>
          <w:spacing w:val="0"/>
          <w:w w:val="100"/>
          <w:position w:val="0"/>
        </w:rPr>
        <w:t>、</w:t>
        <w:tab/>
        <w:t>国家政策与城市建设层面</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中共中央、国务院关于《粤港澳大湾区发展规划纲要》《关于支持深圳建设中国特色社会主义先行示范区的意见》、全国人 大《中华人民共和国国民经济和社会发展第十四个五年规划和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年远景目标纲要》等重大国家战略计划相继出台，为公司 未来在粤港澳大湾区业务开展、科技创新平台建设、国际化合作和高端人才引进等各方面创造良好环境；同时，国家的雄安 新区战略实施进入了第四年，各项建设已进入实施阶段，为公司雄安区域总部的区域业务规模化拓展条件更为有利的环境。 此外，随着城市化进程的不断加速，城市群初见雏形，特别是位于头部的城市群的发展潜力和人才吸引力不断增强，并也面 临着城市建设和更新转型等发展问题，相应提供了大量的市场机遇。另一方面，近年来包括以人为本的生态文明建设、科技 创新驱动发展等一系列相关政策和指导意见的出台，也为公司创造绿色城市技术服务相关行业的重大战略机遇。</w:t>
      </w:r>
    </w:p>
    <w:p>
      <w:pPr>
        <w:pStyle w:val="Style21"/>
        <w:keepNext w:val="0"/>
        <w:keepLines w:val="0"/>
        <w:widowControl w:val="0"/>
        <w:shd w:val="clear" w:color="auto" w:fill="auto"/>
        <w:tabs>
          <w:tab w:pos="294" w:val="left"/>
        </w:tabs>
        <w:bidi w:val="0"/>
        <w:spacing w:before="0" w:after="0" w:line="312" w:lineRule="exact"/>
        <w:ind w:left="0" w:right="0" w:firstLine="0"/>
        <w:jc w:val="both"/>
      </w:pPr>
      <w:bookmarkStart w:id="241" w:name="bookmark241"/>
      <w:r>
        <w:rPr>
          <w:rFonts w:ascii="Times New Roman" w:eastAsia="Times New Roman" w:hAnsi="Times New Roman" w:cs="Times New Roman"/>
          <w:color w:val="000000"/>
          <w:spacing w:val="0"/>
          <w:w w:val="100"/>
          <w:position w:val="0"/>
          <w:sz w:val="18"/>
          <w:szCs w:val="18"/>
        </w:rPr>
        <w:t>2</w:t>
      </w:r>
      <w:bookmarkEnd w:id="241"/>
      <w:r>
        <w:rPr>
          <w:color w:val="000000"/>
          <w:spacing w:val="0"/>
          <w:w w:val="100"/>
          <w:position w:val="0"/>
        </w:rPr>
        <w:t>、</w:t>
        <w:tab/>
        <w:t>行业与市场发展层面</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当前，行业发展面临市场化程度提升、门槛持续降低的现状，市场竞争情况加剧，资源也不断向具备较强综合服务能力或核 心竞争力的企业聚集。同时，业务模式创新、全过程咨询和工程总承办项目数量和规模不断提升、产业整合不断推进、以可 持续为导向的增长等发展趋势也逐步出现，这要求行业内企业进一步转变增长方式，提升创新能力，实现资源配置的效益最 大化和效率最优化。</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此外，国家加强地方政府性债务管理，地方政府举债能力减弱，平台融资能力受限，固定资产投资不足，增速持续减缓，使 得在公共服务、资源环境、生态建设、基础设施等领域进一步创新投融资机制、充分发挥社会资本的作用愈发重要，这为公 司切入相关市场提供了契机。</w:t>
      </w:r>
    </w:p>
    <w:p>
      <w:pPr>
        <w:pStyle w:val="Style21"/>
        <w:keepNext w:val="0"/>
        <w:keepLines w:val="0"/>
        <w:widowControl w:val="0"/>
        <w:shd w:val="clear" w:color="auto" w:fill="auto"/>
        <w:tabs>
          <w:tab w:pos="294" w:val="left"/>
        </w:tabs>
        <w:bidi w:val="0"/>
        <w:spacing w:before="0" w:after="0" w:line="312" w:lineRule="exact"/>
        <w:ind w:left="0" w:right="0" w:firstLine="0"/>
        <w:jc w:val="both"/>
      </w:pPr>
      <w:bookmarkStart w:id="242" w:name="bookmark242"/>
      <w:r>
        <w:rPr>
          <w:rFonts w:ascii="Times New Roman" w:eastAsia="Times New Roman" w:hAnsi="Times New Roman" w:cs="Times New Roman"/>
          <w:color w:val="000000"/>
          <w:spacing w:val="0"/>
          <w:w w:val="100"/>
          <w:position w:val="0"/>
          <w:sz w:val="18"/>
          <w:szCs w:val="18"/>
        </w:rPr>
        <w:t>3</w:t>
      </w:r>
      <w:bookmarkEnd w:id="242"/>
      <w:r>
        <w:rPr>
          <w:color w:val="000000"/>
          <w:spacing w:val="0"/>
          <w:w w:val="100"/>
          <w:position w:val="0"/>
        </w:rPr>
        <w:t>、</w:t>
        <w:tab/>
        <w:t>国资国企改革层面</w:t>
      </w:r>
    </w:p>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深圳是全国开展区域性国资国企综合改革试验的两个城市之一。目前，深圳国资国企综合改革试验进入全面实施阶段，而公 司入选国务院国改办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科改示范企业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，也将更有利于把握国资国企改革机遇，促进公司治理、人才激励、科研创新等的机制 不断完善提升，以内生外延方式驱动公司规模和服务能力更为高效的增长。</w:t>
      </w:r>
    </w:p>
    <w:p>
      <w:pPr>
        <w:pStyle w:val="Style21"/>
        <w:keepNext w:val="0"/>
        <w:keepLines w:val="0"/>
        <w:widowControl w:val="0"/>
        <w:shd w:val="clear" w:color="auto" w:fill="auto"/>
        <w:tabs>
          <w:tab w:pos="294" w:val="left"/>
        </w:tabs>
        <w:bidi w:val="0"/>
        <w:spacing w:before="0" w:after="0" w:line="360" w:lineRule="auto"/>
        <w:ind w:left="0" w:right="0" w:firstLine="0"/>
        <w:jc w:val="both"/>
      </w:pPr>
      <w:bookmarkStart w:id="243" w:name="bookmark243"/>
      <w:r>
        <w:rPr>
          <w:rFonts w:ascii="Times New Roman" w:eastAsia="Times New Roman" w:hAnsi="Times New Roman" w:cs="Times New Roman"/>
          <w:color w:val="000000"/>
          <w:spacing w:val="0"/>
          <w:w w:val="100"/>
          <w:position w:val="0"/>
          <w:sz w:val="18"/>
          <w:szCs w:val="18"/>
        </w:rPr>
        <w:t>4</w:t>
      </w:r>
      <w:bookmarkEnd w:id="243"/>
      <w:r>
        <w:rPr>
          <w:color w:val="000000"/>
          <w:spacing w:val="0"/>
          <w:w w:val="100"/>
          <w:position w:val="0"/>
        </w:rPr>
        <w:t>、</w:t>
        <w:tab/>
        <w:t>技术发展层面</w:t>
      </w:r>
    </w:p>
    <w:p>
      <w:pPr>
        <w:pStyle w:val="Style21"/>
        <w:keepNext w:val="0"/>
        <w:keepLines w:val="0"/>
        <w:widowControl w:val="0"/>
        <w:shd w:val="clear" w:color="auto" w:fill="auto"/>
        <w:bidi w:val="0"/>
        <w:spacing w:before="0" w:after="280" w:line="312" w:lineRule="exact"/>
        <w:ind w:left="0" w:right="0" w:firstLine="0"/>
        <w:jc w:val="both"/>
      </w:pPr>
      <w:r>
        <w:rPr>
          <w:color w:val="000000"/>
          <w:spacing w:val="0"/>
          <w:w w:val="100"/>
          <w:position w:val="0"/>
        </w:rPr>
        <w:t>国家宣布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目标，开启全面建设社会主义现代化国家新征程，宣示对我国应对气候变化、推进生态文明建设 提出了更高要求；对于建立以绿色发展为价值引领和增长动力的现代经济体系，实现经济社会发展与生态环境保护协同具有 重要意义。同时，工程建设领域全面深化改革，对工程建设行业提出了转型发展的新要求，住宅产业现代化、新型建筑工业 化和建筑产业化成为发展的趋势，信息化与建筑工业化的深度融合，基础性技术、标准的研究和制定，建筑工业化、产业化 标准体系与实施机制的研究正在不断深化；同时，随着云计算、大数据、区块链、人工智能等前沿技术在行业中的应用越来 越广泛，包括挛生城市、直流建筑等创新应用不断涌现，也要求公司紧跟行业技术前沿，不断提升技术创新能力。</w:t>
      </w:r>
    </w:p>
    <w:p>
      <w:pPr>
        <w:pStyle w:val="Style21"/>
        <w:keepNext w:val="0"/>
        <w:keepLines w:val="0"/>
        <w:widowControl w:val="0"/>
        <w:shd w:val="clear" w:color="auto" w:fill="auto"/>
        <w:tabs>
          <w:tab w:pos="471" w:val="left"/>
        </w:tabs>
        <w:bidi w:val="0"/>
        <w:spacing w:before="0" w:after="0" w:line="311" w:lineRule="exact"/>
        <w:ind w:left="0" w:right="0" w:firstLine="0"/>
        <w:jc w:val="both"/>
      </w:pPr>
      <w:bookmarkStart w:id="244" w:name="bookmark244"/>
      <w:r>
        <w:rPr>
          <w:color w:val="000000"/>
          <w:spacing w:val="0"/>
          <w:w w:val="100"/>
          <w:position w:val="0"/>
        </w:rPr>
        <w:t>（</w:t>
      </w:r>
      <w:bookmarkEnd w:id="244"/>
      <w:r>
        <w:rPr>
          <w:color w:val="000000"/>
          <w:spacing w:val="0"/>
          <w:w w:val="100"/>
          <w:position w:val="0"/>
        </w:rPr>
        <w:t>二）</w:t>
        <w:tab/>
        <w:t>公司发展战略及经营计划</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公司突出绿色城市生命价值观，坚定公司核心价值定位与内涵，从绿色建筑和绿色城市的技术层面转向生命价值观层面，以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平视城市，共享生命精彩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为愿景，围绕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中国绿色城市价值创造者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的使命，持续推进城市绿色发展和绿色建筑领域全过程 技术服务能力的创新，在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科改示范行动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目标实现关键年奠定良好基础，为公司科技创新、市场服务、 人才激励、资源整合等方面的跨越式提升提供有力支撑。具体举措如下：</w:t>
      </w:r>
    </w:p>
    <w:p>
      <w:pPr>
        <w:pStyle w:val="Style21"/>
        <w:keepNext w:val="0"/>
        <w:keepLines w:val="0"/>
        <w:widowControl w:val="0"/>
        <w:numPr>
          <w:ilvl w:val="0"/>
          <w:numId w:val="7"/>
        </w:numPr>
        <w:shd w:val="clear" w:color="auto" w:fill="auto"/>
        <w:tabs>
          <w:tab w:pos="266" w:val="left"/>
        </w:tabs>
        <w:bidi w:val="0"/>
        <w:spacing w:before="0" w:after="0" w:line="311" w:lineRule="exact"/>
        <w:ind w:left="0" w:right="0" w:firstLine="0"/>
        <w:jc w:val="both"/>
      </w:pPr>
      <w:bookmarkStart w:id="245" w:name="bookmark245"/>
      <w:bookmarkEnd w:id="245"/>
      <w:r>
        <w:rPr>
          <w:color w:val="000000"/>
          <w:spacing w:val="0"/>
          <w:w w:val="100"/>
          <w:position w:val="0"/>
        </w:rPr>
        <w:t>以战略为引导，深化组织机构调整，推动公司高质量发展</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进一步完善公司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发展战略规划，明确公司在业务场景、科研发展、规模提升、人才激励等领域的发展目标及路径， 提交董事会审议批准并编制相应的配套实施细则，推动公司高质量发展，更好地为客户、员工、股东、社会等创造价值；进 一步完善董事会对战略规划编制、回顾和滚动管理机制，为更好地抓住外部机遇、服务好客户提供保障。同时，在发展战略 的指导下，深化组织机构调整和集团化管控模式，为各项工作的有序开展提供治理保障，并结合上市公司治理、国企管理特 点、全过程业务特色及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市场战略，进一步优化授权体系。</w:t>
      </w:r>
    </w:p>
    <w:p>
      <w:pPr>
        <w:pStyle w:val="Style21"/>
        <w:keepNext w:val="0"/>
        <w:keepLines w:val="0"/>
        <w:widowControl w:val="0"/>
        <w:numPr>
          <w:ilvl w:val="0"/>
          <w:numId w:val="7"/>
        </w:numPr>
        <w:shd w:val="clear" w:color="auto" w:fill="auto"/>
        <w:tabs>
          <w:tab w:pos="266" w:val="left"/>
        </w:tabs>
        <w:bidi w:val="0"/>
        <w:spacing w:before="0" w:after="0" w:line="311" w:lineRule="exact"/>
        <w:ind w:left="0" w:right="0" w:firstLine="0"/>
        <w:jc w:val="both"/>
      </w:pPr>
      <w:bookmarkStart w:id="246" w:name="bookmark246"/>
      <w:bookmarkEnd w:id="246"/>
      <w:r>
        <w:rPr>
          <w:color w:val="000000"/>
          <w:spacing w:val="0"/>
          <w:w w:val="100"/>
          <w:position w:val="0"/>
        </w:rPr>
        <w:t>内生外延双轮驱动公司规模提升及增长方式转变</w:t>
      </w:r>
    </w:p>
    <w:p>
      <w:pPr>
        <w:pStyle w:val="Style21"/>
        <w:keepNext w:val="0"/>
        <w:keepLines w:val="0"/>
        <w:widowControl w:val="0"/>
        <w:shd w:val="clear" w:color="auto" w:fill="auto"/>
        <w:bidi w:val="0"/>
        <w:spacing w:before="0" w:after="0" w:line="311" w:lineRule="exact"/>
        <w:ind w:left="0" w:right="0" w:firstLine="0"/>
        <w:jc w:val="both"/>
        <w:sectPr>
          <w:headerReference w:type="default" r:id="rId59"/>
          <w:footerReference w:type="default" r:id="rId60"/>
          <w:headerReference w:type="even" r:id="rId61"/>
          <w:footerReference w:type="even" r:id="rId62"/>
          <w:footnotePr>
            <w:pos w:val="pageBottom"/>
            <w:numFmt w:val="decimal"/>
            <w:numRestart w:val="continuous"/>
          </w:footnotePr>
          <w:type w:val="continuous"/>
          <w:pgSz w:w="11900" w:h="16840"/>
          <w:pgMar w:top="1455" w:right="1043" w:bottom="1235" w:left="1046" w:header="0" w:footer="3" w:gutter="0"/>
          <w:cols w:space="720"/>
          <w:noEndnote/>
          <w:rtlGutter w:val="0"/>
          <w:docGrid w:linePitch="360"/>
        </w:sectPr>
      </w:pPr>
      <w:r>
        <w:rPr>
          <w:color w:val="000000"/>
          <w:spacing w:val="0"/>
          <w:w w:val="100"/>
          <w:position w:val="0"/>
        </w:rPr>
        <w:t>以公司发展战略和客户需求为牵引，进一步发挥好城市绿色发展全过程业务和组合业务的协同效应优势，并把握好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w:t>
      </w:r>
    </w:p>
    <w:p>
      <w:pPr>
        <w:pStyle w:val="Style21"/>
        <w:keepNext w:val="0"/>
        <w:keepLines w:val="0"/>
        <w:widowControl w:val="0"/>
        <w:shd w:val="clear" w:color="auto" w:fill="auto"/>
        <w:bidi w:val="0"/>
        <w:spacing w:before="0" w:after="0" w:line="313" w:lineRule="exact"/>
        <w:ind w:left="0" w:right="0" w:firstLine="3620"/>
        <w:jc w:val="left"/>
      </w:pPr>
      <w:r>
        <w:drawing>
          <wp:anchor distT="0" distB="0" distL="114300" distR="114300" simplePos="0" relativeHeight="125829381" behindDoc="0" locked="0" layoutInCell="1" allowOverlap="1">
            <wp:simplePos x="0" y="0"/>
            <wp:positionH relativeFrom="page">
              <wp:posOffset>680720</wp:posOffset>
            </wp:positionH>
            <wp:positionV relativeFrom="margin">
              <wp:posOffset>-140335</wp:posOffset>
            </wp:positionV>
            <wp:extent cx="774065" cy="396240"/>
            <wp:wrapSquare wrapText="right"/>
            <wp:docPr id="171" name="Shape 171"/>
            <a:graphic xmlns:a="http://schemas.openxmlformats.org/drawingml/2006/main">
              <a:graphicData uri="http://schemas.openxmlformats.org/drawingml/2006/picture">
                <pic:pic xmlns:pic="http://schemas.openxmlformats.org/drawingml/2006/picture">
                  <pic:nvPicPr>
                    <pic:cNvPr id="172" name="Picture box 172"/>
                    <pic:cNvPicPr/>
                  </pic:nvPicPr>
                  <pic:blipFill>
                    <a:blip r:embed="rId63"/>
                    <a:stretch/>
                  </pic:blipFill>
                  <pic:spPr>
                    <a:xfrm>
                      <a:ext cx="774065" cy="396240"/>
                    </a:xfrm>
                    <a:prstGeom prst="rect"/>
                  </pic:spPr>
                </pic:pic>
              </a:graphicData>
            </a:graphic>
          </wp:anchor>
        </w:drawing>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形成的市场契机，以科学及对客户负责的态度，优化和加强科研及各业务的协同整合效应。</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同时，以服务能力提升为依托，通过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一城一策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方式和进一步细分客户类型等举措，继续落实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城市客户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市场战略，提升公 司服务效率和市场规模扩张效率：深耕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重点城市客户，并向具有较强发展潜力的市场延伸；通过雄安总部建设和机制 改革先行先试，把握京津冀、川渝等城市群在城市建设及更新的发展势头；以上海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朋汇为基地，推动公司在长三角区域的 业务能力、生产能力建设和细分市场拓展。另一方面，把握好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资本运作优势，依托全过程咨询服务主营业务线 和协同创新业务线，结合并购子公司管理实践，开展资本运作工作，并与内生增长共同组成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效应，驱动公司服务能力、 市场开拓、规模增长提速增效，助力城市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目标实现的同时，进一步充实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点绿成金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商业模式的内涵。 此外，以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三有荟</w:t>
      </w:r>
      <w:r>
        <w:rPr>
          <w:rFonts w:ascii="Times New Roman" w:eastAsia="Times New Roman" w:hAnsi="Times New Roman" w:cs="Times New Roman"/>
          <w:color w:val="000000"/>
          <w:spacing w:val="0"/>
          <w:w w:val="100"/>
          <w:position w:val="0"/>
          <w:sz w:val="18"/>
          <w:szCs w:val="18"/>
        </w:rPr>
        <w:t>”“IBR</w:t>
      </w:r>
      <w:r>
        <w:rPr>
          <w:color w:val="000000"/>
          <w:spacing w:val="0"/>
          <w:w w:val="100"/>
          <w:position w:val="0"/>
        </w:rPr>
        <w:t>认证</w:t>
      </w:r>
      <w:r>
        <w:rPr>
          <w:color w:val="000000"/>
          <w:spacing w:val="0"/>
          <w:w w:val="100"/>
          <w:position w:val="0"/>
        </w:rPr>
        <w:t>*</w:t>
      </w:r>
      <w:r>
        <w:rPr>
          <w:color w:val="000000"/>
          <w:spacing w:val="0"/>
          <w:w w:val="100"/>
          <w:position w:val="0"/>
        </w:rPr>
        <w:t>公共艺术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等为抓手，进一步推动</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端业务场景延伸，更大范围普惠高质量绿色发展成果，扩大 公司品牌在社会大众中的渗透力与认知度。</w:t>
      </w:r>
    </w:p>
    <w:p>
      <w:pPr>
        <w:pStyle w:val="Style21"/>
        <w:keepNext w:val="0"/>
        <w:keepLines w:val="0"/>
        <w:widowControl w:val="0"/>
        <w:numPr>
          <w:ilvl w:val="0"/>
          <w:numId w:val="7"/>
        </w:numPr>
        <w:shd w:val="clear" w:color="auto" w:fill="auto"/>
        <w:tabs>
          <w:tab w:pos="250" w:val="left"/>
        </w:tabs>
        <w:bidi w:val="0"/>
        <w:spacing w:before="0" w:after="0" w:line="313" w:lineRule="exact"/>
        <w:ind w:left="0" w:right="0" w:firstLine="0"/>
        <w:jc w:val="both"/>
      </w:pPr>
      <w:bookmarkStart w:id="247" w:name="bookmark247"/>
      <w:bookmarkEnd w:id="247"/>
      <w:r>
        <w:rPr>
          <w:color w:val="000000"/>
          <w:spacing w:val="0"/>
          <w:w w:val="100"/>
          <w:position w:val="0"/>
        </w:rPr>
        <w:t>打造国家级绿色科技创新中心，提升公司核心竞争力</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稳步推进董事会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市场与技术委员会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建设，理顺公司科研体系，加强科研创新与市场开拓、产业孵化等的联系，形成系统的 市场和技术战略管理机制，为公司重大市场策略和研发战略及计划提供决策咨询和实施监督，并研究制定科技创新容错办 法，为公司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科改示范行动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的有效落实和建设国际化绿色城市科技产业集团奠定基础。</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同时，加快完成公司新一代生产和科研基地未来大厦的规划验收，依托该项目和建科大楼等绿色技术中试场景平台，完善集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技术集成研究、中试研发、场景推广和孵化投资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为一体的科技创新孵化业务模式并开展创新项目孵化。</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此外，在生态城市、直流建筑、绿色建筑等领域持续深入开展研究工作，为推动全社会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w:t>
      </w:r>
      <w:r>
        <w:rPr>
          <w:color w:val="000000"/>
          <w:spacing w:val="0"/>
          <w:w w:val="100"/>
          <w:position w:val="0"/>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目标的实现提供支 持。加强对领军人才、学科带头人的引入和培育，实施科技创新人才团队建设计划及培养体系搭建，持续推进面向城市绿色 发展领域的一流科技人才队伍的建设。基于公司已有的科研平台、产业化基地、行业技术资源和影响力，逐步实施组建国家 级企业技术中心计划。</w:t>
      </w:r>
    </w:p>
    <w:p>
      <w:pPr>
        <w:pStyle w:val="Style21"/>
        <w:keepNext w:val="0"/>
        <w:keepLines w:val="0"/>
        <w:widowControl w:val="0"/>
        <w:numPr>
          <w:ilvl w:val="0"/>
          <w:numId w:val="7"/>
        </w:numPr>
        <w:shd w:val="clear" w:color="auto" w:fill="auto"/>
        <w:tabs>
          <w:tab w:pos="260" w:val="left"/>
        </w:tabs>
        <w:bidi w:val="0"/>
        <w:spacing w:before="0" w:after="0" w:line="313" w:lineRule="exact"/>
        <w:ind w:left="0" w:right="0" w:firstLine="0"/>
        <w:jc w:val="both"/>
      </w:pPr>
      <w:bookmarkStart w:id="248" w:name="bookmark248"/>
      <w:bookmarkEnd w:id="248"/>
      <w:r>
        <w:rPr>
          <w:color w:val="000000"/>
          <w:spacing w:val="0"/>
          <w:w w:val="100"/>
          <w:position w:val="0"/>
        </w:rPr>
        <w:t>健全和推广契约化管理及市场化选人用人机制</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在公司实现契约化管理全覆盖、经理层职业经理人制全覆盖的基础上，实施过程跟踪和结果刚性兑现，同时向公司控股子公 司推广，力争实现控股子公司的领导人员全覆盖，并健全公司及控股子公司的董事、监事和高管的管理机制，更好地兼顾集 团化公司治理效率和管理机制、经营统筹工作积极性的调动。进一步完善以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双赢协议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为核心的个人高效生产力体系和员工 职业发展体系，有效识别核心技术人才，促进人岗匹配，畅通员工晋升与退出渠道。</w:t>
      </w:r>
    </w:p>
    <w:p>
      <w:pPr>
        <w:pStyle w:val="Style21"/>
        <w:keepNext w:val="0"/>
        <w:keepLines w:val="0"/>
        <w:widowControl w:val="0"/>
        <w:numPr>
          <w:ilvl w:val="0"/>
          <w:numId w:val="7"/>
        </w:numPr>
        <w:shd w:val="clear" w:color="auto" w:fill="auto"/>
        <w:tabs>
          <w:tab w:pos="260" w:val="left"/>
        </w:tabs>
        <w:bidi w:val="0"/>
        <w:spacing w:before="0" w:after="0" w:line="313" w:lineRule="exact"/>
        <w:ind w:left="0" w:right="0" w:firstLine="0"/>
        <w:jc w:val="both"/>
      </w:pPr>
      <w:bookmarkStart w:id="249" w:name="bookmark249"/>
      <w:bookmarkEnd w:id="249"/>
      <w:r>
        <w:rPr>
          <w:color w:val="000000"/>
          <w:spacing w:val="0"/>
          <w:w w:val="100"/>
          <w:position w:val="0"/>
        </w:rPr>
        <w:t>以多层次薪酬激励机制，激发公司内在活力</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继续推进以</w:t>
      </w:r>
      <w:r>
        <w:rPr>
          <w:rFonts w:ascii="Times New Roman" w:eastAsia="Times New Roman" w:hAnsi="Times New Roman" w:cs="Times New Roman"/>
          <w:color w:val="000000"/>
          <w:spacing w:val="0"/>
          <w:w w:val="100"/>
          <w:position w:val="0"/>
          <w:sz w:val="18"/>
          <w:szCs w:val="18"/>
        </w:rPr>
        <w:t>“IBR</w:t>
      </w:r>
      <w:r>
        <w:rPr>
          <w:color w:val="000000"/>
          <w:spacing w:val="0"/>
          <w:w w:val="100"/>
          <w:position w:val="0"/>
        </w:rPr>
        <w:t>蜜蜂激励模型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为核心的薪酬和绩效考核制度改革，突出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短中长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期有机结合、激励与约束并重的特点，提 升人均效能，突出以知识型技术人才为主体的创新科技型企业特色；进一步提升专业人才培养和引进工作的质量，针对领军 人才、学科带头人等高水平骨干科技人才，推进薪酬单列管理，激发人才积极性，保障公司在科技创新领域的长效发展。</w:t>
      </w:r>
    </w:p>
    <w:p>
      <w:pPr>
        <w:pStyle w:val="Style21"/>
        <w:keepNext w:val="0"/>
        <w:keepLines w:val="0"/>
        <w:widowControl w:val="0"/>
        <w:numPr>
          <w:ilvl w:val="0"/>
          <w:numId w:val="7"/>
        </w:numPr>
        <w:shd w:val="clear" w:color="auto" w:fill="auto"/>
        <w:tabs>
          <w:tab w:pos="260" w:val="left"/>
        </w:tabs>
        <w:bidi w:val="0"/>
        <w:spacing w:before="0" w:after="0" w:line="313" w:lineRule="exact"/>
        <w:ind w:left="0" w:right="0" w:firstLine="0"/>
        <w:jc w:val="both"/>
      </w:pPr>
      <w:bookmarkStart w:id="250" w:name="bookmark250"/>
      <w:bookmarkEnd w:id="250"/>
      <w:r>
        <w:rPr>
          <w:color w:val="000000"/>
          <w:spacing w:val="0"/>
          <w:w w:val="100"/>
          <w:position w:val="0"/>
        </w:rPr>
        <w:t>结合公司发展，以募投项目实施为抓手推动公司数字化转型</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发展战略实施、组织机构调整情况及业务发展实际为牵引，推动募投项目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线上运营平台及乐活系统建设项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实施，把握前沿技术兴起带来的新机遇，优化硬件设备升级和相关系统整合迭代方案，为公司整体数字化发展、信用赋 能管理、全面预算管理、业财一体化等的水平提升奠定基础，更好地适应公司中长期发展需求。</w:t>
      </w:r>
    </w:p>
    <w:p>
      <w:pPr>
        <w:pStyle w:val="Style21"/>
        <w:keepNext w:val="0"/>
        <w:keepLines w:val="0"/>
        <w:widowControl w:val="0"/>
        <w:numPr>
          <w:ilvl w:val="0"/>
          <w:numId w:val="7"/>
        </w:numPr>
        <w:shd w:val="clear" w:color="auto" w:fill="auto"/>
        <w:tabs>
          <w:tab w:pos="260" w:val="left"/>
        </w:tabs>
        <w:bidi w:val="0"/>
        <w:spacing w:before="0" w:after="0" w:line="313" w:lineRule="exact"/>
        <w:ind w:left="0" w:right="0" w:firstLine="0"/>
        <w:jc w:val="both"/>
      </w:pPr>
      <w:bookmarkStart w:id="251" w:name="bookmark251"/>
      <w:bookmarkEnd w:id="251"/>
      <w:r>
        <w:rPr>
          <w:color w:val="000000"/>
          <w:spacing w:val="0"/>
          <w:w w:val="100"/>
          <w:position w:val="0"/>
        </w:rPr>
        <w:t>强化公司品牌建设和企业社会责任工作，提升公司综合价值和影响力</w:t>
      </w:r>
    </w:p>
    <w:p>
      <w:pPr>
        <w:pStyle w:val="Style21"/>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基于公司长期在建筑节能、碳审计、碳交易等领域的研究与实践，通过加强投资者关系管理、社会责任报告编制、承办和参 与行业论坛、启动以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开诚共享，明德向善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为标识的企业品牌建设等手段，多视角讲述将环境与社会效应有机结合的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点绿 成金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商业模式，宣传公司在城市领域绿色发展及科技创新等事业的实践成果，系统及全方位提升公司品牌资产价值，提升 公众及资本市场对公司综合价值认同和发展信心，助力公司实现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国际化绿色科技产业集团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战略目标。</w:t>
      </w:r>
    </w:p>
    <w:p>
      <w:pPr>
        <w:pStyle w:val="Style21"/>
        <w:keepNext w:val="0"/>
        <w:keepLines w:val="0"/>
        <w:widowControl w:val="0"/>
        <w:shd w:val="clear" w:color="auto" w:fill="auto"/>
        <w:bidi w:val="0"/>
        <w:spacing w:before="0" w:after="0" w:line="314" w:lineRule="exact"/>
        <w:ind w:left="0" w:right="0" w:firstLine="0"/>
        <w:jc w:val="both"/>
      </w:pPr>
      <w:bookmarkStart w:id="252" w:name="bookmark252"/>
      <w:r>
        <w:rPr>
          <w:color w:val="000000"/>
          <w:spacing w:val="0"/>
          <w:w w:val="100"/>
          <w:position w:val="0"/>
        </w:rPr>
        <w:t>（</w:t>
      </w:r>
      <w:bookmarkEnd w:id="252"/>
      <w:r>
        <w:rPr>
          <w:color w:val="000000"/>
          <w:spacing w:val="0"/>
          <w:w w:val="100"/>
          <w:position w:val="0"/>
        </w:rPr>
        <w:t>三）面临的主要风险及对策</w:t>
      </w:r>
    </w:p>
    <w:p>
      <w:pPr>
        <w:pStyle w:val="Style21"/>
        <w:keepNext w:val="0"/>
        <w:keepLines w:val="0"/>
        <w:widowControl w:val="0"/>
        <w:shd w:val="clear" w:color="auto" w:fill="auto"/>
        <w:bidi w:val="0"/>
        <w:spacing w:before="0" w:after="0" w:line="314" w:lineRule="exact"/>
        <w:ind w:left="0" w:right="0" w:firstLine="0"/>
        <w:jc w:val="both"/>
      </w:pPr>
      <w:bookmarkStart w:id="253" w:name="bookmark253"/>
      <w:r>
        <w:rPr>
          <w:rFonts w:ascii="Times New Roman" w:eastAsia="Times New Roman" w:hAnsi="Times New Roman" w:cs="Times New Roman"/>
          <w:color w:val="000000"/>
          <w:spacing w:val="0"/>
          <w:w w:val="100"/>
          <w:position w:val="0"/>
          <w:sz w:val="18"/>
          <w:szCs w:val="18"/>
        </w:rPr>
        <w:t>1</w:t>
      </w:r>
      <w:bookmarkEnd w:id="253"/>
      <w:r>
        <w:rPr>
          <w:color w:val="000000"/>
          <w:spacing w:val="0"/>
          <w:w w:val="100"/>
          <w:position w:val="0"/>
        </w:rPr>
        <w:t>、政策风险：当前，中国经济正处于由高速增长阶段转向高质量发展阶段的时期，近年来经济转型、创新驱动、产业结构 优化、生态文明建设、区域改革试点等政策不断出台，深化供给侧结构性改革、深化要素市场化配置改革、完善国企国资改 革方案、实施区域协调发展战略等推动经济高质量发展的举措不断推进，行业市场竞争格局发生着深刻变化，新技术、新业 态、新模式、新经济都将对公司发展产生影响，要求公司不断提升环境适配能力。</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风险应对策略：及时深入分析政策变化、积极响应国家政策导向、抓住新的行业发展机遇。</w:t>
      </w:r>
    </w:p>
    <w:p>
      <w:pPr>
        <w:pStyle w:val="Style21"/>
        <w:keepNext w:val="0"/>
        <w:keepLines w:val="0"/>
        <w:widowControl w:val="0"/>
        <w:shd w:val="clear" w:color="auto" w:fill="auto"/>
        <w:bidi w:val="0"/>
        <w:spacing w:before="0" w:after="0" w:line="315" w:lineRule="exact"/>
        <w:ind w:left="0" w:right="0" w:firstLine="0"/>
        <w:jc w:val="both"/>
      </w:pPr>
      <w:bookmarkStart w:id="254" w:name="bookmark254"/>
      <w:r>
        <w:rPr>
          <w:rFonts w:ascii="Times New Roman" w:eastAsia="Times New Roman" w:hAnsi="Times New Roman" w:cs="Times New Roman"/>
          <w:color w:val="000000"/>
          <w:spacing w:val="0"/>
          <w:w w:val="100"/>
          <w:position w:val="0"/>
          <w:sz w:val="18"/>
          <w:szCs w:val="18"/>
        </w:rPr>
        <w:t>2</w:t>
      </w:r>
      <w:bookmarkEnd w:id="254"/>
      <w:r>
        <w:rPr>
          <w:color w:val="000000"/>
          <w:spacing w:val="0"/>
          <w:w w:val="100"/>
          <w:position w:val="0"/>
        </w:rPr>
        <w:t>、 市场竞争风险：行业政策、业主需求变化等因素会对公司市场拓展产生直接影响。同时，随着行业资质管理改革的深入， 行业市场化进程将进一步推进，包括工程总承包企业、业内新企业和业外企业等不断进入，公司将面临更为激烈的市场竞争 环境，存在因市场竞争加剧导致盈利水平下降的风险。</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风险应对策略：建立规范的市场战略管理机制。每年对公司战略和市场战略规划执行情况进行检查与评估，及时发现总体规 划实施过程中存在的问题，并提出改进建议；按照三年周期，对规划进行滚动调整，并在遇到外部环境（如宏观经济形势和 行业政策等）或内部条件发生重大变化的情形，适时对战略规划进行适当修订。</w:t>
      </w:r>
    </w:p>
    <w:p>
      <w:pPr>
        <w:pStyle w:val="Style21"/>
        <w:keepNext w:val="0"/>
        <w:keepLines w:val="0"/>
        <w:widowControl w:val="0"/>
        <w:shd w:val="clear" w:color="auto" w:fill="auto"/>
        <w:tabs>
          <w:tab w:pos="308" w:val="left"/>
        </w:tabs>
        <w:bidi w:val="0"/>
        <w:spacing w:before="0" w:after="0" w:line="315" w:lineRule="exact"/>
        <w:ind w:left="0" w:right="0" w:firstLine="0"/>
        <w:jc w:val="both"/>
      </w:pPr>
      <w:bookmarkStart w:id="255" w:name="bookmark255"/>
      <w:r>
        <w:rPr>
          <w:rFonts w:ascii="Times New Roman" w:eastAsia="Times New Roman" w:hAnsi="Times New Roman" w:cs="Times New Roman"/>
          <w:color w:val="000000"/>
          <w:spacing w:val="0"/>
          <w:w w:val="100"/>
          <w:position w:val="0"/>
          <w:sz w:val="18"/>
          <w:szCs w:val="18"/>
        </w:rPr>
        <w:t>3</w:t>
      </w:r>
      <w:bookmarkEnd w:id="255"/>
      <w:r>
        <w:rPr>
          <w:color w:val="000000"/>
          <w:spacing w:val="0"/>
          <w:w w:val="100"/>
          <w:position w:val="0"/>
        </w:rPr>
        <w:t>、</w:t>
        <w:tab/>
        <w:t>技术风险：科研创新及成果转化是公司业务创新的重要支撑，这意味着公司需要持续保持一定的研发投入。但研发投入 客观上也存在无法转化为技术成果或科研产业化失败的风险。</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风险应对策略：基于董事会市场与技术委员会建设，完善公司研发管理体系和技术成果转化的业务体系对接，规范化决策程 序、过程控制和成果评估。注重决策风险控制，强化过程监督的同时落实好科研容错管理。</w:t>
      </w:r>
    </w:p>
    <w:p>
      <w:pPr>
        <w:pStyle w:val="Style21"/>
        <w:keepNext w:val="0"/>
        <w:keepLines w:val="0"/>
        <w:widowControl w:val="0"/>
        <w:shd w:val="clear" w:color="auto" w:fill="auto"/>
        <w:tabs>
          <w:tab w:pos="308" w:val="left"/>
        </w:tabs>
        <w:bidi w:val="0"/>
        <w:spacing w:before="0" w:after="0" w:line="315" w:lineRule="exact"/>
        <w:ind w:left="0" w:right="0" w:firstLine="0"/>
        <w:jc w:val="both"/>
      </w:pPr>
      <w:bookmarkStart w:id="256" w:name="bookmark256"/>
      <w:r>
        <w:rPr>
          <w:rFonts w:ascii="Times New Roman" w:eastAsia="Times New Roman" w:hAnsi="Times New Roman" w:cs="Times New Roman"/>
          <w:color w:val="000000"/>
          <w:spacing w:val="0"/>
          <w:w w:val="100"/>
          <w:position w:val="0"/>
          <w:sz w:val="18"/>
          <w:szCs w:val="18"/>
        </w:rPr>
        <w:t>4</w:t>
      </w:r>
      <w:bookmarkEnd w:id="256"/>
      <w:r>
        <w:rPr>
          <w:color w:val="000000"/>
          <w:spacing w:val="0"/>
          <w:w w:val="100"/>
          <w:position w:val="0"/>
        </w:rPr>
        <w:t>、</w:t>
        <w:tab/>
        <w:t>业务运作风险：相比传统的设计咨询项目，公司项目类型更为多元化，新的工程、运营、投资等项目受市场、政策、管 理等方面的因素影响，面临周期长、协调环节多、运作更为复杂等情况，客观存在项目运作风险。</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风险应对策略：持续完善全面风险与内控管理制度体系，迭代公司风险管理手册，以有效指导日常工作；以风险信息收集、 风险辨识为着力点，全面促进各业务单元风险管控体系建设和风险评估工作开展，督促风险管理策略有效落实，确保公司整 体风险可控受控；加强合规与廉洁自律及监督体系投入，严把安全生产管理。</w:t>
      </w:r>
    </w:p>
    <w:p>
      <w:pPr>
        <w:pStyle w:val="Style21"/>
        <w:keepNext w:val="0"/>
        <w:keepLines w:val="0"/>
        <w:widowControl w:val="0"/>
        <w:shd w:val="clear" w:color="auto" w:fill="auto"/>
        <w:bidi w:val="0"/>
        <w:spacing w:before="0" w:after="0" w:line="315" w:lineRule="exact"/>
        <w:ind w:left="0" w:right="0" w:firstLine="0"/>
        <w:jc w:val="both"/>
      </w:pPr>
      <w:bookmarkStart w:id="257" w:name="bookmark257"/>
      <w:r>
        <w:rPr>
          <w:rFonts w:ascii="Times New Roman" w:eastAsia="Times New Roman" w:hAnsi="Times New Roman" w:cs="Times New Roman"/>
          <w:color w:val="000000"/>
          <w:spacing w:val="0"/>
          <w:w w:val="100"/>
          <w:position w:val="0"/>
          <w:sz w:val="18"/>
          <w:szCs w:val="18"/>
        </w:rPr>
        <w:t>5</w:t>
      </w:r>
      <w:bookmarkEnd w:id="257"/>
      <w:r>
        <w:rPr>
          <w:color w:val="000000"/>
          <w:spacing w:val="0"/>
          <w:w w:val="100"/>
          <w:position w:val="0"/>
        </w:rPr>
        <w:t>、 项目管理风险：在国家推行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建筑师负责制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的背景下，建筑师在工程项目全过程中被赋予了更为关键的设计质量把控和 管理的职责，对建筑师在质量、成本、进度、跨专业协调、采购、施工等的项目管理能力提出了更高的要求。公司不断加强 全过程及协同服务能力，在行业领域的水平扩张和产业价值链的垂直整合、全国化拓展和跨区域经营对于资源整合、组织及 项目的有效管理和无缝对接的要求不断提升。同时，信息、项目、人力资源、资金等内部资源的调配和管理，与客户、政府 部门、施工单位、监理单位等外部合作单位之间的沟通和协调，都对公司的管理能力提出了更高要求。此外，随着</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工程 总承包业务的扩大，公司也面临项目管理、合同管理、进度管理、采购及施工分包等方面的风险因素。</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风险应对策略：提升项目管理水平，严格把控项目进展，以优质的服务提升客户及市场的满意度。</w:t>
      </w:r>
    </w:p>
    <w:p>
      <w:pPr>
        <w:pStyle w:val="Style21"/>
        <w:keepNext w:val="0"/>
        <w:keepLines w:val="0"/>
        <w:widowControl w:val="0"/>
        <w:shd w:val="clear" w:color="auto" w:fill="auto"/>
        <w:tabs>
          <w:tab w:pos="308" w:val="left"/>
        </w:tabs>
        <w:bidi w:val="0"/>
        <w:spacing w:before="0" w:after="0" w:line="315" w:lineRule="exact"/>
        <w:ind w:left="0" w:right="0" w:firstLine="0"/>
        <w:jc w:val="both"/>
      </w:pPr>
      <w:bookmarkStart w:id="258" w:name="bookmark258"/>
      <w:r>
        <w:rPr>
          <w:rFonts w:ascii="Times New Roman" w:eastAsia="Times New Roman" w:hAnsi="Times New Roman" w:cs="Times New Roman"/>
          <w:color w:val="000000"/>
          <w:spacing w:val="0"/>
          <w:w w:val="100"/>
          <w:position w:val="0"/>
          <w:sz w:val="18"/>
          <w:szCs w:val="18"/>
        </w:rPr>
        <w:t>6</w:t>
      </w:r>
      <w:bookmarkEnd w:id="258"/>
      <w:r>
        <w:rPr>
          <w:color w:val="000000"/>
          <w:spacing w:val="0"/>
          <w:w w:val="100"/>
          <w:position w:val="0"/>
        </w:rPr>
        <w:t>、</w:t>
        <w:tab/>
        <w:t>人才风险分析：公司作为科技型企业，在人才激励、职业发展体系建设、知识价值认定等方面仍存在较大可提升空间； 同时，在深化机制改革和业务模式转型过程中，对于新型人才仍存在大量需求，其中就包括投资管理人才、产业运营人才、 高级研发人才等，这类人才与技术类人才有较大的差异性，客观上存在人才的招募、激励、使用等方面的风险。</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风险应对策略：加强人力资源管理，继续推动薪酬和激励机制改革，健全骨干人才培养体系，促进现有人员提升视野、专业 创新能力、职业化和效率的提升，加强技术专家返聘；建立科学的人才引进、选拔、适用的竞争机制，加大具有创业意识和 能力、国际视野和职业化水平的人员引入；继续推动管理者素质评估和战斗力。</w:t>
      </w:r>
    </w:p>
    <w:p>
      <w:pPr>
        <w:pStyle w:val="Style21"/>
        <w:keepNext w:val="0"/>
        <w:keepLines w:val="0"/>
        <w:widowControl w:val="0"/>
        <w:shd w:val="clear" w:color="auto" w:fill="auto"/>
        <w:tabs>
          <w:tab w:pos="308" w:val="left"/>
        </w:tabs>
        <w:bidi w:val="0"/>
        <w:spacing w:before="0" w:after="0" w:line="315" w:lineRule="exact"/>
        <w:ind w:left="0" w:right="0" w:firstLine="0"/>
        <w:jc w:val="both"/>
      </w:pPr>
      <w:bookmarkStart w:id="259" w:name="bookmark259"/>
      <w:r>
        <w:rPr>
          <w:rFonts w:ascii="Times New Roman" w:eastAsia="Times New Roman" w:hAnsi="Times New Roman" w:cs="Times New Roman"/>
          <w:color w:val="000000"/>
          <w:spacing w:val="0"/>
          <w:w w:val="100"/>
          <w:position w:val="0"/>
          <w:sz w:val="18"/>
          <w:szCs w:val="18"/>
        </w:rPr>
        <w:t>7</w:t>
      </w:r>
      <w:bookmarkEnd w:id="259"/>
      <w:r>
        <w:rPr>
          <w:color w:val="000000"/>
          <w:spacing w:val="0"/>
          <w:w w:val="100"/>
          <w:position w:val="0"/>
        </w:rPr>
        <w:t>、</w:t>
        <w:tab/>
        <w:t>新冠疫情等重大不确定因素影响的风险。新冠疫情的反复和后续对社会、经济环境的影响，可能会对公司市场业务开拓、 经营生产组织产生干扰，存在影响公司未来业绩目标实现的风险。</w:t>
      </w:r>
    </w:p>
    <w:p>
      <w:pPr>
        <w:pStyle w:val="Style21"/>
        <w:keepNext w:val="0"/>
        <w:keepLines w:val="0"/>
        <w:widowControl w:val="0"/>
        <w:shd w:val="clear" w:color="auto" w:fill="auto"/>
        <w:bidi w:val="0"/>
        <w:spacing w:before="0" w:after="360" w:line="315" w:lineRule="exact"/>
        <w:ind w:left="0" w:right="0" w:firstLine="0"/>
        <w:jc w:val="both"/>
      </w:pPr>
      <w:r>
        <w:rPr>
          <w:color w:val="000000"/>
          <w:spacing w:val="0"/>
          <w:w w:val="100"/>
          <w:position w:val="0"/>
        </w:rPr>
        <w:t>风险应对策略：及时关注疫情发展，根据相关政策要求及时调整人员流动要求，做好防疫工作；同时利用好现有移动办公、 远程办公工具并不断完善升级，以此为契机推进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自组织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管理建设。</w:t>
      </w:r>
    </w:p>
    <w:p>
      <w:pPr>
        <w:pStyle w:val="Style30"/>
        <w:keepNext/>
        <w:keepLines/>
        <w:widowControl w:val="0"/>
        <w:shd w:val="clear" w:color="auto" w:fill="auto"/>
        <w:bidi w:val="0"/>
        <w:spacing w:before="0" w:line="240" w:lineRule="auto"/>
        <w:ind w:left="0" w:right="0" w:firstLine="0"/>
        <w:jc w:val="both"/>
      </w:pPr>
      <w:bookmarkStart w:id="260" w:name="bookmark260"/>
      <w:bookmarkStart w:id="261" w:name="bookmark261"/>
      <w:bookmarkStart w:id="262" w:name="bookmark262"/>
      <w:r>
        <w:rPr>
          <w:color w:val="000000"/>
          <w:spacing w:val="0"/>
          <w:w w:val="100"/>
          <w:position w:val="0"/>
        </w:rPr>
        <w:t>十、接待调研、沟通、采访等活动登记表</w:t>
      </w:r>
      <w:bookmarkEnd w:id="260"/>
      <w:bookmarkEnd w:id="261"/>
      <w:bookmarkEnd w:id="262"/>
    </w:p>
    <w:p>
      <w:pPr>
        <w:pStyle w:val="Style34"/>
        <w:keepNext/>
        <w:keepLines/>
        <w:widowControl w:val="0"/>
        <w:shd w:val="clear" w:color="auto" w:fill="auto"/>
        <w:bidi w:val="0"/>
        <w:spacing w:before="0" w:line="240" w:lineRule="auto"/>
        <w:ind w:left="0" w:right="0" w:firstLine="0"/>
        <w:jc w:val="both"/>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1</w:t>
      </w:r>
      <w:bookmarkEnd w:id="265"/>
      <w:r>
        <w:rPr>
          <w:color w:val="000000"/>
          <w:spacing w:val="0"/>
          <w:w w:val="100"/>
          <w:position w:val="0"/>
        </w:rPr>
        <w:t>、报告期内接待调研、沟通、采访等活动登记表</w:t>
      </w:r>
      <w:bookmarkEnd w:id="263"/>
      <w:bookmarkEnd w:id="264"/>
      <w:bookmarkEnd w:id="266"/>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1"/>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公司报告期内未发生接待调研、沟通、采访等活动。</w:t>
      </w:r>
    </w:p>
    <w:p>
      <w:pPr>
        <w:pStyle w:val="Style8"/>
        <w:keepNext/>
        <w:keepLines/>
        <w:widowControl w:val="0"/>
        <w:shd w:val="clear" w:color="auto" w:fill="auto"/>
        <w:bidi w:val="0"/>
        <w:spacing w:before="0" w:line="240" w:lineRule="auto"/>
        <w:ind w:left="0" w:right="0" w:firstLine="0"/>
        <w:jc w:val="center"/>
      </w:pPr>
      <w:bookmarkStart w:id="267" w:name="bookmark267"/>
      <w:bookmarkStart w:id="268" w:name="bookmark268"/>
      <w:bookmarkStart w:id="269" w:name="bookmark269"/>
      <w:r>
        <w:rPr>
          <w:color w:val="000000"/>
          <w:spacing w:val="0"/>
          <w:w w:val="100"/>
          <w:position w:val="0"/>
        </w:rPr>
        <w:t>第五节重要事项</w:t>
      </w:r>
      <w:bookmarkEnd w:id="267"/>
      <w:bookmarkEnd w:id="268"/>
      <w:bookmarkEnd w:id="269"/>
    </w:p>
    <w:p>
      <w:pPr>
        <w:pStyle w:val="Style30"/>
        <w:keepNext/>
        <w:keepLines/>
        <w:widowControl w:val="0"/>
        <w:shd w:val="clear" w:color="auto" w:fill="auto"/>
        <w:bidi w:val="0"/>
        <w:spacing w:before="0" w:after="26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一</w:t>
      </w:r>
      <w:bookmarkEnd w:id="272"/>
      <w:r>
        <w:rPr>
          <w:color w:val="000000"/>
          <w:spacing w:val="0"/>
          <w:w w:val="100"/>
          <w:position w:val="0"/>
        </w:rPr>
        <w:t>、公司普通股利润分配及资本公积金转增股本情况</w:t>
      </w:r>
      <w:bookmarkEnd w:id="270"/>
      <w:bookmarkEnd w:id="271"/>
      <w:bookmarkEnd w:id="273"/>
    </w:p>
    <w:p>
      <w:pPr>
        <w:pStyle w:val="Style21"/>
        <w:keepNext w:val="0"/>
        <w:keepLines w:val="0"/>
        <w:widowControl w:val="0"/>
        <w:shd w:val="clear" w:color="auto" w:fill="auto"/>
        <w:bidi w:val="0"/>
        <w:spacing w:before="0" w:after="140" w:line="311" w:lineRule="exact"/>
        <w:ind w:left="0" w:right="0" w:firstLine="0"/>
        <w:jc w:val="left"/>
      </w:pPr>
      <w:r>
        <w:rPr>
          <w:color w:val="000000"/>
          <w:spacing w:val="0"/>
          <w:w w:val="100"/>
          <w:position w:val="0"/>
        </w:rPr>
        <w:t>报告期内普通股利润分配政策，特别是现金分红政策的制定、执行或调整情况</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报告期内，公司为了充分维护全体股东的利益，严格按照《公司章程》相关利润分配政策和审议程序审议利润分配方案，分 红标准和分红比例明确清晰，相关的决策程序和机制完备。</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日召开第二届董事会第七次定期会议及第二届监事会第十七次定期会议，于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日召开公司</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年度股东大会，审议通过关于公司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年度利润分配预案：以公司现有总股本</w:t>
      </w:r>
      <w:r>
        <w:rPr>
          <w:rFonts w:ascii="Times New Roman" w:eastAsia="Times New Roman" w:hAnsi="Times New Roman" w:cs="Times New Roman"/>
          <w:color w:val="000000"/>
          <w:spacing w:val="0"/>
          <w:w w:val="100"/>
          <w:position w:val="0"/>
          <w:sz w:val="18"/>
          <w:szCs w:val="18"/>
        </w:rPr>
        <w:t>146,666,700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股派 </w:t>
      </w:r>
      <w:r>
        <w:rPr>
          <w:rFonts w:ascii="Times New Roman" w:eastAsia="Times New Roman" w:hAnsi="Times New Roman" w:cs="Times New Roman"/>
          <w:color w:val="000000"/>
          <w:spacing w:val="0"/>
          <w:w w:val="100"/>
          <w:position w:val="0"/>
          <w:sz w:val="18"/>
          <w:szCs w:val="18"/>
        </w:rPr>
        <w:t>0.75</w:t>
      </w:r>
      <w:r>
        <w:rPr>
          <w:color w:val="000000"/>
          <w:spacing w:val="0"/>
          <w:w w:val="100"/>
          <w:position w:val="0"/>
        </w:rPr>
        <w:t>元人民币现金（含税）。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日，公司在巨潮资讯网披露了《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年年度权益分派实施公告》（公告编号：</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031</w:t>
      </w:r>
      <w:r>
        <w:rPr>
          <w:color w:val="000000"/>
          <w:spacing w:val="0"/>
          <w:w w:val="100"/>
          <w:position w:val="0"/>
        </w:rPr>
        <w:t>），权益分派的股权登记日为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日，除权除息日为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w:t>
      </w:r>
    </w:p>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年度利润分配方案严格按照《公司章程》中关于现金分红政策执行，经公司董事会、监事会和股东大会审议通过, 独立董事发表了专项意见，履行了相关决策程序，并在规定的时间内实施，切实保证了全体股东的利益。</w:t>
      </w:r>
    </w:p>
    <w:tbl>
      <w:tblPr>
        <w:tblOverlap w:val="never"/>
        <w:jc w:val="center"/>
        <w:tblLayout w:type="fixed"/>
      </w:tblPr>
      <w:tblGrid>
        <w:gridCol w:w="6778"/>
        <w:gridCol w:w="2808"/>
      </w:tblGrid>
      <w:tr>
        <w:trPr>
          <w:trHeight w:val="408"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公司现金分红政策未调整或变更， 不适用</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5506"/>
        <w:gridCol w:w="408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146,666,700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13,200,003.00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142,590,520.62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bl>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2" w:lineRule="exact"/>
        <w:ind w:left="0" w:right="0" w:firstLine="0"/>
        <w:jc w:val="both"/>
      </w:pPr>
      <w:r>
        <w:rPr>
          <w:color w:val="000000"/>
          <w:spacing w:val="0"/>
          <w:w w:val="100"/>
          <w:position w:val="0"/>
          <w:u w:val="single"/>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u w:val="single"/>
        </w:rPr>
        <w:t>20</w:t>
      </w:r>
      <w:r>
        <w:rPr>
          <w:color w:val="000000"/>
          <w:spacing w:val="0"/>
          <w:w w:val="100"/>
          <w:position w:val="0"/>
          <w:u w:val="single"/>
        </w:rPr>
        <w:t>%</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12" w:lineRule="exact"/>
        <w:ind w:left="0" w:right="0" w:firstLine="0"/>
        <w:jc w:val="center"/>
      </w:pPr>
      <w:r>
        <w:rPr>
          <w:color w:val="000000"/>
          <w:spacing w:val="0"/>
          <w:w w:val="100"/>
          <w:position w:val="0"/>
        </w:rPr>
        <w:t>利润分配或资本公积金转增预案的详细情况说明</w:t>
      </w:r>
    </w:p>
    <w:p>
      <w:pPr>
        <w:pStyle w:val="Style3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日，母公司可供股东分配利润</w:t>
      </w:r>
      <w:r>
        <w:rPr>
          <w:color w:val="000000"/>
          <w:spacing w:val="0"/>
          <w:w w:val="100"/>
          <w:position w:val="0"/>
          <w:sz w:val="18"/>
          <w:szCs w:val="18"/>
        </w:rPr>
        <w:t>142,590,520.62</w:t>
      </w:r>
      <w:r>
        <w:rPr>
          <w:rFonts w:ascii="SimSun" w:eastAsia="SimSun" w:hAnsi="SimSun" w:cs="SimSun"/>
          <w:color w:val="000000"/>
          <w:spacing w:val="0"/>
          <w:w w:val="100"/>
          <w:position w:val="0"/>
          <w:sz w:val="17"/>
          <w:szCs w:val="17"/>
        </w:rPr>
        <w:t>元。</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both"/>
      </w:pPr>
      <w:r>
        <w:rPr>
          <w:color w:val="000000"/>
          <w:spacing w:val="0"/>
          <w:w w:val="100"/>
          <w:position w:val="0"/>
        </w:rPr>
        <w:t>经公司于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日召开第三届董事会第一次定期会议及第三届监事会第一次定期会议审议，同意公司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利润分配预案：公司拟以总股本</w:t>
      </w:r>
      <w:r>
        <w:rPr>
          <w:rFonts w:ascii="Times New Roman" w:eastAsia="Times New Roman" w:hAnsi="Times New Roman" w:cs="Times New Roman"/>
          <w:color w:val="000000"/>
          <w:spacing w:val="0"/>
          <w:w w:val="100"/>
          <w:position w:val="0"/>
          <w:sz w:val="18"/>
          <w:szCs w:val="18"/>
        </w:rPr>
        <w:t>146,666,700</w:t>
      </w:r>
      <w:r>
        <w:rPr>
          <w:color w:val="000000"/>
          <w:spacing w:val="0"/>
          <w:w w:val="100"/>
          <w:position w:val="0"/>
        </w:rPr>
        <w:t>股为基数，向全体股东进行现金分红，每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w:t>
      </w:r>
      <w:r>
        <w:rPr>
          <w:rFonts w:ascii="Times New Roman" w:eastAsia="Times New Roman" w:hAnsi="Times New Roman" w:cs="Times New Roman"/>
          <w:color w:val="000000"/>
          <w:spacing w:val="0"/>
          <w:w w:val="100"/>
          <w:position w:val="0"/>
          <w:sz w:val="18"/>
          <w:szCs w:val="18"/>
        </w:rPr>
        <w:t>0.90</w:t>
      </w:r>
      <w:r>
        <w:rPr>
          <w:color w:val="000000"/>
          <w:spacing w:val="0"/>
          <w:w w:val="100"/>
          <w:position w:val="0"/>
        </w:rPr>
        <w:t>元（含税），共 计分配现金</w:t>
      </w:r>
      <w:r>
        <w:rPr>
          <w:rFonts w:ascii="Times New Roman" w:eastAsia="Times New Roman" w:hAnsi="Times New Roman" w:cs="Times New Roman"/>
          <w:color w:val="000000"/>
          <w:spacing w:val="0"/>
          <w:w w:val="100"/>
          <w:position w:val="0"/>
          <w:sz w:val="18"/>
          <w:szCs w:val="18"/>
        </w:rPr>
        <w:t>13,200,003.00</w:t>
      </w:r>
      <w:r>
        <w:rPr>
          <w:color w:val="000000"/>
          <w:spacing w:val="0"/>
          <w:w w:val="100"/>
          <w:position w:val="0"/>
        </w:rPr>
        <w:t>元（含税），占报告期提取盈余公积后归属于上市公司股东的可分配利润</w:t>
      </w:r>
      <w:r>
        <w:rPr>
          <w:rFonts w:ascii="Times New Roman" w:eastAsia="Times New Roman" w:hAnsi="Times New Roman" w:cs="Times New Roman"/>
          <w:color w:val="000000"/>
          <w:spacing w:val="0"/>
          <w:w w:val="100"/>
          <w:position w:val="0"/>
          <w:sz w:val="18"/>
          <w:szCs w:val="18"/>
        </w:rPr>
        <w:t>41,365,556.51</w:t>
      </w:r>
      <w:r>
        <w:rPr>
          <w:color w:val="000000"/>
          <w:spacing w:val="0"/>
          <w:w w:val="100"/>
          <w:position w:val="0"/>
        </w:rPr>
        <w:t xml:space="preserve">元的 </w:t>
      </w:r>
      <w:r>
        <w:rPr>
          <w:rFonts w:ascii="Times New Roman" w:eastAsia="Times New Roman" w:hAnsi="Times New Roman" w:cs="Times New Roman"/>
          <w:color w:val="000000"/>
          <w:spacing w:val="0"/>
          <w:w w:val="100"/>
          <w:position w:val="0"/>
          <w:sz w:val="18"/>
          <w:szCs w:val="18"/>
        </w:rPr>
        <w:t>31.91%</w:t>
      </w:r>
      <w:r>
        <w:rPr>
          <w:color w:val="000000"/>
          <w:spacing w:val="0"/>
          <w:w w:val="100"/>
          <w:position w:val="0"/>
        </w:rPr>
        <w:t>。剩余未分配利润滚存至下一年度，用于支持公司经营发展。</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7" w:lineRule="exact"/>
        <w:ind w:left="0" w:right="0" w:firstLine="0"/>
        <w:jc w:val="both"/>
      </w:pPr>
      <w:r>
        <w:rPr>
          <w:color w:val="000000"/>
          <w:spacing w:val="0"/>
          <w:w w:val="100"/>
          <w:position w:val="0"/>
        </w:rPr>
        <w:t>上述利润分配政策符合《公司章程》及审议程序的规定，充分保护中小投资者的合法权益，独立董事已发表了同意的独立 意见，尚需提交公司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年度股东大会审议。</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年度报告披露日在巨潮资讯网披露上述事项的相关公告。</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1"/>
        <w:keepNext w:val="0"/>
        <w:keepLines w:val="0"/>
        <w:widowControl w:val="0"/>
        <w:shd w:val="clear" w:color="auto" w:fill="auto"/>
        <w:tabs>
          <w:tab w:pos="323" w:val="left"/>
        </w:tabs>
        <w:bidi w:val="0"/>
        <w:spacing w:before="0" w:after="0" w:line="310" w:lineRule="exact"/>
        <w:ind w:left="0" w:right="0" w:firstLine="0"/>
        <w:jc w:val="both"/>
      </w:pPr>
      <w:bookmarkStart w:id="274" w:name="bookmark274"/>
      <w:r>
        <w:rPr>
          <w:rFonts w:ascii="Times New Roman" w:eastAsia="Times New Roman" w:hAnsi="Times New Roman" w:cs="Times New Roman"/>
          <w:color w:val="000000"/>
          <w:spacing w:val="0"/>
          <w:w w:val="100"/>
          <w:position w:val="0"/>
          <w:sz w:val="18"/>
          <w:szCs w:val="18"/>
        </w:rPr>
        <w:t>1</w:t>
      </w:r>
      <w:bookmarkEnd w:id="27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年度利润分配预案</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根据毕马威华振会计师事务所（特殊普通合伙）为公司出具的《公司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年度审计报告》，报告期内母公司实现净利润 </w:t>
      </w:r>
      <w:r>
        <w:rPr>
          <w:rFonts w:ascii="Times New Roman" w:eastAsia="Times New Roman" w:hAnsi="Times New Roman" w:cs="Times New Roman"/>
          <w:color w:val="000000"/>
          <w:spacing w:val="0"/>
          <w:w w:val="100"/>
          <w:position w:val="0"/>
          <w:sz w:val="18"/>
          <w:szCs w:val="18"/>
        </w:rPr>
        <w:t>24,757,798.19</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日，母公司可供股东分配利润</w:t>
      </w:r>
      <w:r>
        <w:rPr>
          <w:rFonts w:ascii="Times New Roman" w:eastAsia="Times New Roman" w:hAnsi="Times New Roman" w:cs="Times New Roman"/>
          <w:color w:val="000000"/>
          <w:spacing w:val="0"/>
          <w:w w:val="100"/>
          <w:position w:val="0"/>
          <w:sz w:val="18"/>
          <w:szCs w:val="18"/>
        </w:rPr>
        <w:t>142,590,520.6</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元现金（含税）</w:t>
      </w:r>
      <w:r>
        <w:rPr>
          <w:i/>
          <w:iCs/>
          <w:color w:val="000000"/>
          <w:spacing w:val="0"/>
          <w:w w:val="100"/>
          <w:position w:val="0"/>
        </w:rPr>
        <w:t>，</w:t>
      </w:r>
      <w:r>
        <w:rPr>
          <w:color w:val="000000"/>
          <w:spacing w:val="0"/>
          <w:w w:val="100"/>
          <w:position w:val="0"/>
        </w:rPr>
        <w:t>合 计分配现金</w:t>
      </w:r>
      <w:r>
        <w:rPr>
          <w:rFonts w:ascii="Times New Roman" w:eastAsia="Times New Roman" w:hAnsi="Times New Roman" w:cs="Times New Roman"/>
          <w:color w:val="000000"/>
          <w:spacing w:val="0"/>
          <w:w w:val="100"/>
          <w:position w:val="0"/>
          <w:sz w:val="18"/>
          <w:szCs w:val="18"/>
        </w:rPr>
        <w:t>13,200,003.00</w:t>
      </w:r>
      <w:r>
        <w:rPr>
          <w:color w:val="000000"/>
          <w:spacing w:val="0"/>
          <w:w w:val="100"/>
          <w:position w:val="0"/>
        </w:rPr>
        <w:t>元（含税）。</w:t>
      </w:r>
    </w:p>
    <w:p>
      <w:pPr>
        <w:pStyle w:val="Style21"/>
        <w:keepNext w:val="0"/>
        <w:keepLines w:val="0"/>
        <w:widowControl w:val="0"/>
        <w:shd w:val="clear" w:color="auto" w:fill="auto"/>
        <w:tabs>
          <w:tab w:pos="343" w:val="left"/>
        </w:tabs>
        <w:bidi w:val="0"/>
        <w:spacing w:before="0" w:after="0" w:line="310" w:lineRule="exact"/>
        <w:ind w:left="0" w:right="0" w:firstLine="0"/>
        <w:jc w:val="both"/>
      </w:pPr>
      <w:bookmarkStart w:id="275" w:name="bookmark275"/>
      <w:r>
        <w:rPr>
          <w:rFonts w:ascii="Times New Roman" w:eastAsia="Times New Roman" w:hAnsi="Times New Roman" w:cs="Times New Roman"/>
          <w:color w:val="000000"/>
          <w:spacing w:val="0"/>
          <w:w w:val="100"/>
          <w:position w:val="0"/>
          <w:sz w:val="18"/>
          <w:szCs w:val="18"/>
        </w:rPr>
        <w:t>2</w:t>
      </w:r>
      <w:bookmarkEnd w:id="27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根据毕马威华振会计师事务所（特殊普通合伙）为公司出具的《公司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年度审计报告》，报告期内母公司实现净利润 </w:t>
      </w:r>
      <w:r>
        <w:rPr>
          <w:rFonts w:ascii="Times New Roman" w:eastAsia="Times New Roman" w:hAnsi="Times New Roman" w:cs="Times New Roman"/>
          <w:color w:val="000000"/>
          <w:spacing w:val="0"/>
          <w:w w:val="100"/>
          <w:position w:val="0"/>
          <w:sz w:val="18"/>
          <w:szCs w:val="18"/>
        </w:rPr>
        <w:t>14,475,945.9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日，母公司可供股东分配利润</w:t>
      </w:r>
      <w:r>
        <w:rPr>
          <w:rFonts w:ascii="Times New Roman" w:eastAsia="Times New Roman" w:hAnsi="Times New Roman" w:cs="Times New Roman"/>
          <w:color w:val="000000"/>
          <w:spacing w:val="0"/>
          <w:w w:val="100"/>
          <w:position w:val="0"/>
          <w:sz w:val="18"/>
          <w:szCs w:val="18"/>
        </w:rPr>
        <w:t>131,081,237.77</w:t>
      </w:r>
      <w:r>
        <w:rPr>
          <w:color w:val="000000"/>
          <w:spacing w:val="0"/>
          <w:w w:val="100"/>
          <w:position w:val="0"/>
        </w:rPr>
        <w:t>元，以每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股分配现金股利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元现金（含 税）向全体股东现金分红，合计分配股利</w:t>
      </w:r>
      <w:r>
        <w:rPr>
          <w:rFonts w:ascii="Times New Roman" w:eastAsia="Times New Roman" w:hAnsi="Times New Roman" w:cs="Times New Roman"/>
          <w:color w:val="000000"/>
          <w:spacing w:val="0"/>
          <w:w w:val="100"/>
          <w:position w:val="0"/>
          <w:sz w:val="18"/>
          <w:szCs w:val="18"/>
        </w:rPr>
        <w:t>11,000,002.5</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元（含税）。</w:t>
      </w:r>
    </w:p>
    <w:p>
      <w:pPr>
        <w:pStyle w:val="Style21"/>
        <w:keepNext w:val="0"/>
        <w:keepLines w:val="0"/>
        <w:widowControl w:val="0"/>
        <w:shd w:val="clear" w:color="auto" w:fill="auto"/>
        <w:tabs>
          <w:tab w:pos="333" w:val="left"/>
        </w:tabs>
        <w:bidi w:val="0"/>
        <w:spacing w:before="0" w:after="0" w:line="310" w:lineRule="exact"/>
        <w:ind w:left="0" w:right="0" w:firstLine="0"/>
        <w:jc w:val="both"/>
      </w:pPr>
      <w:bookmarkStart w:id="276" w:name="bookmark276"/>
      <w:r>
        <w:rPr>
          <w:rFonts w:ascii="Times New Roman" w:eastAsia="Times New Roman" w:hAnsi="Times New Roman" w:cs="Times New Roman"/>
          <w:color w:val="000000"/>
          <w:spacing w:val="0"/>
          <w:w w:val="100"/>
          <w:position w:val="0"/>
          <w:sz w:val="18"/>
          <w:szCs w:val="18"/>
        </w:rPr>
        <w:t>3</w:t>
      </w:r>
      <w:bookmarkEnd w:id="27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年度利润分配方案</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根据立信会计师事务所（特殊普通合伙）为公司出具的《公司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年度审计报告》，报告期内母公司实现净利润</w:t>
      </w:r>
      <w:r>
        <w:rPr>
          <w:rFonts w:ascii="Times New Roman" w:eastAsia="Times New Roman" w:hAnsi="Times New Roman" w:cs="Times New Roman"/>
          <w:color w:val="000000"/>
          <w:spacing w:val="0"/>
          <w:w w:val="100"/>
          <w:position w:val="0"/>
          <w:sz w:val="18"/>
          <w:szCs w:val="18"/>
        </w:rPr>
        <w:t xml:space="preserve">27,319,096.04 </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日，母公司可供股东分配利润</w:t>
      </w:r>
      <w:r>
        <w:rPr>
          <w:rFonts w:ascii="Times New Roman" w:eastAsia="Times New Roman" w:hAnsi="Times New Roman" w:cs="Times New Roman"/>
          <w:color w:val="000000"/>
          <w:spacing w:val="0"/>
          <w:w w:val="100"/>
          <w:position w:val="0"/>
          <w:sz w:val="18"/>
          <w:szCs w:val="18"/>
        </w:rPr>
        <w:t>128,319,555.46</w:t>
      </w:r>
      <w:r>
        <w:rPr>
          <w:color w:val="000000"/>
          <w:spacing w:val="0"/>
          <w:w w:val="100"/>
          <w:position w:val="0"/>
        </w:rPr>
        <w:t>元，以每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股分配现金股利</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元人民币现金（含税向全 体股东现金分红），合计分配股利</w:t>
      </w:r>
      <w:r>
        <w:rPr>
          <w:rFonts w:ascii="Times New Roman" w:eastAsia="Times New Roman" w:hAnsi="Times New Roman" w:cs="Times New Roman"/>
          <w:color w:val="000000"/>
          <w:spacing w:val="0"/>
          <w:w w:val="100"/>
          <w:position w:val="0"/>
          <w:sz w:val="18"/>
          <w:szCs w:val="18"/>
        </w:rPr>
        <w:t>10,266,669.00</w:t>
      </w:r>
      <w:r>
        <w:rPr>
          <w:color w:val="000000"/>
          <w:spacing w:val="0"/>
          <w:w w:val="100"/>
          <w:position w:val="0"/>
        </w:rPr>
        <w:t>元（含税）。</w:t>
      </w:r>
    </w:p>
    <w:p>
      <w:pPr>
        <w:pStyle w:val="Style21"/>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公司近三年（包括本报告期）普通股现金分红情况表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1430"/>
        <w:gridCol w:w="1195"/>
        <w:gridCol w:w="1195"/>
        <w:gridCol w:w="854"/>
        <w:gridCol w:w="1277"/>
        <w:gridCol w:w="1133"/>
        <w:gridCol w:w="1531"/>
      </w:tblGrid>
      <w:tr>
        <w:trPr>
          <w:trHeight w:val="19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现金分红金额</w:t>
            </w:r>
          </w:p>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（含税）</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 式（如回 购股份） 现金分红 的金额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 额（含其他</w:t>
            </w:r>
          </w:p>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方式）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现金分红总额（含 其他方式）占合并 报表中归属于上市 公司普通股股东的 净利润的比率</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13,200,003.00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43,866,588.22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13,200,003.00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11,000,002.50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36,620,943.28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30.04%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11,000,002.50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10,266,669.00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34,630,772.68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10,266,669.00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w:t>
            </w:r>
          </w:p>
        </w:tc>
      </w:tr>
    </w:tbl>
    <w:p>
      <w:pPr>
        <w:pStyle w:val="Style21"/>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2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rPr>
        <w:t>二</w:t>
      </w:r>
      <w:bookmarkEnd w:id="279"/>
      <w:r>
        <w:rPr>
          <w:color w:val="000000"/>
          <w:spacing w:val="0"/>
          <w:w w:val="100"/>
          <w:position w:val="0"/>
        </w:rPr>
        <w:t>、承诺事项履行情况</w:t>
      </w:r>
      <w:bookmarkEnd w:id="277"/>
      <w:bookmarkEnd w:id="278"/>
      <w:bookmarkEnd w:id="280"/>
    </w:p>
    <w:p>
      <w:pPr>
        <w:pStyle w:val="Style34"/>
        <w:keepNext/>
        <w:keepLines/>
        <w:widowControl w:val="0"/>
        <w:shd w:val="clear" w:color="auto" w:fill="auto"/>
        <w:bidi w:val="0"/>
        <w:spacing w:before="0" w:after="340" w:line="326" w:lineRule="exact"/>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、公司实际控制人、股东、关联方、收购人以及公司等承诺相关方在报告期内履行完毕及截至报告期末 尚未履行完毕的承诺事项</w:t>
      </w:r>
      <w:bookmarkEnd w:id="281"/>
      <w:bookmarkEnd w:id="282"/>
      <w:bookmarkEnd w:id="284"/>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710"/>
        <w:gridCol w:w="566"/>
        <w:gridCol w:w="6096"/>
        <w:gridCol w:w="422"/>
        <w:gridCol w:w="427"/>
        <w:gridCol w:w="50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时间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期限</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履行 情况</w:t>
            </w:r>
          </w:p>
        </w:tc>
      </w:tr>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收购报告 书或权益 变动报告 书中所作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资产重组</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、自发行人股票上市之日起三十六个月内，不转让或者委托他人管理所持有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营集团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的发行人公开发行股份前已发行的股份，也不由发行人回购该等股份；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、发</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行人股票上市后六个月内如公司股票连续二十个交易日的收盘价均低于发行</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240" w:hRule="exact"/>
        </w:trPr>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用名：</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价（发行人股票上市后六个月内如有派息、送股、资本公积金转增股本、增</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r>
              <w:rPr>
                <w:rFonts w:ascii="Times New Roman" w:eastAsia="Times New Roman" w:hAnsi="Times New Roman" w:cs="Times New Roman"/>
                <w:color w:val="000000"/>
                <w:spacing w:val="0"/>
                <w:w w:val="100"/>
                <w:position w:val="0"/>
                <w:sz w:val="18"/>
                <w:szCs w:val="18"/>
              </w:rPr>
              <w:t>-</w:t>
            </w:r>
          </w:p>
        </w:tc>
        <w:tc>
          <w:tcPr>
            <w:vMerge w:val="restart"/>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完毕</w:t>
            </w:r>
          </w:p>
        </w:tc>
      </w:tr>
      <w:tr>
        <w:trPr>
          <w:trHeight w:val="240"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发新股等除权除息事项的，发行价将相应进行调整，下同），或者上市后六个</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vMerge/>
            <w:tcBorders>
              <w:left w:val="single" w:sz="4"/>
              <w:right w:val="single" w:sz="4"/>
            </w:tcBorders>
            <w:shd w:val="clear" w:color="auto" w:fill="FFFFFF"/>
            <w:vAlign w:val="center"/>
          </w:tcPr>
          <w:p>
            <w:pP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066"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远致投 资有限 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月期末收盘价低于发行价，本公司持有发行人股票的锁定期限在原有锁定期 限基础上自动延长六个月。</w:t>
            </w:r>
          </w:p>
        </w:tc>
        <w:tc>
          <w:tcPr>
            <w:tcBorders>
              <w:left w:val="single" w:sz="4"/>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、自发行人股票上市之日起十二个月内，不转让或者委托他人管理本人间接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持有的发行人公开发行股份前已发行的股份，也不由发行人回购该等股份；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发行或再</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、在上述期限届满后，本人在发行人任职期间每年转让直接或间接持有发行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84" w:hRule="exact"/>
        </w:trPr>
        <w:tc>
          <w:tcPr>
            <w:tcBorders>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融资时所</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tabs>
                <w:tab w:pos="4694" w:val="left"/>
              </w:tabs>
              <w:bidi w:val="0"/>
              <w:spacing w:before="0" w:after="0" w:line="240" w:lineRule="auto"/>
              <w:ind w:left="0" w:right="0" w:firstLine="0"/>
              <w:jc w:val="both"/>
            </w:pPr>
            <w:r>
              <w:rPr>
                <w:color w:val="000000"/>
                <w:spacing w:val="0"/>
                <w:w w:val="100"/>
                <w:position w:val="0"/>
              </w:rPr>
              <w:t>人股份不超过本人直接或间接持有建科院股份总数的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、在离职半年</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D3D3D3"/>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虹；刘</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内，本人不转让所直接或间接持有的发行人股份；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、在发行人股票上市之日</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p>
            <w:pPr>
              <w:pStyle w:val="Style27"/>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p>
          <w:p>
            <w:pPr>
              <w:pStyle w:val="Style27"/>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 </w:t>
            </w: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俊跃；</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起六个月内本人申报离职的，自申报离职之日起十八个月内不转让本人直接</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毛洪</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限售</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或间接持有的发行人股份；在建科院股票上市之日起七个月至十二个月之间</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伟；莫</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申报离职的，自申报离职之日起十二个月内本人不转让直接或间接持有的发</w:t>
            </w:r>
          </w:p>
        </w:tc>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行人股份；</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、发行人上市后六个月内如股票连续二十个交易日的收盘价均低</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于发行价，或者上市后六个月期末收盘价低于发行价，上述锁定期限届满后</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98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叶青</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自动延长六个月的锁定期；</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、所持发行人股票在锁定期满后两年内减持的， 其减持价格不低于发行价；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、本人不因职务变更、离职等原因而放弃履行该 承诺。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本公司对发行人的发展前景充满信心，拟长期持有发行人的股份。在股份锁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r>
      <w:tr>
        <w:trPr>
          <w:trHeight w:val="307"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资本运</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减持</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定期满后两年内，本公司无减持所持有的发行人股票的计划。但若出现法律</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年</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r>
            <w:r>
              <w:rPr>
                <w:rFonts w:ascii="Times New Roman" w:eastAsia="Times New Roman" w:hAnsi="Times New Roman" w:cs="Times New Roman"/>
                <w:color w:val="000000"/>
                <w:spacing w:val="0"/>
                <w:w w:val="100"/>
                <w:position w:val="0"/>
                <w:sz w:val="18"/>
                <w:szCs w:val="18"/>
              </w:rPr>
              <w:t>-</w:t>
            </w:r>
          </w:p>
        </w:tc>
        <w:tc>
          <w:tcPr>
            <w:tcBorders>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w:t>
            </w:r>
          </w:p>
        </w:tc>
      </w:tr>
      <w:tr>
        <w:trPr>
          <w:trHeight w:val="35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营集团</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法规、政策变化、自然灾害等自身无法控制的客观原因，本公司需在锁定期</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tc>
        <w:tc>
          <w:tcPr>
            <w:tcBorders>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w:t>
            </w:r>
          </w:p>
        </w:tc>
      </w:tr>
    </w:tbl>
    <w:p>
      <w:pPr>
        <w:widowControl w:val="0"/>
        <w:spacing w:line="1" w:lineRule="exact"/>
      </w:pPr>
      <w:r>
        <w:br w:type="page"/>
      </w:r>
    </w:p>
    <w:tbl>
      <w:tblPr>
        <w:tblOverlap w:val="never"/>
        <w:jc w:val="center"/>
        <w:tblLayout w:type="fixed"/>
      </w:tblPr>
      <w:tblGrid>
        <w:gridCol w:w="859"/>
        <w:gridCol w:w="710"/>
        <w:gridCol w:w="566"/>
        <w:gridCol w:w="6096"/>
        <w:gridCol w:w="422"/>
        <w:gridCol w:w="427"/>
        <w:gridCol w:w="504"/>
      </w:tblGrid>
      <w:tr>
        <w:trPr>
          <w:trHeight w:val="10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满后两年内减持的，减持价格将不低于发行价，并将通过深圳证券交易所竞 价交易系统、大宗交易平台或深圳证券交易所允许的其他转让方式合法转让 发行人股票，实施减持时将提前三个交易日通过发行人予以公告。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建科投 资股份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8" w:lineRule="exact"/>
              <w:ind w:left="0" w:right="0" w:firstLine="0"/>
              <w:jc w:val="left"/>
            </w:pPr>
            <w:r>
              <w:rPr>
                <w:color w:val="000000"/>
                <w:spacing w:val="0"/>
                <w:w w:val="100"/>
                <w:position w:val="0"/>
              </w:rPr>
              <w:t>本公司对发行人的发展前景充满信心，拟长期持有发行人的股份。本公司所 持发行人股票锁定期届满后的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个月内，减持股票数量不超过本公司所持发 行人股票锁定期届满时本公司持有可减持股票数量的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；锁定期届满后的 </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个月内，本公司减持股票数量不超过锁定期届满时本公司持有可减持股票 数量的</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softHyphen/>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完毕</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创新投 资集团 有限公 司；深 圳市英 龙建安</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（集 团）有 限公 司；中 关村发 展集团 股份有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股份</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本公司对发行人的发展前景充满信心，拟长期持有发行人的股份。如因自身 资金需求、实现投资收益、公司股票价格波动等原因，在不违反本公司在本 次公开发行时所作出的公开承诺的前提下，本公司可依法减持发行人公开发 行股票前所持有发行人的股份。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 履行 中</w:t>
            </w: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建筑科 学研究 院股份 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分红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本次发行后的利润分配政策和股东分红回报规划（一）本次发行前滚存利润 分配方案根据公司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年度股东大会审议通过的《关于公司本次发行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 前滚存利润分配方案的议案》，公司首次公开发行股票前的滚存利润由发行后 的新老股东按照发行后的股份比例共享。（二）本次发行后利润分配政策根据 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年度股东大会审议通过的《公司章程（草案）》，公司发行后的利润 分配政策如下：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、基本原则公司应着眼于长远和可持续发展，以股东利益最 大化为公司价值目标，持续采取积极的现金及股票股利分配政策，注重对投 资者回报，切实履行上市公司社会责任，严格按照《公司法》、《证券法》以 及中国证监会、证券交易所有关规定，建立对投资者持续、稳定、科学的回 报机制。公司利润分配应注重对股东的合理投资回报并兼顾公司的持续发 展，主要采取现金分红的方式进行，利润分配政策应保持连续性和稳定性。</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公司当年未分配利润将用于生产经营或者留待以后年度进行分配。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、利润分 配的形式和比例、发放股票股利的条件以及利润分配的期间间隔公司采用现 金、股票、现金与股票相结合或者法律、法规允许的其他方式分配股利，并 优先采用现金方式分配：公司每年以现金形式分配的利润不少于当年实现的 可供分配利润的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，且分配金额不低于按合并会计报表口径计算的当年实 现的可分配利润的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；在完成上述现金股利分配后，若公司未分配利润达 到或超过股本的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时，公司可实施股票股利分配，采用股票股利进行利润 分配的，应当具有公司成长性、每股净资产的摊薄等真实合理因素；除上述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widowControl w:val="0"/>
        <w:spacing w:line="1" w:lineRule="exact"/>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455" w:right="1043" w:bottom="1235" w:left="1046" w:header="0" w:footer="3" w:gutter="0"/>
          <w:cols w:space="720"/>
          <w:noEndnote/>
          <w:titlePg/>
          <w:rtlGutter w:val="0"/>
          <w:docGrid w:linePitch="360"/>
        </w:sectPr>
      </w:pPr>
    </w:p>
    <w:tbl>
      <w:tblPr>
        <w:tblOverlap w:val="never"/>
        <w:jc w:val="center"/>
        <w:tblLayout w:type="fixed"/>
      </w:tblPr>
      <w:tblGrid>
        <w:gridCol w:w="859"/>
        <w:gridCol w:w="710"/>
        <w:gridCol w:w="566"/>
        <w:gridCol w:w="6096"/>
        <w:gridCol w:w="422"/>
        <w:gridCol w:w="427"/>
        <w:gridCol w:w="50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tabs>
                <w:tab w:pos="4450" w:val="left"/>
              </w:tabs>
              <w:bidi w:val="0"/>
              <w:spacing w:before="0" w:after="0" w:line="312" w:lineRule="exact"/>
              <w:ind w:left="0" w:right="0" w:firstLine="0"/>
              <w:jc w:val="both"/>
            </w:pPr>
            <w:r>
              <w:rPr>
                <w:color w:val="000000"/>
                <w:spacing w:val="0"/>
                <w:w w:val="100"/>
                <w:position w:val="0"/>
              </w:rPr>
              <w:t>年度股利分配外，公司可进行中期现金分红。公司发展阶段属成熟期且无重 大资金支出安排的，进行利润分配时，现金分红在该次利润分配中所占比例 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；公司发展阶段属成熟期且有重大资金支出安排的，进行利 润分配时，现金分红在该次利润分配中所占比例最低应达到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；公司发展 阶段属成长期或不易区分且有重大资金支出安排的，进行利润分配时，现金 分红在该次利润分配中所占比例最低应达到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。本条所称重大资金支出指 预计在未来一个会计年度一次性或累计资金支出超过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万元。公司董事</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会未作出现金分配预案的，应当在定期报告中披露原因及留存资金的具体用 途，独立董事应当对此发表独立意见。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、股利分配的决策程序公司在每个会 计年度结束后，由公司董事会提出公司及全资子公司的利润分配议案，董事 会应当认真研究和论证公司现金分红的时机、条件、最低比例、调整的条件 及其决策程序要求等事宜，独立董事可以征集中小股东的意见，提出分红提 案，并直接提交董事会审议，公司董事会在利润分配方案论证过程中，需与 独立董事充分讨论，董事会在考虑对全体股东持续、稳定、科学的回报基础 上，形成利润分配预案；在经公司二分之一以上独立董事同意后，方能提交 公司董事会、监事会审议，并最终提交股东大会审议表决。涉及股利分配相 关议案，公司独立董事可在股东大会召开前向公司社会公众股股东征集其在 股东大会上的投票权，独立董事行使上述职权应当取得全体独立董事的二分 之一以上同意；公司审议利润分配方案时，应为股东提供网络投票方式。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利润分配政策调整程序公司如需调整利润分配政策，调整后的利润分配政策 不得违反中国证监会和证券交易所的有关规定；有关调整利润分配政策的议 案需经二分之一以上独立董事同意后提交董事会、监事会和股东大会批准。 公司审议利润分配政策变更事项时，应为股东提供网络投票方式。（三）上市 后未来三年股利分配规划为明确公司股东分红回报规划，进一步细化《公司 章程》（草案）中利润分配条款，公司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年度股东大会审议通过了《上市 后未来三年股东分红回报规划》对上市后未来三年的股利分配进行了规划， 具体内容如下：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、制定股东回报规划的考虑因素公司着眼于长远和可持续发 展，综合考虑公司盈利情况、经营发展目标、股东回报、社会资金成本及外 部融资环境等因素，建立对投资者持续、稳定、科学的回报规划制度，以保 证股利分配政策的连续性和稳定性。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、制定股东回报规划的原则公司股东回 报规划充分考虑和听取股东（特别是公众投资者）、独立董事和监事的意见， 坚持现金分红为主这一基本原则。</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、股东回报规划审阅与修改程序公司至少 每三年重新审阅一次《股东分红回报规划》，结合股东（特别是公众投资 者）、独立董事和监事的意见对公司正在实施的股利分配政策作出适当且必要 的修改，确定该时段的股东分红回报计划，但公司保证调整后的股东分红回 报计划不得违反公司章程确定的利润分配政策。</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、上市后三年股东分红回报 计划公司利润分配可采取现金、股票、现金与股票相结合或者法律、法规允 许的其他方式。公司盈利年度在满足正常生产经营和重大投资的资金需求情 况下，公司应当采取现金方式分配股利，以现金方式分配的利润不少于当年 实现的可供分配利润的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、利润分配方案的制定及执行公司董事会结 合具体经营数据，充分考虑公司盈利规模、现金流量状况、发展阶段及当期 资金需求，并结合股东（特别是公众投资者）、独立董事和监事的意见，制定 年度或中期分红方案，并经公司股东大会表决通过后实施。在制定现金分红 具体方案时，董事会应当认真研究和论证公司现金分红的时机、条件、最低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9"/>
        <w:gridCol w:w="710"/>
        <w:gridCol w:w="566"/>
        <w:gridCol w:w="6096"/>
        <w:gridCol w:w="422"/>
        <w:gridCol w:w="427"/>
        <w:gridCol w:w="504"/>
      </w:tblGrid>
      <w:tr>
        <w:trPr>
          <w:trHeight w:val="162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比例、调整的条件及其决策程序要求等事宜，独立董事应当发表明确意见。 独立董事可以征集中小股东的意见，提出分红提案，并直接提交董事会审 议。股东大会对现金分红具体方案进行审议前，应当通过多种渠道主动与股 东特别是中小股东进行沟通和交流，充分听取中小股东的意见和诉求，及时 答复中小股东关心的问题。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资本运 营集团 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 争、 关联 交 易、 资金 占用 方面 的承 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（一）关于避免同业竞争的承诺为避免未来可能发生的同业竞争，公司控股 股东远致投资向本公司出具《关于避免同业竞争的承诺函》，向本公司做出如 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、在本承诺函签署之日，本企业不存在且不从事任何与建科院及其 子公司主营业务相同、相似或构成竞争的业务，也未直接或间接经营任何与 建科院及其子公司的主营业务相同、相似或构成竞争的业务；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、自本承诺函 签署之日起，本企业将不以任何方式从事，包括与他人合作直接或间接从事 与建科院及其子公司相同、相似或在任何方面构成竞争的业务；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、自本承诺 函签署之日起，本企业将尽一切可能之努力使本企业其他关联企业不从事与 建科院及其子公司相同、相似或在任何方面构成竞争的业务；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、自本承诺函 签署之日起，本企业不投资控股于业务与建科院及其子公司相同、相似或在 任何方面构成竞争的公司、企业或其他机构、组织；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、自本承诺函签署之日 起，本企业不向其他业务与建科院及其子公司相同、相似或在任何方面构成 竞争的公司、企业或其他机构、组织或个人提供专有技术或提供销售渠道、 客户信息等商业秘密；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、自本承诺函签署之日起，如果未来本企业拟从事的 业务可能与建科院及其子公司存在同业竞争，将本着建科院及其子公司优先 的原则与建科院协商解决；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、不利用建科院的控股股东的地位直接或通过本 企业控制的其他企业以借款、代偿债务、代垫款项或者其他方式占用建科院 资金；若因建科院与本企业控制的其他企业之间的资金往来致使建科院遭受 任何责任或处罚，或因此给建科院造成任何损失的，均由本企业承担全部责 任；</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、在本企业作为建科院股东或关联方期间，本承诺函为有效之承诺。如 上述承诺被证明是不真实或未被遵守，本企业将向建科院赔偿一切直接和间 接损失，并承担相应的法律责任。（二）规范和减少关联交易的措施公司根据</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《公司法》等法律、法规的规定建立了规范、健全的法人治理结构，公司制 定的《公司章程》、《股东大会议事规则》、《董事会议事规则》、《独立董事工 作制度》、《关联交易管理制度》等规章制度，对关联交易的决策权限、决策 程序及信息披露进行了详细的规定，有利于公司规范和减少关联交易，保证 关联交易的公平、公开、公正。此外，本公司控股股东远致投资已向本公司 出具《关于规范关联交易的承诺函》，承诺：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、截至本承诺函出具之日，除 已经披露的情形外，本公司及本公司控制的企业与建科院之间不存在其他关 联交易。本公司将善意履行作为建科院控股股东的义务，不利用控股股东地 位影响建科院的独立性、故意促使建科院对与本公司及本公司控制的其他企 业的任何关联交易采取任何行动、故意促使建科院的股东大会或董事会做出 侵犯其他股东合法权益的决议。如果建科院必须与本公司及本公司控制的其 他企业发生任何关联交易，则本公司承诺将促使上述交易按照公平合理和正 常商业交易的条件进行，本公司及本公司控制的其他企业将不会要求或接受 建科院给予比在任何一项市场公平交易中第三者更优惠的条件。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、本公司及 本公司控制的其他企业将严格和善意地履行与建科院签订的各种关联交易协 议。本公司承诺将不会向建科院谋求任何超出上述协议规定以外的利益或收 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、本公司对上述承诺的真实性及合法性负全部法律责任，如果本公司及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widowControl w:val="0"/>
        <w:spacing w:line="1" w:lineRule="exact"/>
      </w:pPr>
      <w:r>
        <w:br w:type="page"/>
      </w:r>
    </w:p>
    <w:tbl>
      <w:tblPr>
        <w:tblOverlap w:val="never"/>
        <w:jc w:val="center"/>
        <w:tblLayout w:type="fixed"/>
      </w:tblPr>
      <w:tblGrid>
        <w:gridCol w:w="859"/>
        <w:gridCol w:w="710"/>
        <w:gridCol w:w="566"/>
        <w:gridCol w:w="6096"/>
        <w:gridCol w:w="422"/>
        <w:gridCol w:w="427"/>
        <w:gridCol w:w="504"/>
      </w:tblGrid>
      <w:tr>
        <w:trPr>
          <w:trHeight w:val="10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本公司控制的其他企业违反上述声明、保证与承诺，并造成建科院经济损失 的，本公司同意赔偿相应的损失。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、本承诺将持续有效，直至本公司不再作 为建科院的股东。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5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曹翔； 陈泽 广；蓝 虹；林 晓春； 刘俊 跃；刘 丽；毛 洪伟； 莫福 光；邵 顺昌； 深圳市 建筑科 学研究 院股份 有限公 司；深 圳市资 本运营 集团有 限公 司；沈 武；吴 硕贤； 姚培； 叶青； 余庆； 詹辉 轮；郑 学定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IPO</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稳定 股价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（一）稳定股价预案的启动条件公司上市后三年内，如果公司股票收盘价连 续二十个交易日低于上一会计年度经审计的每股净资产（因利润分配、资本 公积金转增股本、增发、配股等除权除息事项导致公司净资产或股份总数发 生变化的，每股净资产进行相应调整，下同），即触及启动稳定股价预案的条 件，公司应在发生上述情形的最后一个交易日起十个交易日内，严格按照</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《公司股票上市后三年内公司股价稳定预案》的规定启动稳定股价措施，向 社会公众股东回购股票。由公司董事会制定具体实施方案并提前三个交易日 公告。（二）稳定股价具体措施公司稳定股价的具体措施为：本公司回购公 司股票，公司控股股东增持公司股票，公司董事和高级管理人员增持公司股 票。股价稳定措施的实施顺序如下：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、第一选择为公司回购股票，但如公司 回购股票将导致公司不满足法定上市条件，则第一选择为控股股东增持公司 股票。公司为稳定股价之目的回购股份，应符合《上市公司回购社会公众股 份管理办法（试行）》等相关法律、法规的规定。公司以要约方式回购股份 的，回购股份价格区间参考公司上一会计年度末经审计的每股净资产并结合 公司当时的财务状况和经营状况决定。公司实施稳定股价议案时，拟用于回 购资金应为自筹资金。单次回购的公司股份数量不超过公司总股本的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并且，公司单次回购总金额不少于人民币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万元，但如果单次回购总金 额不少于人民币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万元的要求将导致单次回购的公司股份数量超过公司 总股本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的，则可以少于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、第二选择为控股股东增持公司 股票。在下列情形之一出现时将启动第二选择：（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）公司无法实施回购股票 或回购股票议案未获得公司股东大会批准；（</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）公司虽实施股票回购计划但 仍未满足公司股票连续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个交易日的收盘价均已高于公司最近一年经审计的 每股净资产之条件。控股股东为稳定股价之目的增持股份，应符合《上市公 司收购管理办法》等相关法律、法规的规定。控股股东单次用于增持股份的 资金金额不低于自公司上市后累计从公司所获得现金分红金额的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；单一 年度用于增持股份的资金不超过自公司上市后累计从公司所获得现金分红金 额的</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。超过上述标准的，有关稳定股价措施在当年度不再继续实施，但 下一年度继续出现需要启动稳定股价措施的情形时，将继续按照上述原则执 行。</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、第三选择为董事（不含独立董事，下同）和高级管理人员增持公司股 票。启动该选择的条件为：控股股东增持股票方案实施完成后，如公司股票 仍未满足公司股票连续</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个交易日的收盘价均已高于公司最近一年经审计的 每股净资产之条件，并且董事和高级管理人员增持公司股票不会致使公司不 满足法定上市条件。公司董事及高级管理人员为稳定股价之目的增持股份， 应符合《上市公司收购管理办法》等相关法律、法规的规定。公司董事及高 级管理人员实施稳定股价议案时，用于增持股份的货币资金不少于董事和高 级管理人员上年度薪酬总和的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，但不超过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。（三）稳定股价措施实 施的具体程序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、公司回购在公司出现应启动稳定股价预案情形，本公司应 在收到通知后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个工作日内启动决策程序，经股东大会决议通过后，依法通 知债权人和履行备案程序。公司将采取深圳证券交易所集中竞价交易方式、 要约等方式回购股份。回购方案实施完毕后，公司应在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个工作日内公告公 司股份变动报告，并在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日内依法注销所回购的股份，办理工商变更登记手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履行 完毕</w:t>
            </w:r>
          </w:p>
        </w:tc>
      </w:tr>
    </w:tbl>
    <w:p>
      <w:pPr>
        <w:widowControl w:val="0"/>
        <w:spacing w:line="1" w:lineRule="exact"/>
      </w:pPr>
      <w:r>
        <w:br w:type="page"/>
      </w:r>
    </w:p>
    <w:tbl>
      <w:tblPr>
        <w:tblOverlap w:val="never"/>
        <w:jc w:val="center"/>
        <w:tblLayout w:type="fixed"/>
      </w:tblPr>
      <w:tblGrid>
        <w:gridCol w:w="859"/>
        <w:gridCol w:w="710"/>
        <w:gridCol w:w="566"/>
        <w:gridCol w:w="6096"/>
        <w:gridCol w:w="422"/>
        <w:gridCol w:w="427"/>
        <w:gridCol w:w="504"/>
      </w:tblGrid>
      <w:tr>
        <w:trPr>
          <w:trHeight w:val="942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续。公司回购股份议案需经董事会、股东大会决议通过，其中股东大会须经 出席会议的股东所持表决权的三分之二以上通过。公司董事承诺就该等回购 事宜在董事会中投赞成票；控股股东承诺就该等回购事宜在股东大会中投赞 成票。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、控股股东增持在公司出现应启动预案情形时，公司控股股东应在 收到通知后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个工作日内启动内部决策程序，就其是否有增持公司股票的具 体计划书面通知公司并由公司进行公告，公告应披露拟增持的数量范围、价 格区间、总金额、完成时间等信息。增持方案实施完毕后，公司应在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个工 作日内公告公司股份变动报告。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、董事及高级管理人员增持在公司出现应 启动预案情形时，公司董事及高级管理人员应在收到通知后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个工作日内， 就其是否有增持公司股票的具体计划书面通知公司并由公司进行公告，公告 应披露拟增持的数量范围、价格区间、总金额、完成时间等信息。增持方案 实施完毕后，公司应在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个工作日内公告公司股份变动报告。公司董事及高 级管理人员应根据预案的规定签署相关承诺。公司上市后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年内拟新聘任董 事和高级管理人员时，公司将促使该新聘任的董事和高级管理人员根据预案 的规定签署相关承诺。（四）股价稳定预案未实施的约束机制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、本公司自愿 接受主管机关对其上述股价稳定措施的制定、实施等进行监督，并承担法律 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、如公司控股股东违反预案及相关承诺函所述义务的，公司有权将控 股股东应履行其增持义务相等金额的应付控股股东现金分红予以截留，直至 控股股东履行其增持义务；如已经连续两次以上存在上述情形时，则公司可 将与控股股东履行其增持义务相等金额的应付控股股东现金分红予以截留用 于股份回购计划，控股股东丧失对相应金额现金分红的追索权。对于应当截 留应付控股股东的现金分红，公司董事（包括独立董事）、高级管理人员应当 敦促公司按时足额截留，未履行敦促义务的董事（包括独立董事）、高级管理 人员应当向中小股东承担赔偿责任，中小股东有权向人民法院提起诉讼；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如公司董事、高级管理人员违反预案及相关承诺函所述义务的公司有权将其 履行增持义务相等金额的工资薪酬（仅包括其在公司领取的工资薪酬扣除当 地最低工资标准后的部分）代其履行增持义务；如个人在任职期间连续两次 以上未能主动履行其增持义务，由控股股东或董事会、监事会、半数以上的 独立董事提请股东大会同意更换相关董事，由公司董事会解聘相关高级管理 人员。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北京德 恒律师 事务 所；立 信会计 师事务 所（特 殊普通 合伙）； 申万宏 源证券 承销保 荐有限 责任公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保荐机构申万宏源承诺：因发行人招股说明书及其他信息披露资料有虚假记 载、误导性陈述或者重大遗漏，致使投资者在证券发行和交易中遭受损失 的，将先行赔偿投资者损失。因本机构为发行人首次公开发行制作、出具的 文件有虚假记载、误导性陈述或者重大遗漏，给投资者造成损失的，将先行 赔偿投资者损失。律师事务所德恒律师承诺：由于本所为发行人首次公开发 行制作、出具的文件有虚假记载、误导性陈述或者重大遗漏，给投资者造成 损失的，本所将依法赔偿投资者损失。会计师事务所立信会计师承诺：因本 所为发行人首次公开发行制作、出具的文件有虚假记载、误导性陈述或者重 大遗漏，给投资者造成损失的，将依法赔偿投资者损失。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widowControl w:val="0"/>
        <w:spacing w:line="1" w:lineRule="exact"/>
      </w:pPr>
      <w:r>
        <w:br w:type="page"/>
      </w:r>
    </w:p>
    <w:tbl>
      <w:tblPr>
        <w:tblOverlap w:val="never"/>
        <w:jc w:val="center"/>
        <w:tblLayout w:type="fixed"/>
      </w:tblPr>
      <w:tblGrid>
        <w:gridCol w:w="917"/>
        <w:gridCol w:w="710"/>
        <w:gridCol w:w="566"/>
        <w:gridCol w:w="6096"/>
        <w:gridCol w:w="422"/>
        <w:gridCol w:w="427"/>
        <w:gridCol w:w="566"/>
      </w:tblGrid>
      <w:tr>
        <w:trPr>
          <w:trHeight w:val="37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建筑科 学研究 院股份 有限公 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关于填补本次发行股票被摊薄即期回报的措施与承诺为降低本次公开发行股 票对公司即期回报摊薄的风险，公司拟通过大力发展主营业务、加强募集资 金管理、加快募投项目投资进度、加大市场开拓力度、加强内部控制、强化 投资者回报机制等措施，提高公司整体市场竞争力和盈利能力，以填补被摊 薄即期回报。（一）公司现有业务板块运营状况、发展态势，面临的主要风险 及改进措施：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公司现有业务板块面临的主要风险及改进措施目前，公司现 有业务板块面临的主要风险包括业务创新和产能扩展不能快速响应市场需 求、应收账款较大等方面，针对上述风险公司制定的改进措施如下：（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）业 务创新和产能扩展不能快速响应市场需求的风险的应对措施；一是持续提升 公司绿色技术服务业务。公司继续通过技术提升（如</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技术应用研 究）、推进信息化项目管理平台和知识管理库的建设加强现有生态规划和绿色 设计、咨询业务的生产效率和产能增长。二是积极孵化绿色综合运营服务业 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DOT</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DOT</w:t>
            </w:r>
            <w:r>
              <w:rPr>
                <w:color w:val="000000"/>
                <w:spacing w:val="0"/>
                <w:w w:val="100"/>
                <w:position w:val="0"/>
              </w:rPr>
              <w:t>业务是公司探索针对绿色建筑、绿色园区、绿色社区 等全方位创新性业务。由于绿色建筑的绿色不但体现在设计阶段，更重要体 现在运营阶段。公司利用自身在绿色技术服务的积累为客户提供绿色建筑、 绿色园区、绿色社区园设计、运营一体化服务，实现技术服务和收益的延 伸，同时以绿色技术平台为核心，开展面对产业的技术孵化服务和产业聚集 服务（绿色办公、实验平台、数据中心的租赁和服务，行业交流和交易推广 服务，技术和产品的技术认证和测评服务，项目或企业的综合孵化服务等）， 实现跨界服务和收益多元性。</w:t>
            </w:r>
            <w:r>
              <w:rPr>
                <w:rFonts w:ascii="Times New Roman" w:eastAsia="Times New Roman" w:hAnsi="Times New Roman" w:cs="Times New Roman"/>
                <w:color w:val="000000"/>
                <w:spacing w:val="0"/>
                <w:w w:val="100"/>
                <w:position w:val="0"/>
                <w:sz w:val="18"/>
                <w:szCs w:val="18"/>
              </w:rPr>
              <w:t>DOT</w:t>
            </w:r>
            <w:r>
              <w:rPr>
                <w:color w:val="000000"/>
                <w:spacing w:val="0"/>
                <w:w w:val="100"/>
                <w:position w:val="0"/>
              </w:rPr>
              <w:t>业务主要分为项目启动立项、策划规划、 设计总包管理、建设管理、园区运营和移交等阶段。公司将在上海钢琴厂低 碳化升级改造及运营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DOT</w:t>
            </w:r>
            <w:r>
              <w:rPr>
                <w:color w:val="000000"/>
                <w:spacing w:val="0"/>
                <w:w w:val="100"/>
                <w:position w:val="0"/>
              </w:rPr>
              <w:t>）</w:t>
            </w:r>
            <w:r>
              <w:rPr>
                <w:color w:val="000000"/>
                <w:spacing w:val="0"/>
                <w:w w:val="100"/>
                <w:position w:val="0"/>
              </w:rPr>
              <w:t>项目、深圳国际低碳城会展中心绿色运营项目 等试点项目的实践和研究基础上，加快</w:t>
            </w:r>
            <w:r>
              <w:rPr>
                <w:rFonts w:ascii="Times New Roman" w:eastAsia="Times New Roman" w:hAnsi="Times New Roman" w:cs="Times New Roman"/>
                <w:color w:val="000000"/>
                <w:spacing w:val="0"/>
                <w:w w:val="100"/>
                <w:position w:val="0"/>
                <w:sz w:val="18"/>
                <w:szCs w:val="18"/>
              </w:rPr>
              <w:t>DOT</w:t>
            </w:r>
            <w:r>
              <w:rPr>
                <w:color w:val="000000"/>
                <w:spacing w:val="0"/>
                <w:w w:val="100"/>
                <w:position w:val="0"/>
              </w:rPr>
              <w:t>业务模式的探索和扩展，在全 国</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大重点地区实现项目落地。三是加快</w:t>
            </w:r>
            <w:r>
              <w:rPr>
                <w:rFonts w:ascii="Times New Roman" w:eastAsia="Times New Roman" w:hAnsi="Times New Roman" w:cs="Times New Roman"/>
                <w:color w:val="000000"/>
                <w:spacing w:val="0"/>
                <w:w w:val="100"/>
                <w:position w:val="0"/>
                <w:sz w:val="18"/>
                <w:szCs w:val="18"/>
              </w:rPr>
              <w:t>B2C</w:t>
            </w:r>
            <w:r>
              <w:rPr>
                <w:color w:val="000000"/>
                <w:spacing w:val="0"/>
                <w:w w:val="100"/>
                <w:position w:val="0"/>
              </w:rPr>
              <w:t>模式的绿色技术服务业务的拓 展。公信服务业务是基于绿色环保理念的服务模式，针对公众客户开展绿色 人居环境技术服务的</w:t>
            </w:r>
            <w:r>
              <w:rPr>
                <w:rFonts w:ascii="Times New Roman" w:eastAsia="Times New Roman" w:hAnsi="Times New Roman" w:cs="Times New Roman"/>
                <w:color w:val="000000"/>
                <w:spacing w:val="0"/>
                <w:w w:val="100"/>
                <w:position w:val="0"/>
                <w:sz w:val="18"/>
                <w:szCs w:val="18"/>
              </w:rPr>
              <w:t>B2B2C</w:t>
            </w:r>
            <w:r>
              <w:rPr>
                <w:color w:val="000000"/>
                <w:spacing w:val="0"/>
                <w:w w:val="100"/>
                <w:position w:val="0"/>
              </w:rPr>
              <w:t>模式，基于第三方测评和技术顾问，把健康、环 保、优质的产品和服务推荐给最需要的客户和消费者。公司将以技术平台、 实验平台、行业资源平台为支撑，建设</w:t>
            </w:r>
            <w:r>
              <w:rPr>
                <w:rFonts w:ascii="Times New Roman" w:eastAsia="Times New Roman" w:hAnsi="Times New Roman" w:cs="Times New Roman"/>
                <w:color w:val="000000"/>
                <w:spacing w:val="0"/>
                <w:w w:val="100"/>
                <w:position w:val="0"/>
                <w:sz w:val="18"/>
                <w:szCs w:val="18"/>
              </w:rPr>
              <w:t>B2B2C</w:t>
            </w:r>
            <w:r>
              <w:rPr>
                <w:color w:val="000000"/>
                <w:spacing w:val="0"/>
                <w:w w:val="100"/>
                <w:position w:val="0"/>
              </w:rPr>
              <w:t>业务运营平台和渠道，建立网 络门户平台，为公众客户提供具有第三方公信力的技术服务，形成新的业务 增长点。（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）应收账款的风险及改进措施报告期各期末，公司应收账款账面 价值较大。未来随着公司销售规模的扩大，应收账款可能继续增加，将给公 司带来较大的营运资金压力和一定的经营风险。为了应对上述风险，公司拟 紧密关注外部环境变化趋势，做好相关决策工作，加强客户信用和财务风险 评估，加大应收账款控制力度，保障资产安全；充分利用财务政策，加速货 款回笼。（二）加快公司募投项目建设，提高日常运营效率，降低公司运营成 本，提升公司经营业绩的措施：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加强募集资金管理，加快募投项目投资 进度；公司制定了《募集资金使用管理办法》，实行募集资金专户存储制度， 公司募集资金存放于董事会决定的专项账户集中管理，保证募集资金的安全 性和专用性，做到专款专用。本次发行募集资金到位后，公司将加快推进募 集资金投资项目建设，争取募投项目早日达产并实现预期效益。募集资金到 位前，为把握市场机会以及满足生产经营需要，公司将通过多种渠道积极筹 措资金，先行投入建设募集资金投资项目，争取尽早实现项目预期收益，增 强股东回报。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加大市场开拓力度：（</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）公司继续深化营销体系改革，强化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9"/>
        <w:gridCol w:w="710"/>
        <w:gridCol w:w="566"/>
        <w:gridCol w:w="6096"/>
        <w:gridCol w:w="422"/>
        <w:gridCol w:w="427"/>
        <w:gridCol w:w="504"/>
      </w:tblGrid>
      <w:tr>
        <w:trPr>
          <w:trHeight w:val="1376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大客户和区域营销机制，加大经营授权，逐步推行针对产品和特定客户的事 业部机制；（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）结合</w:t>
            </w:r>
            <w:r>
              <w:rPr>
                <w:rFonts w:ascii="Times New Roman" w:eastAsia="Times New Roman" w:hAnsi="Times New Roman" w:cs="Times New Roman"/>
                <w:color w:val="000000"/>
                <w:spacing w:val="0"/>
                <w:w w:val="100"/>
                <w:position w:val="0"/>
                <w:sz w:val="18"/>
                <w:szCs w:val="18"/>
              </w:rPr>
              <w:t>DOT</w:t>
            </w:r>
            <w:r>
              <w:rPr>
                <w:color w:val="000000"/>
                <w:spacing w:val="0"/>
                <w:w w:val="100"/>
                <w:position w:val="0"/>
              </w:rPr>
              <w:t>业务的拓展和公信检测基地建设，完成全国</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大 区域市场营销和营运平台建设，提高区域市场属地化生产服务。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加强内 部控制，提升运营效率和盈利能力公司将全面推行''乐活工社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在平台上实 现项目全过程管理，对项目实行工作任务分解。员工在乐活平台上公开竞 包，自我管理工作时间和薪酬兑现，激励员工工作积极性。同时通过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乐活工 社''平台实现对员工的工作贡献的量化评价，推行基于员工贡献值的特别激励 制度。</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完善利润分配制度，强化投资者回报机制公司已根据中国证监会 发布的《关于进一步落实上市公司现金分红有关事项的通知》（证监发</w:t>
            </w:r>
          </w:p>
          <w:p>
            <w:pPr>
              <w:pStyle w:val="Style27"/>
              <w:keepNext w:val="0"/>
              <w:keepLines w:val="0"/>
              <w:widowControl w:val="0"/>
              <w:shd w:val="clear" w:color="auto" w:fill="auto"/>
              <w:tabs>
                <w:tab w:pos="610"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号）及《上市公司监管指引第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上市公司现金分红》等项规</w:t>
            </w:r>
          </w:p>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定，制订了上市后适用的《深圳市建筑科学研究院股份有限公司章程（草 案）》，就利润分配政策尤其是现金分红政策的相关事项进行了明确规定，并 制定了《深圳市建筑科学研究院股份有限公司长期分红回报规划》，充分维护 上市后公司全体股东依法享有的现金分红等资产收益权利，提升公司未来回 报能力。</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公司承诺将根据中国证监会、深圳证券交易所后续出台的实施 细则，持续完善填补被摊薄即期回报的各项措施。上述填补回报措施不等于 对公司未来利润做出保证。就填补回报措施，公司控股股东作出如下承诺：</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）本公司承诺不得越权干预公司经营管理活动，不得侵占公司利益；（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在中国证监会、深圳证券交易所另行发布摊薄即期填补回报措施及其承诺的 相关意见及实施细则后，如果公司的相关规定及本公司承诺与该等规定不符 时，本公司承诺将立即按照中国证监会及深圳证券交易所的规定出具补充承 诺，并积极推进公司作出新的规定，以符合中国证监会及深圳证券交易所的 要求；（</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）本公司承诺全面、完整、及时履行公司制定的有关填补回报措施 以及本公司对此作出的任何有关填补回报措施的承诺。若本公司违反该等承 诺，给公司或者其他股东造成损失的，本公司愿意：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）在股东大会及中国证 监会指定报刊公开作出解释并道歉；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）依法承担对公司和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或其他股东的补 偿责任；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）无条件接受中国证监会和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或深圳证券交易所等证券监管机构按 照其制定或发布的有关规定、规则，对本公司作出的处罚或采取的相关监管 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公司全体董事、高级管理人员作出如下承诺：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）承诺不得无偿或 以不公平条件向其他单位或者个人输送利益，也不得采用其他方式损害公司 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）承诺对本人的职务消费行为进行约束，必要的职务消费行为应低 于平均水平；（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）承诺不得动用公司资产从事与本人履行职责无关的投资、 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）承诺积极推动公司薪酬制度的完善，使之更符合摊薄即期填 补回报的要求；支持公司董事会或薪酬与考核委员会在制订、修改补充公司 的薪酬制度时与公司填补回报措施的执行情况相挂钩，并在董事会上对相关 议案投赞成票；（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）承诺在推动公司股权激励（如有）时，应使股权激励行 权条件与公司填补回报措施的执行情况相挂钩，并在董事会上对相关议案投 赞成票；（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）在中国证监会、深圳证券交易所另行发布摊薄即期填补回报措 施及其承诺的相关意见及实施细则后，如果公司的相关规定及本人承诺与该 等规定不符时，本人承诺将立即按照中国证监会及深圳证券交易所的规定出 具补充承诺，并积极推进公司作出新的规定，以符合中国证监会及深圳证券 交易所的要求；（</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）本人承诺全面、完整、及时履行公司制定的有关填补回 报措施以及本人对此作出的任何有关填补回报措施的承诺。若本人违反该等 承诺，给公司或者股东造成损失的，本人愿意：</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）在股东大会及中国证监会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59"/>
        <w:gridCol w:w="710"/>
        <w:gridCol w:w="566"/>
        <w:gridCol w:w="6096"/>
        <w:gridCol w:w="422"/>
        <w:gridCol w:w="427"/>
        <w:gridCol w:w="504"/>
      </w:tblGrid>
      <w:tr>
        <w:trPr>
          <w:trHeight w:val="100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both"/>
            </w:pPr>
            <w:r>
              <w:rPr>
                <w:color w:val="000000"/>
                <w:spacing w:val="0"/>
                <w:w w:val="100"/>
                <w:position w:val="0"/>
              </w:rPr>
              <w:t>指定报刊公开作出解释并道歉；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）依法承担对公司和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或股东的补偿责任；</w:t>
            </w:r>
          </w:p>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）无条件接受中国证监会和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或深圳证券交易所等证券监管机构按照其制定 或发布的有关规定、规则，对本人作出的处罚或采取的相关监管措施。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建筑科 学研究 院股份 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若本公司招股说明书有虚假记载、误导性陈述或者重大遗漏，对判断本公司 是否符合法律规定的发行条件构成重大、实质影响的，公司将依法回购首次 公开发行的全部新股，回购价格不低于公司首次公开发行股份的发行价，期 间公司如有派发股利、送股、转增股本等除权除息事项，上述价格相应调 整，并在有权部门作出行政处罚或人民法院作出相关判决之日起启动回购决 策程序，在公司股东大会决议做出之日起次日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个交易日内实施完毕。若本 公司招股说明书有虚假记载、误导性陈述或者重大遗漏，致使投资者在证券 交易中遭受损失的，本公司将依法赔偿投资者损失。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 人民政 府国有 资产监 督管理 委员 会；深 圳市资 本运营 集团有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公司实际控制人深圳市国资委承诺：远致投资作为发行人的控股股东，已就 发行人上市招股说明书事宜作出公开承诺。如经中国证监会等有权监管机构 或司法机构认定，发行人上市的招股说明书有虚假记载、误导性陈述或者重 大遗漏，导致对判断发行人是否符合法律规定的发行条件构成实质影响的， 或者致使投资者在证券交易中遭受损失并因此触发发行人回购首次公开发行 的全部新股责任的，或者触发发行人控股股东、董事、监事和高级管理人员 的赔偿责任的，我委将依法督促发行人及远致公司履行相关义务并承担相关 责任。公司控股股东远致投资承诺：因发行人招股说明书有虚假记载、误导 性陈述或者重大遗漏，致使投资者在证券交易中遭受损失的，本公司将依法 赔偿投资者损失。因发行人招股说明书有虚假记载、误导性陈述或重大遗 漏，对判断发行人是否符合法律规定的发行条件构成重大、实质影响，并已 由有权部门作出行政处罚或人民法院作出相关判决的，本公司利用发行人控 股股东地位，促使发行人依法回购首次公开发行的全部新股，同时本公司将 按照二级市场的价格依法购回已转让的原限售股份。本公司购回股票时将依 照《公司法》、《证券法》、中国证监会和深圳证券交易所的相关规定以及《公 司章程》执行。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曹翔； 陈泽 广；蓝 虹；林 晓春； 刘俊 跃；刘 丽；毛 洪伟； 莫福 光；邵 顺昌； 沈武； 吴硕 贤；姚 培；叶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发行人招股说明书有虚假记载、误导性陈述或重大遗漏，致使投资者在证券 交易中遭受损失的，发行人董事、监事、高级管理人员将依法赔偿投资者损 失。</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w:t>
            </w:r>
          </w:p>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9999</w:t>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w:t>
              <w:softHyphen/>
            </w:r>
          </w:p>
          <w:p>
            <w:pPr>
              <w:pStyle w:val="Style27"/>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正常 履行 中</w:t>
            </w:r>
          </w:p>
        </w:tc>
      </w:tr>
    </w:tbl>
    <w:p>
      <w:pPr>
        <w:widowControl w:val="0"/>
        <w:spacing w:line="1" w:lineRule="exact"/>
      </w:pPr>
      <w:r>
        <w:br w:type="page"/>
      </w:r>
    </w:p>
    <w:tbl>
      <w:tblPr>
        <w:tblOverlap w:val="never"/>
        <w:jc w:val="center"/>
        <w:tblLayout w:type="fixed"/>
      </w:tblPr>
      <w:tblGrid>
        <w:gridCol w:w="859"/>
        <w:gridCol w:w="710"/>
        <w:gridCol w:w="566"/>
        <w:gridCol w:w="6096"/>
        <w:gridCol w:w="422"/>
        <w:gridCol w:w="427"/>
        <w:gridCol w:w="504"/>
      </w:tblGrid>
      <w:tr>
        <w:trPr>
          <w:trHeight w:val="13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青；余 庆；詹 辉轮； 郑学定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股权激励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 司中小股 东所作承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承诺是否 按时履行</w:t>
            </w:r>
          </w:p>
        </w:tc>
        <w:tc>
          <w:tcPr>
            <w:gridSpan w:val="6"/>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21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如承诺超 期未履行 完毕的， 应当详细 说明未完 成履行的 具体原因 及下一步 的工作计 划</w:t>
            </w:r>
          </w:p>
        </w:tc>
        <w:tc>
          <w:tcPr>
            <w:gridSpan w:val="6"/>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4"/>
        <w:keepNext/>
        <w:keepLines/>
        <w:widowControl w:val="0"/>
        <w:shd w:val="clear" w:color="auto" w:fill="auto"/>
        <w:bidi w:val="0"/>
        <w:spacing w:before="0" w:line="322" w:lineRule="exact"/>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、公司资产或项目存在盈利预测，且报告期仍处在盈利预测期间，公司就资产或项目达到原盈利预测及 其原因做出说明</w:t>
      </w:r>
      <w:bookmarkEnd w:id="285"/>
      <w:bookmarkEnd w:id="286"/>
      <w:bookmarkEnd w:id="288"/>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w:t>
        <w:tab/>
        <w:t>控股股东及其关联方对上市公司的非经营性占用资金情况</w:t>
      </w:r>
      <w:bookmarkEnd w:id="289"/>
      <w:bookmarkEnd w:id="290"/>
      <w:bookmarkEnd w:id="292"/>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30"/>
        <w:keepNext/>
        <w:keepLines/>
        <w:widowControl w:val="0"/>
        <w:shd w:val="clear" w:color="auto" w:fill="auto"/>
        <w:tabs>
          <w:tab w:pos="522" w:val="left"/>
        </w:tabs>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93"/>
      <w:bookmarkEnd w:id="294"/>
      <w:bookmarkEnd w:id="296"/>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both"/>
      </w:pPr>
      <w:bookmarkStart w:id="297" w:name="bookmark297"/>
      <w:bookmarkStart w:id="298" w:name="bookmark298"/>
      <w:bookmarkStart w:id="299" w:name="bookmark299"/>
      <w:bookmarkStart w:id="300" w:name="bookmark300"/>
      <w:r>
        <w:rPr>
          <w:color w:val="000000"/>
          <w:spacing w:val="0"/>
          <w:w w:val="100"/>
          <w:position w:val="0"/>
        </w:rPr>
        <w:t>五</w:t>
      </w:r>
      <w:bookmarkEnd w:id="299"/>
      <w:r>
        <w:rPr>
          <w:color w:val="000000"/>
          <w:spacing w:val="0"/>
          <w:w w:val="100"/>
          <w:position w:val="0"/>
        </w:rPr>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97"/>
      <w:bookmarkEnd w:id="298"/>
      <w:bookmarkEnd w:id="300"/>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六</w:t>
      </w:r>
      <w:bookmarkEnd w:id="303"/>
      <w:r>
        <w:rPr>
          <w:color w:val="000000"/>
          <w:spacing w:val="0"/>
          <w:w w:val="100"/>
          <w:position w:val="0"/>
        </w:rPr>
        <w:t>、董事会关于报告期会计政策、会计估计变更或重大会计差错更正的说明</w:t>
      </w:r>
      <w:bookmarkEnd w:id="301"/>
      <w:bookmarkEnd w:id="302"/>
      <w:bookmarkEnd w:id="304"/>
    </w:p>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财政部印发的《企业会计准则第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号一一收入》（财会〔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号），对公司报告期内会计政策将产生影响。经公司第 二届董事会第十六次临时会议、第二届监事会第十六次临时会议审议，公司根据上述文件的相关规定，相应变更公司会计 政策。</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其余未变更部分仍执行财政部前期颁布的《企业会计准则</w:t>
      </w:r>
      <w:r>
        <w:rPr>
          <w:color w:val="000000"/>
          <w:spacing w:val="0"/>
          <w:w w:val="100"/>
          <w:position w:val="0"/>
        </w:rPr>
        <w:t>一</w:t>
      </w:r>
      <w:r>
        <w:rPr>
          <w:color w:val="000000"/>
          <w:spacing w:val="0"/>
          <w:w w:val="100"/>
          <w:position w:val="0"/>
        </w:rPr>
        <w:t>基本准则》和各项具体会计准则、企业会计准则应用指南、 企业会计准则解释公告以及其他相关规定。</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报告期内公司无会计估计变更或重大会计差错。</w:t>
      </w:r>
    </w:p>
    <w:p>
      <w:pPr>
        <w:pStyle w:val="Style30"/>
        <w:keepNext/>
        <w:keepLines/>
        <w:widowControl w:val="0"/>
        <w:shd w:val="clear" w:color="auto" w:fill="auto"/>
        <w:tabs>
          <w:tab w:pos="522" w:val="left"/>
        </w:tabs>
        <w:bidi w:val="0"/>
        <w:spacing w:before="0" w:after="38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七</w:t>
      </w:r>
      <w:bookmarkEnd w:id="307"/>
      <w:r>
        <w:rPr>
          <w:color w:val="000000"/>
          <w:spacing w:val="0"/>
          <w:w w:val="100"/>
          <w:position w:val="0"/>
        </w:rPr>
        <w:t>、</w:t>
        <w:tab/>
        <w:t>与上年度财务报告相比，合并报表范围发生变化的情况说明</w:t>
      </w:r>
      <w:bookmarkEnd w:id="305"/>
      <w:bookmarkEnd w:id="306"/>
      <w:bookmarkEnd w:id="308"/>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380" w:line="319" w:lineRule="exact"/>
        <w:ind w:left="0" w:right="0" w:firstLine="0"/>
        <w:jc w:val="left"/>
      </w:pPr>
      <w:r>
        <w:rPr>
          <w:color w:val="000000"/>
          <w:spacing w:val="0"/>
          <w:w w:val="100"/>
          <w:position w:val="0"/>
        </w:rPr>
        <w:t>报告期内纳入合并范围的子公司共</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家，新增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日投资设立全资子公司湾区（深圳）城市规划设计 有限公司（注册资本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万元）和湾区（深圳）绿色技术有限公司（注册资本</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万元），持股比例均为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，均纳入财务 报表合并范围。</w:t>
      </w:r>
    </w:p>
    <w:p>
      <w:pPr>
        <w:pStyle w:val="Style30"/>
        <w:keepNext/>
        <w:keepLines/>
        <w:widowControl w:val="0"/>
        <w:shd w:val="clear" w:color="auto" w:fill="auto"/>
        <w:tabs>
          <w:tab w:pos="522" w:val="left"/>
        </w:tabs>
        <w:bidi w:val="0"/>
        <w:spacing w:before="0" w:after="380" w:line="240" w:lineRule="auto"/>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八</w:t>
      </w:r>
      <w:bookmarkEnd w:id="311"/>
      <w:r>
        <w:rPr>
          <w:color w:val="000000"/>
          <w:spacing w:val="0"/>
          <w:w w:val="100"/>
          <w:position w:val="0"/>
        </w:rPr>
        <w:t>、</w:t>
        <w:tab/>
        <w:t>聘任、解聘会计师事务所情况</w:t>
      </w:r>
      <w:bookmarkEnd w:id="309"/>
      <w:bookmarkEnd w:id="310"/>
      <w:bookmarkEnd w:id="312"/>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陈泳意、刘琬婷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陈泳意</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年，刘琬婷</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13" w:name="bookmark313"/>
      <w:bookmarkStart w:id="314" w:name="bookmark314"/>
      <w:bookmarkStart w:id="315" w:name="bookmark315"/>
      <w:bookmarkStart w:id="316" w:name="bookmark316"/>
      <w:r>
        <w:rPr>
          <w:color w:val="000000"/>
          <w:spacing w:val="0"/>
          <w:w w:val="100"/>
          <w:position w:val="0"/>
        </w:rPr>
        <w:t>九</w:t>
      </w:r>
      <w:bookmarkEnd w:id="315"/>
      <w:r>
        <w:rPr>
          <w:color w:val="000000"/>
          <w:spacing w:val="0"/>
          <w:w w:val="100"/>
          <w:position w:val="0"/>
        </w:rPr>
        <w:t>、年度报告披露后面临退市情况</w:t>
      </w:r>
      <w:bookmarkEnd w:id="313"/>
      <w:bookmarkEnd w:id="314"/>
      <w:bookmarkEnd w:id="316"/>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17" w:name="bookmark317"/>
      <w:bookmarkStart w:id="318" w:name="bookmark318"/>
      <w:bookmarkStart w:id="319" w:name="bookmark319"/>
      <w:r>
        <w:rPr>
          <w:color w:val="000000"/>
          <w:spacing w:val="0"/>
          <w:w w:val="100"/>
          <w:position w:val="0"/>
        </w:rPr>
        <w:t>十、破产重整相关事项</w:t>
      </w:r>
      <w:bookmarkEnd w:id="317"/>
      <w:bookmarkEnd w:id="318"/>
      <w:bookmarkEnd w:id="31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30"/>
        <w:keepNext/>
        <w:keepLines/>
        <w:widowControl w:val="0"/>
        <w:shd w:val="clear" w:color="auto" w:fill="auto"/>
        <w:bidi w:val="0"/>
        <w:spacing w:before="0" w:after="380" w:line="240" w:lineRule="auto"/>
        <w:ind w:left="0" w:right="0" w:firstLine="0"/>
        <w:jc w:val="left"/>
      </w:pPr>
      <w:bookmarkStart w:id="320" w:name="bookmark320"/>
      <w:bookmarkStart w:id="321" w:name="bookmark321"/>
      <w:bookmarkStart w:id="322" w:name="bookmark322"/>
      <w:r>
        <w:rPr>
          <w:color w:val="000000"/>
          <w:spacing w:val="0"/>
          <w:w w:val="100"/>
          <w:position w:val="0"/>
        </w:rPr>
        <w:t>十一、重大诉讼、仲裁事项</w:t>
      </w:r>
      <w:bookmarkEnd w:id="320"/>
      <w:bookmarkEnd w:id="321"/>
      <w:bookmarkEnd w:id="322"/>
    </w:p>
    <w:p>
      <w:pPr>
        <w:pStyle w:val="Style21"/>
        <w:keepNext w:val="0"/>
        <w:keepLines w:val="0"/>
        <w:widowControl w:val="0"/>
        <w:shd w:val="clear" w:color="auto" w:fill="auto"/>
        <w:bidi w:val="0"/>
        <w:spacing w:before="0" w:after="380" w:line="240" w:lineRule="auto"/>
        <w:ind w:left="0" w:right="0" w:firstLine="0"/>
        <w:jc w:val="left"/>
        <w:sectPr>
          <w:headerReference w:type="default" r:id="rId71"/>
          <w:footerReference w:type="default" r:id="rId72"/>
          <w:headerReference w:type="even" r:id="rId73"/>
          <w:footerReference w:type="even" r:id="rId74"/>
          <w:footnotePr>
            <w:pos w:val="pageBottom"/>
            <w:numFmt w:val="decimal"/>
            <w:numRestart w:val="continuous"/>
          </w:footnotePr>
          <w:pgSz w:w="11900" w:h="16840"/>
          <w:pgMar w:top="1455" w:right="1043" w:bottom="1235" w:left="104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6"/>
        <w:keepNext/>
        <w:keepLines/>
        <w:widowControl w:val="0"/>
        <w:shd w:val="clear" w:color="auto" w:fill="auto"/>
        <w:bidi w:val="0"/>
        <w:spacing w:before="0" w:after="80" w:line="240" w:lineRule="auto"/>
        <w:ind w:left="0" w:right="0"/>
        <w:jc w:val="left"/>
      </w:pPr>
      <w:bookmarkStart w:id="323" w:name="bookmark323"/>
      <w:bookmarkStart w:id="324" w:name="bookmark324"/>
      <w:bookmarkStart w:id="325" w:name="bookmark325"/>
      <w:r>
        <w:rPr>
          <w:spacing w:val="0"/>
          <w:w w:val="100"/>
          <w:position w:val="0"/>
        </w:rPr>
        <w:t>i3R</w:t>
      </w:r>
      <w:bookmarkEnd w:id="323"/>
      <w:bookmarkEnd w:id="324"/>
      <w:bookmarkEnd w:id="325"/>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30"/>
        <w:keepNext/>
        <w:keepLines/>
        <w:widowControl w:val="0"/>
        <w:shd w:val="clear" w:color="auto" w:fill="auto"/>
        <w:bidi w:val="0"/>
        <w:spacing w:before="0" w:after="380" w:line="240" w:lineRule="auto"/>
        <w:ind w:left="0" w:right="0" w:firstLine="0"/>
        <w:jc w:val="left"/>
      </w:pPr>
      <w:bookmarkStart w:id="326" w:name="bookmark326"/>
      <w:bookmarkStart w:id="327" w:name="bookmark327"/>
      <w:bookmarkStart w:id="328" w:name="bookmark328"/>
      <w:r>
        <w:rPr>
          <w:color w:val="000000"/>
          <w:spacing w:val="0"/>
          <w:w w:val="100"/>
          <w:position w:val="0"/>
        </w:rPr>
        <w:t>十二、处罚及整改情况</w:t>
      </w:r>
      <w:bookmarkEnd w:id="326"/>
      <w:bookmarkEnd w:id="327"/>
      <w:bookmarkEnd w:id="328"/>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30"/>
        <w:keepNext/>
        <w:keepLines/>
        <w:widowControl w:val="0"/>
        <w:shd w:val="clear" w:color="auto" w:fill="auto"/>
        <w:bidi w:val="0"/>
        <w:spacing w:before="0" w:after="380" w:line="240" w:lineRule="auto"/>
        <w:ind w:left="0" w:right="0" w:firstLine="0"/>
        <w:jc w:val="left"/>
      </w:pPr>
      <w:bookmarkStart w:id="329" w:name="bookmark329"/>
      <w:bookmarkStart w:id="330" w:name="bookmark330"/>
      <w:bookmarkStart w:id="331" w:name="bookmark331"/>
      <w:r>
        <w:rPr>
          <w:color w:val="000000"/>
          <w:spacing w:val="0"/>
          <w:w w:val="100"/>
          <w:position w:val="0"/>
        </w:rPr>
        <w:t>十三、公司及其控股股东、实际控制人的诚信状况</w:t>
      </w:r>
      <w:bookmarkEnd w:id="329"/>
      <w:bookmarkEnd w:id="330"/>
      <w:bookmarkEnd w:id="331"/>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332" w:name="bookmark332"/>
      <w:bookmarkStart w:id="333" w:name="bookmark333"/>
      <w:bookmarkStart w:id="334" w:name="bookmark334"/>
      <w:r>
        <w:rPr>
          <w:color w:val="000000"/>
          <w:spacing w:val="0"/>
          <w:w w:val="100"/>
          <w:position w:val="0"/>
        </w:rPr>
        <w:t>十四、公司股权激励计划、员工持股计划或其他员工激励措施的实施情况</w:t>
      </w:r>
      <w:bookmarkEnd w:id="332"/>
      <w:bookmarkEnd w:id="333"/>
      <w:bookmarkEnd w:id="334"/>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30"/>
        <w:keepNext/>
        <w:keepLines/>
        <w:widowControl w:val="0"/>
        <w:shd w:val="clear" w:color="auto" w:fill="auto"/>
        <w:bidi w:val="0"/>
        <w:spacing w:before="0" w:after="380" w:line="240" w:lineRule="auto"/>
        <w:ind w:left="0" w:right="0" w:firstLine="0"/>
        <w:jc w:val="left"/>
      </w:pPr>
      <w:bookmarkStart w:id="335" w:name="bookmark335"/>
      <w:bookmarkStart w:id="336" w:name="bookmark336"/>
      <w:bookmarkStart w:id="337" w:name="bookmark337"/>
      <w:r>
        <w:rPr>
          <w:color w:val="000000"/>
          <w:spacing w:val="0"/>
          <w:w w:val="100"/>
          <w:position w:val="0"/>
        </w:rPr>
        <w:t>十五、重大关联交易</w:t>
      </w:r>
      <w:bookmarkEnd w:id="335"/>
      <w:bookmarkEnd w:id="336"/>
      <w:bookmarkEnd w:id="337"/>
    </w:p>
    <w:p>
      <w:pPr>
        <w:pStyle w:val="Style34"/>
        <w:keepNext/>
        <w:keepLines/>
        <w:widowControl w:val="0"/>
        <w:shd w:val="clear" w:color="auto" w:fill="auto"/>
        <w:bidi w:val="0"/>
        <w:spacing w:before="0" w:after="3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1</w:t>
      </w:r>
      <w:bookmarkEnd w:id="340"/>
      <w:r>
        <w:rPr>
          <w:color w:val="000000"/>
          <w:spacing w:val="0"/>
          <w:w w:val="100"/>
          <w:position w:val="0"/>
        </w:rPr>
        <w:t>、与日常经营相关的关联交易</w:t>
      </w:r>
      <w:bookmarkEnd w:id="338"/>
      <w:bookmarkEnd w:id="339"/>
      <w:bookmarkEnd w:id="341"/>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关联交易</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关联交 易金额</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（万 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获批的 交易额 度（万</w:t>
            </w:r>
          </w:p>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是否超 过获批 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 的同类 交易市 价</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前海科创 投控股有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董事长 叶青出 任董事 的公司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公信服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116.94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雄安绿研 智库有限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东控制 的其他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租入办</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中关村发 展集团股 份有限公 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 关村发 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董事邵 顺昌</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（已离 任）担 任董事 的公司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房屋租</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租入办</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9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中关村发 展控制的 公司（各</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 发展控 制的公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提供服</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具体如</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市场价</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bl>
    <w:p>
      <w:pPr>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047" w:right="1162" w:bottom="1162" w:left="1109" w:header="0" w:footer="3" w:gutter="0"/>
          <w:cols w:space="720"/>
          <w:noEndnote/>
          <w:rtlGutter w:val="0"/>
          <w:docGrid w:linePitch="360"/>
        </w:sectPr>
      </w:pP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69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公司名称</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如下）</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北京中关</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w:t>
            </w: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划、建</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163"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村微纳能</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发展的</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现金结</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筑设</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61.16</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0.65%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源投资有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计、建</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15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筑咨询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村集成电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发展的</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建筑设</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现金结</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158"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路设计园</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230"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发展有限 责任公司</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32"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建筑咨</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现金结</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发展的</w:t>
            </w: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158"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疗器械园</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0"/>
              <w:jc w:val="both"/>
            </w:pPr>
            <w:r>
              <w:rPr>
                <w:color w:val="000000"/>
                <w:spacing w:val="0"/>
                <w:w w:val="100"/>
                <w:position w:val="0"/>
              </w:rPr>
              <w:t>务等</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询、建</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0"/>
              <w:jc w:val="both"/>
            </w:pPr>
            <w:r>
              <w:rPr>
                <w:color w:val="000000"/>
                <w:spacing w:val="0"/>
                <w:w w:val="100"/>
                <w:position w:val="0"/>
              </w:rPr>
              <w:t>价</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64.15</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140" w:after="0" w:line="240" w:lineRule="auto"/>
              <w:ind w:left="0" w:right="0" w:firstLine="0"/>
              <w:jc w:val="both"/>
            </w:pPr>
            <w:r>
              <w:rPr>
                <w:color w:val="000000"/>
                <w:spacing w:val="0"/>
                <w:w w:val="100"/>
                <w:position w:val="0"/>
              </w:rPr>
              <w:t>算</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42"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筑设计</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村信息谷</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中关村 发展的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规划设</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现金结</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158"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资产管理</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75.47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0.80%</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230"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 公司</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590"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北京中关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村生命科</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 发展的</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建筑咨</w:t>
            </w: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现金结</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307"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学园发展</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询、建</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34.91</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0.32%</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240"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有限责任 公司</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筑设计</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35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8" w:hRule="exact"/>
        </w:trPr>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村延庆园</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发展的</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规划设</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现金结</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149" w:hRule="exact"/>
        </w:trPr>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建设发展</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34.91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0.37%</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88"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586"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北京中关</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村前沿技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发展的</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w:t>
            </w: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现金结</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163"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术产业发</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展有限公</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划、建 筑设计</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vMerge w:val="restart"/>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149" w:hRule="exact"/>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bottom"/>
          </w:tcPr>
          <w:p>
            <w:pPr/>
          </w:p>
        </w:tc>
      </w:tr>
      <w:tr>
        <w:trPr>
          <w:trHeight w:val="16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村软件园</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发展的</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w:t>
            </w:r>
          </w:p>
        </w:tc>
        <w:tc>
          <w:tcPr>
            <w:vMerge w:val="restart"/>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询、建</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市场定</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现金结</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15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11.41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发展有限</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控股公</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vMerge w:val="restart"/>
            <w:tcBorders>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筑设计</w:t>
            </w: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vMerge/>
            <w:tcBorders>
              <w:left w:val="single" w:sz="4"/>
              <w:right w:val="single" w:sz="4"/>
            </w:tcBorders>
            <w:shd w:val="clear" w:color="auto" w:fill="FFFFFF"/>
            <w:vAlign w:val="top"/>
          </w:tcPr>
          <w:p>
            <w:pPr/>
          </w:p>
        </w:tc>
      </w:tr>
      <w:tr>
        <w:trPr>
          <w:trHeight w:val="283" w:hRule="exact"/>
        </w:trPr>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责任公司</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北京中关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规划设</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价</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-17.17</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p>
        </w:tc>
      </w:tr>
      <w:tr>
        <w:trPr>
          <w:trHeight w:val="288" w:hRule="exact"/>
        </w:trPr>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村京西建</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发展的</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020</w:t>
            </w:r>
          </w:p>
        </w:tc>
      </w:tr>
    </w:tbl>
    <w:p>
      <w:pPr>
        <w:widowControl w:val="0"/>
        <w:spacing w:line="1" w:lineRule="exact"/>
      </w:pPr>
      <w:r>
        <w:br w:type="page"/>
      </w:r>
    </w:p>
    <w:tbl>
      <w:tblPr>
        <w:tblOverlap w:val="never"/>
        <w:jc w:val="center"/>
        <w:tblLayout w:type="fixed"/>
      </w:tblPr>
      <w:tblGrid>
        <w:gridCol w:w="806"/>
        <w:gridCol w:w="677"/>
        <w:gridCol w:w="677"/>
        <w:gridCol w:w="706"/>
        <w:gridCol w:w="677"/>
        <w:gridCol w:w="677"/>
        <w:gridCol w:w="672"/>
        <w:gridCol w:w="677"/>
        <w:gridCol w:w="672"/>
        <w:gridCol w:w="672"/>
        <w:gridCol w:w="677"/>
        <w:gridCol w:w="672"/>
        <w:gridCol w:w="672"/>
        <w:gridCol w:w="653"/>
      </w:tblGrid>
      <w:tr>
        <w:trPr>
          <w:trHeight w:val="691"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设发展有</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控股公</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深圳市创 新投资集 团有限公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东董事 长胡国 斌出任 董事的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建筑咨</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万和证券 股份有限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东的控 股子公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咨询服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其他关联 方（各公 司名称如 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具体如</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 受劳务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具体如</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雄安绿研 智库有限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控股股 东控制 的其他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提供服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技术咨</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市场价</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258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深圳排放</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权交易所</w:t>
            </w:r>
          </w:p>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控股股 东董事 陈志升</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（已离 任）担 任董事 长的公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22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深圳市投 资控股有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控股股 东董事 陈志升</w:t>
            </w:r>
          </w:p>
          <w:p>
            <w:pPr>
              <w:pStyle w:val="Style27"/>
              <w:keepNext w:val="0"/>
              <w:keepLines w:val="0"/>
              <w:widowControl w:val="0"/>
              <w:shd w:val="clear" w:color="auto" w:fill="auto"/>
              <w:bidi w:val="0"/>
              <w:spacing w:before="0" w:after="0" w:line="309" w:lineRule="exact"/>
              <w:ind w:left="0" w:right="0" w:firstLine="0"/>
              <w:jc w:val="both"/>
            </w:pPr>
            <w:r>
              <w:rPr>
                <w:color w:val="000000"/>
                <w:spacing w:val="0"/>
                <w:w w:val="100"/>
                <w:position w:val="0"/>
              </w:rPr>
              <w:t>（已离 任）出 任董事 的企业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提供服</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公信服 务、建 筑咨询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市场定</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现金结</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softHyphen/>
            </w:r>
          </w:p>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03"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943.36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 的实际履行情况（如有）</w:t>
            </w:r>
          </w:p>
        </w:tc>
        <w:tc>
          <w:tcPr>
            <w:gridSpan w:val="10"/>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交易价格与市场参考价格差异较大</w:t>
            </w:r>
          </w:p>
        </w:tc>
        <w:tc>
          <w:tcPr>
            <w:gridSpan w:val="10"/>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240" w:lineRule="auto"/>
        <w:ind w:left="0" w:right="0" w:firstLine="0"/>
        <w:jc w:val="left"/>
      </w:pPr>
      <w:r>
        <w:rPr>
          <w:color w:val="000000"/>
          <w:spacing w:val="0"/>
          <w:w w:val="100"/>
          <w:position w:val="0"/>
        </w:rPr>
        <w:t>的原因（如适用）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2</w:t>
      </w:r>
      <w:bookmarkEnd w:id="344"/>
      <w:r>
        <w:rPr>
          <w:color w:val="000000"/>
          <w:spacing w:val="0"/>
          <w:w w:val="100"/>
          <w:position w:val="0"/>
        </w:rPr>
        <w:t>、</w:t>
        <w:tab/>
        <w:t>资产或股权收购、出售发生的关联交易</w:t>
      </w:r>
      <w:bookmarkEnd w:id="342"/>
      <w:bookmarkEnd w:id="343"/>
      <w:bookmarkEnd w:id="345"/>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3</w:t>
      </w:r>
      <w:bookmarkEnd w:id="348"/>
      <w:r>
        <w:rPr>
          <w:color w:val="000000"/>
          <w:spacing w:val="0"/>
          <w:w w:val="100"/>
          <w:position w:val="0"/>
        </w:rPr>
        <w:t>、</w:t>
        <w:tab/>
        <w:t>共同对外投资的关联交易</w:t>
      </w:r>
      <w:bookmarkEnd w:id="346"/>
      <w:bookmarkEnd w:id="347"/>
      <w:bookmarkEnd w:id="349"/>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4</w:t>
      </w:r>
      <w:bookmarkEnd w:id="352"/>
      <w:r>
        <w:rPr>
          <w:color w:val="000000"/>
          <w:spacing w:val="0"/>
          <w:w w:val="100"/>
          <w:position w:val="0"/>
        </w:rPr>
        <w:t>、</w:t>
        <w:tab/>
        <w:t>关联债权债务往来</w:t>
      </w:r>
      <w:bookmarkEnd w:id="350"/>
      <w:bookmarkEnd w:id="351"/>
      <w:bookmarkEnd w:id="353"/>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4"/>
        <w:keepNext/>
        <w:keepLines/>
        <w:widowControl w:val="0"/>
        <w:shd w:val="clear" w:color="auto" w:fill="auto"/>
        <w:bidi w:val="0"/>
        <w:spacing w:before="0" w:after="3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5</w:t>
      </w:r>
      <w:bookmarkEnd w:id="356"/>
      <w:r>
        <w:rPr>
          <w:color w:val="000000"/>
          <w:spacing w:val="0"/>
          <w:w w:val="100"/>
          <w:position w:val="0"/>
        </w:rPr>
        <w:t>、其他重大关联交易</w:t>
      </w:r>
      <w:bookmarkEnd w:id="354"/>
      <w:bookmarkEnd w:id="355"/>
      <w:bookmarkEnd w:id="357"/>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30"/>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r>
        <w:rPr>
          <w:color w:val="000000"/>
          <w:spacing w:val="0"/>
          <w:w w:val="100"/>
          <w:position w:val="0"/>
        </w:rPr>
        <w:t>十六、重大合同及其履行情况</w:t>
      </w:r>
      <w:bookmarkEnd w:id="358"/>
      <w:bookmarkEnd w:id="359"/>
      <w:bookmarkEnd w:id="360"/>
    </w:p>
    <w:p>
      <w:pPr>
        <w:pStyle w:val="Style34"/>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1</w:t>
      </w:r>
      <w:bookmarkEnd w:id="363"/>
      <w:r>
        <w:rPr>
          <w:color w:val="000000"/>
          <w:spacing w:val="0"/>
          <w:w w:val="100"/>
          <w:position w:val="0"/>
        </w:rPr>
        <w:t>、托管、承包、租赁事项情况</w:t>
      </w:r>
      <w:bookmarkEnd w:id="361"/>
      <w:bookmarkEnd w:id="362"/>
      <w:bookmarkEnd w:id="364"/>
    </w:p>
    <w:p>
      <w:pPr>
        <w:pStyle w:val="Style34"/>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5" w:name="bookmark365"/>
      <w:bookmarkStart w:id="366" w:name="bookmark366"/>
      <w:r>
        <w:rPr>
          <w:color w:val="000000"/>
          <w:spacing w:val="0"/>
          <w:w w:val="100"/>
          <w:position w:val="0"/>
        </w:rPr>
        <w:t>（</w:t>
      </w:r>
      <w:bookmarkEnd w:id="365"/>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61"/>
      <w:bookmarkEnd w:id="362"/>
      <w:bookmarkEnd w:id="366"/>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after="260" w:line="240" w:lineRule="auto"/>
        <w:ind w:left="0" w:right="0" w:firstLine="0"/>
        <w:jc w:val="left"/>
      </w:pPr>
      <w:bookmarkStart w:id="367" w:name="bookmark367"/>
      <w:bookmarkStart w:id="368" w:name="bookmark368"/>
      <w:bookmarkStart w:id="369" w:name="bookmark369"/>
      <w:bookmarkStart w:id="370" w:name="bookmark370"/>
      <w:r>
        <w:rPr>
          <w:color w:val="000000"/>
          <w:spacing w:val="0"/>
          <w:w w:val="100"/>
          <w:position w:val="0"/>
        </w:rPr>
        <w:t>（</w:t>
      </w:r>
      <w:bookmarkEnd w:id="36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7"/>
      <w:bookmarkEnd w:id="368"/>
      <w:bookmarkEnd w:id="370"/>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26" w:lineRule="exact"/>
        <w:ind w:left="0" w:right="0" w:firstLine="0"/>
        <w:jc w:val="left"/>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after="260" w:line="240" w:lineRule="auto"/>
        <w:ind w:left="0" w:right="0" w:firstLine="0"/>
        <w:jc w:val="left"/>
      </w:pPr>
      <w:bookmarkStart w:id="371" w:name="bookmark371"/>
      <w:bookmarkStart w:id="372" w:name="bookmark372"/>
      <w:bookmarkStart w:id="373" w:name="bookmark373"/>
      <w:bookmarkStart w:id="374" w:name="bookmark374"/>
      <w:r>
        <w:rPr>
          <w:color w:val="000000"/>
          <w:spacing w:val="0"/>
          <w:w w:val="100"/>
          <w:position w:val="0"/>
        </w:rPr>
        <w:t>（</w:t>
      </w:r>
      <w:bookmarkEnd w:id="37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71"/>
      <w:bookmarkEnd w:id="372"/>
      <w:bookmarkEnd w:id="374"/>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租赁情况说明</w:t>
      </w:r>
    </w:p>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（一）报告期内，公司作为承租方的租赁事项主要有：</w:t>
      </w:r>
    </w:p>
    <w:p>
      <w:pPr>
        <w:pStyle w:val="Style21"/>
        <w:keepNext w:val="0"/>
        <w:keepLines w:val="0"/>
        <w:widowControl w:val="0"/>
        <w:numPr>
          <w:ilvl w:val="0"/>
          <w:numId w:val="9"/>
        </w:numPr>
        <w:shd w:val="clear" w:color="auto" w:fill="auto"/>
        <w:bidi w:val="0"/>
        <w:spacing w:before="0" w:after="0" w:line="326" w:lineRule="exact"/>
        <w:ind w:left="0" w:right="0" w:firstLine="0"/>
        <w:jc w:val="left"/>
      </w:pPr>
      <w:bookmarkStart w:id="375" w:name="bookmark375"/>
      <w:bookmarkEnd w:id="375"/>
      <w:r>
        <w:rPr>
          <w:color w:val="000000"/>
          <w:spacing w:val="0"/>
          <w:w w:val="100"/>
          <w:position w:val="0"/>
        </w:rPr>
        <w:t>公司与上海杨浦知识创新区投资发展有限公司（以下简称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上海杨浦知识创新区投资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）签订房屋租赁合同情况：</w:t>
      </w:r>
    </w:p>
    <w:p>
      <w:pPr>
        <w:pStyle w:val="Style21"/>
        <w:keepNext w:val="0"/>
        <w:keepLines w:val="0"/>
        <w:widowControl w:val="0"/>
        <w:shd w:val="clear" w:color="auto" w:fill="auto"/>
        <w:bidi w:val="0"/>
        <w:spacing w:before="0" w:after="380" w:line="326" w:lineRule="exact"/>
        <w:ind w:left="0" w:right="0" w:firstLine="0"/>
        <w:jc w:val="left"/>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52" w:right="394" w:bottom="1318" w:left="716" w:header="0" w:footer="3" w:gutter="0"/>
          <w:cols w:space="720"/>
          <w:noEndnote/>
          <w:rtlGutter w:val="0"/>
          <w:docGrid w:linePitch="360"/>
        </w:sectPr>
      </w:pPr>
      <w:bookmarkStart w:id="376" w:name="bookmark376"/>
      <w:r>
        <w:rPr>
          <w:color w:val="000000"/>
          <w:spacing w:val="0"/>
          <w:w w:val="100"/>
          <w:position w:val="0"/>
        </w:rPr>
        <w:t>（</w:t>
      </w:r>
      <w:bookmarkEnd w:id="37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月，双方约定公司向上海杨浦知识创新区投资租入建筑面积为</w:t>
      </w:r>
      <w:r>
        <w:rPr>
          <w:rFonts w:ascii="Times New Roman" w:eastAsia="Times New Roman" w:hAnsi="Times New Roman" w:cs="Times New Roman"/>
          <w:color w:val="000000"/>
          <w:spacing w:val="0"/>
          <w:w w:val="100"/>
          <w:position w:val="0"/>
          <w:sz w:val="18"/>
          <w:szCs w:val="18"/>
        </w:rPr>
        <w:t>13,113.83</w:t>
      </w:r>
      <w:r>
        <w:rPr>
          <w:color w:val="000000"/>
          <w:spacing w:val="0"/>
          <w:w w:val="100"/>
          <w:position w:val="0"/>
        </w:rPr>
        <w:t>平方米、土地面积为</w:t>
      </w:r>
      <w:r>
        <w:rPr>
          <w:rFonts w:ascii="Times New Roman" w:eastAsia="Times New Roman" w:hAnsi="Times New Roman" w:cs="Times New Roman"/>
          <w:color w:val="000000"/>
          <w:spacing w:val="0"/>
          <w:w w:val="100"/>
          <w:position w:val="0"/>
          <w:sz w:val="18"/>
          <w:szCs w:val="18"/>
        </w:rPr>
        <w:t>7,900</w:t>
      </w:r>
      <w:r>
        <w:rPr>
          <w:color w:val="000000"/>
          <w:spacing w:val="0"/>
          <w:w w:val="100"/>
          <w:position w:val="0"/>
        </w:rPr>
        <w:t>平方米的房 屋，作为创意产业园使用，以商务办公为主。</w:t>
      </w:r>
    </w:p>
    <w:p>
      <w:pPr>
        <w:pStyle w:val="Style39"/>
        <w:keepNext w:val="0"/>
        <w:keepLines w:val="0"/>
        <w:widowControl w:val="0"/>
        <w:shd w:val="clear" w:color="auto" w:fill="auto"/>
        <w:bidi w:val="0"/>
        <w:spacing w:before="0" w:after="0" w:line="310" w:lineRule="exact"/>
        <w:ind w:left="0" w:right="0" w:firstLine="3620"/>
        <w:jc w:val="left"/>
        <w:rPr>
          <w:sz w:val="17"/>
          <w:szCs w:val="17"/>
        </w:rPr>
      </w:pPr>
      <w:r>
        <w:drawing>
          <wp:anchor distT="0" distB="0" distL="114300" distR="114300" simplePos="0" relativeHeight="125829382" behindDoc="0" locked="0" layoutInCell="1" allowOverlap="1">
            <wp:simplePos x="0" y="0"/>
            <wp:positionH relativeFrom="page">
              <wp:posOffset>775970</wp:posOffset>
            </wp:positionH>
            <wp:positionV relativeFrom="margin">
              <wp:posOffset>-140335</wp:posOffset>
            </wp:positionV>
            <wp:extent cx="774065" cy="396240"/>
            <wp:wrapSquare wrapText="bothSides"/>
            <wp:docPr id="230" name="Shape 230"/>
            <a:graphic xmlns:a="http://schemas.openxmlformats.org/drawingml/2006/main">
              <a:graphicData uri="http://schemas.openxmlformats.org/drawingml/2006/picture">
                <pic:pic xmlns:pic="http://schemas.openxmlformats.org/drawingml/2006/picture">
                  <pic:nvPicPr>
                    <pic:cNvPr id="231" name="Picture box 231"/>
                    <pic:cNvPicPr/>
                  </pic:nvPicPr>
                  <pic:blipFill>
                    <a:blip r:embed="rId83"/>
                    <a:stretch/>
                  </pic:blipFill>
                  <pic:spPr>
                    <a:xfrm>
                      <a:ext cx="774065" cy="396240"/>
                    </a:xfrm>
                    <a:prstGeom prst="rect"/>
                  </pic:spPr>
                </pic:pic>
              </a:graphicData>
            </a:graphic>
          </wp:anchor>
        </w:drawing>
      </w:r>
      <w:r>
        <w:rPr>
          <w:rFonts w:ascii="SimSun" w:eastAsia="SimSun" w:hAnsi="SimSun" w:cs="SimSun"/>
          <w:color w:val="000000"/>
          <w:spacing w:val="0"/>
          <w:w w:val="100"/>
          <w:position w:val="0"/>
          <w:sz w:val="17"/>
          <w:szCs w:val="17"/>
          <w:u w:val="single"/>
        </w:rPr>
        <w:t>深圳市建筑科学研究院股份有限公司</w:t>
      </w:r>
      <w:r>
        <w:rPr>
          <w:color w:val="000000"/>
          <w:spacing w:val="0"/>
          <w:w w:val="100"/>
          <w:position w:val="0"/>
          <w:sz w:val="18"/>
          <w:szCs w:val="18"/>
          <w:u w:val="single"/>
        </w:rPr>
        <w:t>2020</w:t>
      </w:r>
      <w:r>
        <w:rPr>
          <w:rFonts w:ascii="SimSun" w:eastAsia="SimSun" w:hAnsi="SimSun" w:cs="SimSun"/>
          <w:color w:val="000000"/>
          <w:spacing w:val="0"/>
          <w:w w:val="100"/>
          <w:position w:val="0"/>
          <w:sz w:val="17"/>
          <w:szCs w:val="17"/>
          <w:u w:val="single"/>
        </w:rPr>
        <w:t xml:space="preserve">年年度报告全文 </w:t>
      </w:r>
      <w:r>
        <w:rPr>
          <w:rFonts w:ascii="SimSun" w:eastAsia="SimSun" w:hAnsi="SimSun" w:cs="SimSun"/>
          <w:color w:val="000000"/>
          <w:spacing w:val="0"/>
          <w:w w:val="100"/>
          <w:position w:val="0"/>
          <w:sz w:val="17"/>
          <w:szCs w:val="17"/>
        </w:rPr>
        <w:t>租赁期限自</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日起至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日止，租金水平为:</w:t>
      </w: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2 017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日期间，租金按</w:t>
      </w:r>
      <w:r>
        <w:rPr>
          <w:color w:val="000000"/>
          <w:spacing w:val="0"/>
          <w:w w:val="100"/>
          <w:position w:val="0"/>
          <w:sz w:val="18"/>
          <w:szCs w:val="18"/>
        </w:rPr>
        <w:t xml:space="preserve">2.5 </w:t>
      </w:r>
      <w:r>
        <w:rPr>
          <w:color w:val="000000"/>
          <w:spacing w:val="0"/>
          <w:w w:val="100"/>
          <w:position w:val="0"/>
          <w:sz w:val="18"/>
          <w:szCs w:val="18"/>
        </w:rPr>
        <w:t>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平方 米</w:t>
      </w:r>
      <w:r>
        <w:rPr>
          <w:color w:val="000000"/>
          <w:spacing w:val="0"/>
          <w:w w:val="100"/>
          <w:position w:val="0"/>
          <w:sz w:val="18"/>
          <w:szCs w:val="18"/>
        </w:rPr>
        <w:t>/</w:t>
      </w:r>
      <w:r>
        <w:rPr>
          <w:rFonts w:ascii="SimSun" w:eastAsia="SimSun" w:hAnsi="SimSun" w:cs="SimSun"/>
          <w:color w:val="000000"/>
          <w:spacing w:val="0"/>
          <w:w w:val="100"/>
          <w:position w:val="0"/>
          <w:sz w:val="17"/>
          <w:szCs w:val="17"/>
        </w:rPr>
        <w:t>天执行，年租金为</w:t>
      </w:r>
      <w:r>
        <w:rPr>
          <w:color w:val="000000"/>
          <w:spacing w:val="0"/>
          <w:w w:val="100"/>
          <w:position w:val="0"/>
          <w:sz w:val="18"/>
          <w:szCs w:val="18"/>
        </w:rPr>
        <w:t>11,966,369.88</w:t>
      </w:r>
      <w:r>
        <w:rPr>
          <w:rFonts w:ascii="SimSun" w:eastAsia="SimSun" w:hAnsi="SimSun" w:cs="SimSun"/>
          <w:color w:val="000000"/>
          <w:spacing w:val="0"/>
          <w:w w:val="100"/>
          <w:position w:val="0"/>
          <w:sz w:val="17"/>
          <w:szCs w:val="17"/>
        </w:rPr>
        <w:t>元（后根据补充协议，</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2015</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日期间租金按</w:t>
      </w:r>
      <w:r>
        <w:rPr>
          <w:color w:val="000000"/>
          <w:spacing w:val="0"/>
          <w:w w:val="100"/>
          <w:position w:val="0"/>
          <w:sz w:val="18"/>
          <w:szCs w:val="18"/>
        </w:rPr>
        <w:t>1</w:t>
      </w:r>
      <w:r>
        <w:rPr>
          <w:color w:val="000000"/>
          <w:spacing w:val="0"/>
          <w:w w:val="100"/>
          <w:position w:val="0"/>
          <w:sz w:val="18"/>
          <w:szCs w:val="18"/>
        </w:rPr>
        <w:t>.30</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平方米</w:t>
      </w:r>
      <w:r>
        <w:rPr>
          <w:color w:val="000000"/>
          <w:spacing w:val="0"/>
          <w:w w:val="100"/>
          <w:position w:val="0"/>
          <w:sz w:val="18"/>
          <w:szCs w:val="18"/>
        </w:rPr>
        <w:t>/</w:t>
      </w:r>
      <w:r>
        <w:rPr>
          <w:rFonts w:ascii="SimSun" w:eastAsia="SimSun" w:hAnsi="SimSun" w:cs="SimSun"/>
          <w:color w:val="000000"/>
          <w:spacing w:val="0"/>
          <w:w w:val="100"/>
          <w:position w:val="0"/>
          <w:sz w:val="17"/>
          <w:szCs w:val="17"/>
        </w:rPr>
        <w:t>天执行， 该期间租金为</w:t>
      </w:r>
      <w:r>
        <w:rPr>
          <w:color w:val="000000"/>
          <w:spacing w:val="0"/>
          <w:w w:val="100"/>
          <w:position w:val="0"/>
          <w:sz w:val="18"/>
          <w:szCs w:val="18"/>
        </w:rPr>
        <w:t>3,111,256.16</w:t>
      </w:r>
      <w:r>
        <w:rPr>
          <w:rFonts w:ascii="SimSun" w:eastAsia="SimSun" w:hAnsi="SimSun" w:cs="SimSun"/>
          <w:color w:val="000000"/>
          <w:spacing w:val="0"/>
          <w:w w:val="100"/>
          <w:position w:val="0"/>
          <w:sz w:val="17"/>
          <w:szCs w:val="17"/>
        </w:rPr>
        <w:t>元）；</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17</w:t>
      </w:r>
      <w:r>
        <w:rPr>
          <w:rFonts w:ascii="SimSun" w:eastAsia="SimSun" w:hAnsi="SimSun" w:cs="SimSun"/>
          <w:color w:val="000000"/>
          <w:spacing w:val="0"/>
          <w:w w:val="100"/>
          <w:position w:val="0"/>
          <w:sz w:val="17"/>
          <w:szCs w:val="17"/>
        </w:rPr>
        <w:t>日至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日期间租金按</w:t>
      </w:r>
      <w:r>
        <w:rPr>
          <w:color w:val="000000"/>
          <w:spacing w:val="0"/>
          <w:w w:val="100"/>
          <w:position w:val="0"/>
          <w:sz w:val="18"/>
          <w:szCs w:val="18"/>
        </w:rPr>
        <w:t>2</w:t>
      </w:r>
      <w:r>
        <w:rPr>
          <w:color w:val="000000"/>
          <w:spacing w:val="0"/>
          <w:w w:val="100"/>
          <w:position w:val="0"/>
          <w:sz w:val="18"/>
          <w:szCs w:val="18"/>
        </w:rPr>
        <w:t>.75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平方米</w:t>
      </w:r>
      <w:r>
        <w:rPr>
          <w:color w:val="000000"/>
          <w:spacing w:val="0"/>
          <w:w w:val="100"/>
          <w:position w:val="0"/>
          <w:sz w:val="18"/>
          <w:szCs w:val="18"/>
        </w:rPr>
        <w:t>/</w:t>
      </w:r>
      <w:r>
        <w:rPr>
          <w:rFonts w:ascii="SimSun" w:eastAsia="SimSun" w:hAnsi="SimSun" w:cs="SimSun"/>
          <w:color w:val="000000"/>
          <w:spacing w:val="0"/>
          <w:w w:val="100"/>
          <w:position w:val="0"/>
          <w:sz w:val="17"/>
          <w:szCs w:val="17"/>
        </w:rPr>
        <w:t>天执行，年租金为</w:t>
      </w:r>
      <w:r>
        <w:rPr>
          <w:color w:val="000000"/>
          <w:spacing w:val="0"/>
          <w:w w:val="100"/>
          <w:position w:val="0"/>
          <w:sz w:val="18"/>
          <w:szCs w:val="18"/>
        </w:rPr>
        <w:t xml:space="preserve">13,163,006.86 </w:t>
      </w:r>
      <w:r>
        <w:rPr>
          <w:rFonts w:ascii="SimSun" w:eastAsia="SimSun" w:hAnsi="SimSun" w:cs="SimSun"/>
          <w:color w:val="000000"/>
          <w:spacing w:val="0"/>
          <w:w w:val="100"/>
          <w:position w:val="0"/>
          <w:sz w:val="17"/>
          <w:szCs w:val="17"/>
        </w:rPr>
        <w:t>元；</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日至</w:t>
      </w:r>
      <w:r>
        <w:rPr>
          <w:color w:val="000000"/>
          <w:spacing w:val="0"/>
          <w:w w:val="100"/>
          <w:position w:val="0"/>
          <w:sz w:val="18"/>
          <w:szCs w:val="18"/>
        </w:rPr>
        <w:t>2023</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日期间租金按</w:t>
      </w:r>
      <w:r>
        <w:rPr>
          <w:color w:val="000000"/>
          <w:spacing w:val="0"/>
          <w:w w:val="100"/>
          <w:position w:val="0"/>
          <w:sz w:val="18"/>
          <w:szCs w:val="18"/>
        </w:rPr>
        <w:t>3.025</w:t>
      </w:r>
      <w:r>
        <w:rPr>
          <w:rFonts w:ascii="SimSun" w:eastAsia="SimSun" w:hAnsi="SimSun" w:cs="SimSun"/>
          <w:color w:val="000000"/>
          <w:spacing w:val="0"/>
          <w:w w:val="100"/>
          <w:position w:val="0"/>
          <w:sz w:val="17"/>
          <w:szCs w:val="17"/>
        </w:rPr>
        <w:t>元</w:t>
      </w:r>
      <w:r>
        <w:rPr>
          <w:color w:val="000000"/>
          <w:spacing w:val="0"/>
          <w:w w:val="100"/>
          <w:position w:val="0"/>
          <w:sz w:val="18"/>
          <w:szCs w:val="18"/>
        </w:rPr>
        <w:t>/</w:t>
      </w:r>
      <w:r>
        <w:rPr>
          <w:rFonts w:ascii="SimSun" w:eastAsia="SimSun" w:hAnsi="SimSun" w:cs="SimSun"/>
          <w:color w:val="000000"/>
          <w:spacing w:val="0"/>
          <w:w w:val="100"/>
          <w:position w:val="0"/>
          <w:sz w:val="17"/>
          <w:szCs w:val="17"/>
        </w:rPr>
        <w:t>平方米</w:t>
      </w:r>
      <w:r>
        <w:rPr>
          <w:color w:val="000000"/>
          <w:spacing w:val="0"/>
          <w:w w:val="100"/>
          <w:position w:val="0"/>
          <w:sz w:val="18"/>
          <w:szCs w:val="18"/>
        </w:rPr>
        <w:t>/</w:t>
      </w:r>
      <w:r>
        <w:rPr>
          <w:rFonts w:ascii="SimSun" w:eastAsia="SimSun" w:hAnsi="SimSun" w:cs="SimSun"/>
          <w:color w:val="000000"/>
          <w:spacing w:val="0"/>
          <w:w w:val="100"/>
          <w:position w:val="0"/>
          <w:sz w:val="17"/>
          <w:szCs w:val="17"/>
        </w:rPr>
        <w:t>天执行，年租金为</w:t>
      </w:r>
      <w:r>
        <w:rPr>
          <w:color w:val="000000"/>
          <w:spacing w:val="0"/>
          <w:w w:val="100"/>
          <w:position w:val="0"/>
          <w:sz w:val="18"/>
          <w:szCs w:val="18"/>
        </w:rPr>
        <w:t>14,479,307.55</w:t>
      </w:r>
      <w:r>
        <w:rPr>
          <w:rFonts w:ascii="SimSun" w:eastAsia="SimSun" w:hAnsi="SimSun" w:cs="SimSun"/>
          <w:color w:val="000000"/>
          <w:spacing w:val="0"/>
          <w:w w:val="100"/>
          <w:position w:val="0"/>
          <w:sz w:val="17"/>
          <w:szCs w:val="17"/>
        </w:rPr>
        <w:t>元。</w:t>
      </w:r>
    </w:p>
    <w:p>
      <w:pPr>
        <w:pStyle w:val="Style21"/>
        <w:keepNext w:val="0"/>
        <w:keepLines w:val="0"/>
        <w:widowControl w:val="0"/>
        <w:shd w:val="clear" w:color="auto" w:fill="auto"/>
        <w:bidi w:val="0"/>
        <w:spacing w:before="0" w:after="0" w:line="310" w:lineRule="exact"/>
        <w:ind w:left="0" w:right="0" w:firstLine="0"/>
        <w:jc w:val="both"/>
      </w:pPr>
      <w:bookmarkStart w:id="377" w:name="bookmark377"/>
      <w:r>
        <w:rPr>
          <w:color w:val="000000"/>
          <w:spacing w:val="0"/>
          <w:w w:val="100"/>
          <w:position w:val="0"/>
        </w:rPr>
        <w:t>（</w:t>
      </w:r>
      <w:bookmarkEnd w:id="377"/>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日，因地铁</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号线施工需要征借上海杨浦知识创新区投资出租范围内的部分土地，双方就租赁事项签订补 充协议，租赁期限延长为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年，租赁期限自</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日止，十五年租赁期内，租金递增条款按原合 同执行，即每</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年环比递增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p>
      <w:pPr>
        <w:pStyle w:val="Style21"/>
        <w:keepNext w:val="0"/>
        <w:keepLines w:val="0"/>
        <w:widowControl w:val="0"/>
        <w:shd w:val="clear" w:color="auto" w:fill="auto"/>
        <w:tabs>
          <w:tab w:pos="501" w:val="left"/>
        </w:tabs>
        <w:bidi w:val="0"/>
        <w:spacing w:before="0" w:after="0" w:line="310" w:lineRule="exact"/>
        <w:ind w:left="0" w:right="0" w:firstLine="0"/>
        <w:jc w:val="both"/>
      </w:pPr>
      <w:bookmarkStart w:id="378" w:name="bookmark378"/>
      <w:r>
        <w:rPr>
          <w:color w:val="000000"/>
          <w:spacing w:val="0"/>
          <w:w w:val="100"/>
          <w:position w:val="0"/>
        </w:rPr>
        <w:t>（</w:t>
      </w:r>
      <w:bookmarkEnd w:id="37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月，针对地铁施工，双方明确轨道建设期间的义务和权利，重新签订了补充协议，协议约定在地铁施工影响 期内，上海杨浦知识创新区投资对公司进行租金减免，减免总额为</w:t>
      </w:r>
      <w:r>
        <w:rPr>
          <w:rFonts w:ascii="Times New Roman" w:eastAsia="Times New Roman" w:hAnsi="Times New Roman" w:cs="Times New Roman"/>
          <w:color w:val="000000"/>
          <w:spacing w:val="0"/>
          <w:w w:val="100"/>
          <w:position w:val="0"/>
          <w:sz w:val="18"/>
          <w:szCs w:val="18"/>
        </w:rPr>
        <w:t>520</w:t>
      </w:r>
      <w:r>
        <w:rPr>
          <w:color w:val="000000"/>
          <w:spacing w:val="0"/>
          <w:w w:val="100"/>
          <w:position w:val="0"/>
        </w:rPr>
        <w:t>万，影响期从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月开始，共</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月到 期后，公司有权选择是否继续承租至</w:t>
      </w:r>
      <w:r>
        <w:rPr>
          <w:rFonts w:ascii="Times New Roman" w:eastAsia="Times New Roman" w:hAnsi="Times New Roman" w:cs="Times New Roman"/>
          <w:color w:val="000000"/>
          <w:spacing w:val="0"/>
          <w:w w:val="100"/>
          <w:position w:val="0"/>
          <w:sz w:val="18"/>
          <w:szCs w:val="18"/>
        </w:rPr>
        <w:t>2029</w:t>
      </w:r>
      <w:r>
        <w:rPr>
          <w:color w:val="000000"/>
          <w:spacing w:val="0"/>
          <w:w w:val="100"/>
          <w:position w:val="0"/>
        </w:rPr>
        <w:t>年。本协议生效后，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日签订的补充协议自行终止。</w:t>
      </w:r>
    </w:p>
    <w:p>
      <w:pPr>
        <w:pStyle w:val="Style21"/>
        <w:keepNext w:val="0"/>
        <w:keepLines w:val="0"/>
        <w:widowControl w:val="0"/>
        <w:shd w:val="clear" w:color="auto" w:fill="auto"/>
        <w:tabs>
          <w:tab w:pos="501" w:val="left"/>
        </w:tabs>
        <w:bidi w:val="0"/>
        <w:spacing w:before="0" w:after="0" w:line="310" w:lineRule="exact"/>
        <w:ind w:left="0" w:right="0" w:firstLine="0"/>
        <w:jc w:val="both"/>
      </w:pPr>
      <w:bookmarkStart w:id="379" w:name="bookmark379"/>
      <w:r>
        <w:rPr>
          <w:color w:val="000000"/>
          <w:spacing w:val="0"/>
          <w:w w:val="100"/>
          <w:position w:val="0"/>
        </w:rPr>
        <w:t>（</w:t>
      </w:r>
      <w:bookmarkEnd w:id="37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月，为响应国家新冠疫情政策，双方签订租金减免协议，减免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月租金</w:t>
      </w:r>
      <w:r>
        <w:rPr>
          <w:rFonts w:ascii="Times New Roman" w:eastAsia="Times New Roman" w:hAnsi="Times New Roman" w:cs="Times New Roman"/>
          <w:color w:val="000000"/>
          <w:spacing w:val="0"/>
          <w:w w:val="100"/>
          <w:position w:val="0"/>
          <w:sz w:val="18"/>
          <w:szCs w:val="18"/>
        </w:rPr>
        <w:t>745,308.30</w:t>
      </w:r>
      <w:r>
        <w:rPr>
          <w:color w:val="000000"/>
          <w:spacing w:val="0"/>
          <w:w w:val="100"/>
          <w:position w:val="0"/>
        </w:rPr>
        <w:t>元；另于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签订租金减免协议，减免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月租金</w:t>
      </w:r>
      <w:r>
        <w:rPr>
          <w:rFonts w:ascii="Times New Roman" w:eastAsia="Times New Roman" w:hAnsi="Times New Roman" w:cs="Times New Roman"/>
          <w:color w:val="000000"/>
          <w:spacing w:val="0"/>
          <w:w w:val="100"/>
          <w:position w:val="0"/>
          <w:sz w:val="18"/>
          <w:szCs w:val="18"/>
        </w:rPr>
        <w:t>261,487.05</w:t>
      </w:r>
      <w:r>
        <w:rPr>
          <w:color w:val="000000"/>
          <w:spacing w:val="0"/>
          <w:w w:val="100"/>
          <w:position w:val="0"/>
        </w:rPr>
        <w:t>元。两次租金减免协议合计金额为</w:t>
      </w:r>
      <w:r>
        <w:rPr>
          <w:rFonts w:ascii="Times New Roman" w:eastAsia="Times New Roman" w:hAnsi="Times New Roman" w:cs="Times New Roman"/>
          <w:color w:val="000000"/>
          <w:spacing w:val="0"/>
          <w:w w:val="100"/>
          <w:position w:val="0"/>
          <w:sz w:val="18"/>
          <w:szCs w:val="18"/>
        </w:rPr>
        <w:t>1,006,795.35</w:t>
      </w:r>
      <w:r>
        <w:rPr>
          <w:color w:val="000000"/>
          <w:spacing w:val="0"/>
          <w:w w:val="100"/>
          <w:position w:val="0"/>
        </w:rPr>
        <w:t>元。</w:t>
      </w:r>
    </w:p>
    <w:p>
      <w:pPr>
        <w:pStyle w:val="Style21"/>
        <w:keepNext w:val="0"/>
        <w:keepLines w:val="0"/>
        <w:widowControl w:val="0"/>
        <w:numPr>
          <w:ilvl w:val="0"/>
          <w:numId w:val="9"/>
        </w:numPr>
        <w:shd w:val="clear" w:color="auto" w:fill="auto"/>
        <w:tabs>
          <w:tab w:pos="280" w:val="left"/>
        </w:tabs>
        <w:bidi w:val="0"/>
        <w:spacing w:before="0" w:after="0" w:line="310" w:lineRule="exact"/>
        <w:ind w:left="0" w:right="0" w:firstLine="0"/>
        <w:jc w:val="both"/>
      </w:pPr>
      <w:bookmarkStart w:id="380" w:name="bookmark380"/>
      <w:bookmarkEnd w:id="380"/>
      <w:r>
        <w:rPr>
          <w:color w:val="000000"/>
          <w:spacing w:val="0"/>
          <w:w w:val="100"/>
          <w:position w:val="0"/>
        </w:rPr>
        <w:t>公司子公司市政中心与信阳新投实业有限责任公司签订房屋租赁合同，租赁其位于深圳市福田区振兴路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号建艺大厦</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楼 整层作为办公场所，建筑面积</w:t>
      </w:r>
      <w:r>
        <w:rPr>
          <w:rFonts w:ascii="Times New Roman" w:eastAsia="Times New Roman" w:hAnsi="Times New Roman" w:cs="Times New Roman"/>
          <w:color w:val="000000"/>
          <w:spacing w:val="0"/>
          <w:w w:val="100"/>
          <w:position w:val="0"/>
          <w:sz w:val="18"/>
          <w:szCs w:val="18"/>
        </w:rPr>
        <w:t>1,909.17</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1"/>
        <w:keepNext w:val="0"/>
        <w:keepLines w:val="0"/>
        <w:widowControl w:val="0"/>
        <w:numPr>
          <w:ilvl w:val="0"/>
          <w:numId w:val="9"/>
        </w:numPr>
        <w:shd w:val="clear" w:color="auto" w:fill="auto"/>
        <w:tabs>
          <w:tab w:pos="280" w:val="left"/>
        </w:tabs>
        <w:bidi w:val="0"/>
        <w:spacing w:before="0" w:after="0" w:line="310" w:lineRule="exact"/>
        <w:ind w:left="0" w:right="0" w:firstLine="0"/>
        <w:jc w:val="both"/>
      </w:pPr>
      <w:bookmarkStart w:id="381" w:name="bookmark381"/>
      <w:bookmarkEnd w:id="381"/>
      <w:r>
        <w:rPr>
          <w:color w:val="000000"/>
          <w:spacing w:val="0"/>
          <w:w w:val="100"/>
          <w:position w:val="0"/>
        </w:rPr>
        <w:t>公司子公司建研检测与深圳市联泰房地产开发有限公司签订房屋租赁合同，租赁其位于深圳市龙岗区坪地富坪中路</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号智 居中心的房屋作为办公场所，建筑面积</w:t>
      </w:r>
      <w:r>
        <w:rPr>
          <w:rFonts w:ascii="Times New Roman" w:eastAsia="Times New Roman" w:hAnsi="Times New Roman" w:cs="Times New Roman"/>
          <w:color w:val="000000"/>
          <w:spacing w:val="0"/>
          <w:w w:val="100"/>
          <w:position w:val="0"/>
          <w:sz w:val="18"/>
          <w:szCs w:val="18"/>
        </w:rPr>
        <w:t>4,553.4</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1"/>
        <w:keepNext w:val="0"/>
        <w:keepLines w:val="0"/>
        <w:widowControl w:val="0"/>
        <w:numPr>
          <w:ilvl w:val="0"/>
          <w:numId w:val="9"/>
        </w:numPr>
        <w:shd w:val="clear" w:color="auto" w:fill="auto"/>
        <w:tabs>
          <w:tab w:pos="280" w:val="left"/>
        </w:tabs>
        <w:bidi w:val="0"/>
        <w:spacing w:before="0" w:after="0" w:line="310" w:lineRule="exact"/>
        <w:ind w:left="0" w:right="0" w:firstLine="0"/>
        <w:jc w:val="both"/>
      </w:pPr>
      <w:bookmarkStart w:id="382" w:name="bookmark382"/>
      <w:bookmarkEnd w:id="382"/>
      <w:r>
        <w:rPr>
          <w:color w:val="000000"/>
          <w:spacing w:val="0"/>
          <w:w w:val="100"/>
          <w:position w:val="0"/>
        </w:rPr>
        <w:t>公司及子公司北京艾科城与中关村发展集团股份有限公司签订租赁合同，租赁其位于北京市海淀区西三环北路甲</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BD</w:t>
      </w:r>
      <w:r>
        <w:rPr>
          <w:color w:val="000000"/>
          <w:spacing w:val="0"/>
          <w:w w:val="100"/>
          <w:position w:val="0"/>
        </w:rPr>
        <w:t>连廊之部分写字楼作为办公场所，建筑面积</w:t>
      </w:r>
      <w:r>
        <w:rPr>
          <w:rFonts w:ascii="Times New Roman" w:eastAsia="Times New Roman" w:hAnsi="Times New Roman" w:cs="Times New Roman"/>
          <w:color w:val="000000"/>
          <w:spacing w:val="0"/>
          <w:w w:val="100"/>
          <w:position w:val="0"/>
          <w:sz w:val="18"/>
          <w:szCs w:val="18"/>
        </w:rPr>
        <w:t>965.58</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（二）报告期内，公司作为出租方的租赁事项主要有：</w:t>
      </w:r>
    </w:p>
    <w:p>
      <w:pPr>
        <w:pStyle w:val="Style21"/>
        <w:keepNext w:val="0"/>
        <w:keepLines w:val="0"/>
        <w:widowControl w:val="0"/>
        <w:numPr>
          <w:ilvl w:val="0"/>
          <w:numId w:val="11"/>
        </w:numPr>
        <w:shd w:val="clear" w:color="auto" w:fill="auto"/>
        <w:tabs>
          <w:tab w:pos="261" w:val="left"/>
        </w:tabs>
        <w:bidi w:val="0"/>
        <w:spacing w:before="0" w:after="0" w:line="310" w:lineRule="exact"/>
        <w:ind w:left="0" w:right="0" w:firstLine="0"/>
        <w:jc w:val="both"/>
      </w:pPr>
      <w:bookmarkStart w:id="383" w:name="bookmark383"/>
      <w:bookmarkEnd w:id="383"/>
      <w:r>
        <w:rPr>
          <w:color w:val="000000"/>
          <w:spacing w:val="0"/>
          <w:w w:val="100"/>
          <w:position w:val="0"/>
        </w:rPr>
        <w:t>公司将位于深圳市福田区上梅林梅坳三路</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号建科大楼部分房屋对外出租，报告期共有租户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家，其中主要的租赁合同有:</w:t>
      </w:r>
    </w:p>
    <w:p>
      <w:pPr>
        <w:pStyle w:val="Style21"/>
        <w:keepNext w:val="0"/>
        <w:keepLines w:val="0"/>
        <w:widowControl w:val="0"/>
        <w:shd w:val="clear" w:color="auto" w:fill="auto"/>
        <w:bidi w:val="0"/>
        <w:spacing w:before="0" w:after="0" w:line="310" w:lineRule="exact"/>
        <w:ind w:left="0" w:right="0" w:firstLine="0"/>
        <w:jc w:val="both"/>
      </w:pPr>
      <w:bookmarkStart w:id="384" w:name="bookmark384"/>
      <w:r>
        <w:rPr>
          <w:color w:val="000000"/>
          <w:spacing w:val="0"/>
          <w:w w:val="100"/>
          <w:position w:val="0"/>
        </w:rPr>
        <w:t>（</w:t>
      </w:r>
      <w:bookmarkEnd w:id="3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公司将建科大楼之二层南、北区的房屋出租给深圳市红源旅游景观发展集团有限公司，建筑面积</w:t>
      </w:r>
      <w:r>
        <w:rPr>
          <w:rFonts w:ascii="Times New Roman" w:eastAsia="Times New Roman" w:hAnsi="Times New Roman" w:cs="Times New Roman"/>
          <w:color w:val="000000"/>
          <w:spacing w:val="0"/>
          <w:w w:val="100"/>
          <w:position w:val="0"/>
          <w:sz w:val="18"/>
          <w:szCs w:val="18"/>
        </w:rPr>
        <w:t>1,050.38</w:t>
      </w:r>
      <w:r>
        <w:rPr>
          <w:color w:val="000000"/>
          <w:spacing w:val="0"/>
          <w:w w:val="100"/>
          <w:position w:val="0"/>
        </w:rPr>
        <w:t>平方米，租赁 期限为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1"/>
        <w:keepNext w:val="0"/>
        <w:keepLines w:val="0"/>
        <w:widowControl w:val="0"/>
        <w:shd w:val="clear" w:color="auto" w:fill="auto"/>
        <w:bidi w:val="0"/>
        <w:spacing w:before="0" w:after="0" w:line="310" w:lineRule="exact"/>
        <w:ind w:left="0" w:right="0" w:firstLine="0"/>
        <w:jc w:val="both"/>
      </w:pPr>
      <w:bookmarkStart w:id="385" w:name="bookmark385"/>
      <w:r>
        <w:rPr>
          <w:color w:val="000000"/>
          <w:spacing w:val="0"/>
          <w:w w:val="100"/>
          <w:position w:val="0"/>
        </w:rPr>
        <w:t>（</w:t>
      </w:r>
      <w:bookmarkEnd w:id="3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公司将建科大楼之三层北区</w:t>
      </w:r>
      <w:r>
        <w:rPr>
          <w:rFonts w:ascii="Times New Roman" w:eastAsia="Times New Roman" w:hAnsi="Times New Roman" w:cs="Times New Roman"/>
          <w:color w:val="000000"/>
          <w:spacing w:val="0"/>
          <w:w w:val="100"/>
          <w:position w:val="0"/>
          <w:sz w:val="18"/>
          <w:szCs w:val="18"/>
        </w:rPr>
        <w:t>3A</w:t>
      </w:r>
      <w:r>
        <w:rPr>
          <w:color w:val="000000"/>
          <w:spacing w:val="0"/>
          <w:w w:val="100"/>
          <w:position w:val="0"/>
        </w:rPr>
        <w:t>出租给深圳市福田区政府物业管理中心，建筑面积</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平方米，租赁期限为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1"/>
        <w:keepNext w:val="0"/>
        <w:keepLines w:val="0"/>
        <w:widowControl w:val="0"/>
        <w:shd w:val="clear" w:color="auto" w:fill="auto"/>
        <w:tabs>
          <w:tab w:pos="501" w:val="left"/>
        </w:tabs>
        <w:bidi w:val="0"/>
        <w:spacing w:before="0" w:after="0" w:line="310" w:lineRule="exact"/>
        <w:ind w:left="0" w:right="0" w:firstLine="0"/>
        <w:jc w:val="both"/>
      </w:pPr>
      <w:bookmarkStart w:id="386" w:name="bookmark386"/>
      <w:r>
        <w:rPr>
          <w:color w:val="000000"/>
          <w:spacing w:val="0"/>
          <w:w w:val="100"/>
          <w:position w:val="0"/>
        </w:rPr>
        <w:t>（</w:t>
      </w:r>
      <w:bookmarkEnd w:id="3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公司将建科大楼之四层北区的房屋出租给深圳市海德伦工程咨询有限公司，建筑面积</w:t>
      </w:r>
      <w:r>
        <w:rPr>
          <w:rFonts w:ascii="Times New Roman" w:eastAsia="Times New Roman" w:hAnsi="Times New Roman" w:cs="Times New Roman"/>
          <w:color w:val="000000"/>
          <w:spacing w:val="0"/>
          <w:w w:val="100"/>
          <w:position w:val="0"/>
          <w:sz w:val="18"/>
          <w:szCs w:val="18"/>
        </w:rPr>
        <w:t>438</w:t>
      </w:r>
      <w:r>
        <w:rPr>
          <w:color w:val="000000"/>
          <w:spacing w:val="0"/>
          <w:w w:val="100"/>
          <w:position w:val="0"/>
        </w:rPr>
        <w:t>平方米，租赁期限为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p>
      <w:pPr>
        <w:pStyle w:val="Style21"/>
        <w:keepNext w:val="0"/>
        <w:keepLines w:val="0"/>
        <w:widowControl w:val="0"/>
        <w:shd w:val="clear" w:color="auto" w:fill="auto"/>
        <w:tabs>
          <w:tab w:pos="501" w:val="left"/>
        </w:tabs>
        <w:bidi w:val="0"/>
        <w:spacing w:before="0" w:after="0" w:line="310" w:lineRule="exact"/>
        <w:ind w:left="0" w:right="0" w:firstLine="0"/>
        <w:jc w:val="both"/>
      </w:pPr>
      <w:bookmarkStart w:id="387" w:name="bookmark387"/>
      <w:r>
        <w:rPr>
          <w:color w:val="000000"/>
          <w:spacing w:val="0"/>
          <w:w w:val="100"/>
          <w:position w:val="0"/>
        </w:rPr>
        <w:t>（</w:t>
      </w:r>
      <w:bookmarkEnd w:id="3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公司将建科大楼之四层南区</w:t>
      </w:r>
      <w:r>
        <w:rPr>
          <w:rFonts w:ascii="Times New Roman" w:eastAsia="Times New Roman" w:hAnsi="Times New Roman" w:cs="Times New Roman"/>
          <w:color w:val="000000"/>
          <w:spacing w:val="0"/>
          <w:w w:val="100"/>
          <w:position w:val="0"/>
          <w:sz w:val="18"/>
          <w:szCs w:val="18"/>
        </w:rPr>
        <w:t>4B</w:t>
      </w:r>
      <w:r>
        <w:rPr>
          <w:color w:val="000000"/>
          <w:spacing w:val="0"/>
          <w:w w:val="100"/>
          <w:position w:val="0"/>
        </w:rPr>
        <w:t>的房屋出租给深圳市海德伦工程咨询有限公司，建筑面积</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平方米，租赁期限为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w:t>
      </w:r>
    </w:p>
    <w:p>
      <w:pPr>
        <w:pStyle w:val="Style21"/>
        <w:keepNext w:val="0"/>
        <w:keepLines w:val="0"/>
        <w:widowControl w:val="0"/>
        <w:numPr>
          <w:ilvl w:val="0"/>
          <w:numId w:val="11"/>
        </w:numPr>
        <w:shd w:val="clear" w:color="auto" w:fill="auto"/>
        <w:tabs>
          <w:tab w:pos="280" w:val="left"/>
        </w:tabs>
        <w:bidi w:val="0"/>
        <w:spacing w:before="0" w:after="0" w:line="310" w:lineRule="exact"/>
        <w:ind w:left="0" w:right="0" w:firstLine="0"/>
        <w:jc w:val="both"/>
      </w:pPr>
      <w:bookmarkStart w:id="388" w:name="bookmark388"/>
      <w:bookmarkEnd w:id="388"/>
      <w:r>
        <w:rPr>
          <w:color w:val="000000"/>
          <w:spacing w:val="0"/>
          <w:w w:val="100"/>
          <w:position w:val="0"/>
        </w:rPr>
        <w:t>公司子公司上海爱轲将位于上海市杨浦区江浦路</w:t>
      </w:r>
      <w:r>
        <w:rPr>
          <w:rFonts w:ascii="Times New Roman" w:eastAsia="Times New Roman" w:hAnsi="Times New Roman" w:cs="Times New Roman"/>
          <w:color w:val="000000"/>
          <w:spacing w:val="0"/>
          <w:w w:val="100"/>
          <w:position w:val="0"/>
          <w:sz w:val="18"/>
          <w:szCs w:val="18"/>
        </w:rPr>
        <w:t>627</w:t>
      </w:r>
      <w:r>
        <w:rPr>
          <w:color w:val="000000"/>
          <w:spacing w:val="0"/>
          <w:w w:val="100"/>
          <w:position w:val="0"/>
        </w:rPr>
        <w:t>号上海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朋汇绿色建筑产业园对外出租，报告期内共有租户</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家，其 中主要的租赁合同有：</w:t>
      </w:r>
    </w:p>
    <w:p>
      <w:pPr>
        <w:pStyle w:val="Style21"/>
        <w:keepNext w:val="0"/>
        <w:keepLines w:val="0"/>
        <w:widowControl w:val="0"/>
        <w:shd w:val="clear" w:color="auto" w:fill="auto"/>
        <w:bidi w:val="0"/>
        <w:spacing w:before="0" w:after="0" w:line="310" w:lineRule="exact"/>
        <w:ind w:left="0" w:right="0" w:firstLine="0"/>
        <w:jc w:val="both"/>
      </w:pPr>
      <w:bookmarkStart w:id="389" w:name="bookmark389"/>
      <w:r>
        <w:rPr>
          <w:color w:val="000000"/>
          <w:spacing w:val="0"/>
          <w:w w:val="100"/>
          <w:position w:val="0"/>
        </w:rPr>
        <w:t>（</w:t>
      </w:r>
      <w:bookmarkEnd w:id="3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上海爱轲将上海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朋汇之</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室的房屋出租给上海市杨浦区民政局（杨浦区社会组织创新实践基地），面积为</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平 方米，租赁期为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1"/>
        <w:keepNext w:val="0"/>
        <w:keepLines w:val="0"/>
        <w:widowControl w:val="0"/>
        <w:shd w:val="clear" w:color="auto" w:fill="auto"/>
        <w:tabs>
          <w:tab w:pos="491" w:val="left"/>
        </w:tabs>
        <w:bidi w:val="0"/>
        <w:spacing w:before="0" w:after="0" w:line="310" w:lineRule="exact"/>
        <w:ind w:left="0" w:right="0" w:firstLine="0"/>
        <w:jc w:val="both"/>
      </w:pPr>
      <w:bookmarkStart w:id="390" w:name="bookmark390"/>
      <w:r>
        <w:rPr>
          <w:color w:val="000000"/>
          <w:spacing w:val="0"/>
          <w:w w:val="100"/>
          <w:position w:val="0"/>
        </w:rPr>
        <w:t>（</w:t>
      </w:r>
      <w:bookmarkEnd w:id="3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上海爱轲将上海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朋汇之</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501</w:t>
      </w:r>
      <w:r>
        <w:rPr>
          <w:color w:val="000000"/>
          <w:spacing w:val="0"/>
          <w:w w:val="100"/>
          <w:position w:val="0"/>
        </w:rPr>
        <w:t>室的房屋出租给上海源净环境技术有限责任公司，面积为</w:t>
      </w:r>
      <w:r>
        <w:rPr>
          <w:rFonts w:ascii="Times New Roman" w:eastAsia="Times New Roman" w:hAnsi="Times New Roman" w:cs="Times New Roman"/>
          <w:color w:val="000000"/>
          <w:spacing w:val="0"/>
          <w:w w:val="100"/>
          <w:position w:val="0"/>
          <w:sz w:val="18"/>
          <w:szCs w:val="18"/>
        </w:rPr>
        <w:t>820</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1"/>
        <w:keepNext w:val="0"/>
        <w:keepLines w:val="0"/>
        <w:widowControl w:val="0"/>
        <w:shd w:val="clear" w:color="auto" w:fill="auto"/>
        <w:tabs>
          <w:tab w:pos="501" w:val="left"/>
        </w:tabs>
        <w:bidi w:val="0"/>
        <w:spacing w:before="0" w:after="0" w:line="310" w:lineRule="exact"/>
        <w:ind w:left="0" w:right="0" w:firstLine="0"/>
        <w:jc w:val="both"/>
      </w:pPr>
      <w:bookmarkStart w:id="391" w:name="bookmark391"/>
      <w:r>
        <w:rPr>
          <w:color w:val="000000"/>
          <w:spacing w:val="0"/>
          <w:w w:val="100"/>
          <w:position w:val="0"/>
        </w:rPr>
        <w:t>（</w:t>
      </w:r>
      <w:bookmarkEnd w:id="3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上海爱轲将上海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朋汇之</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室、</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室的房屋出租给上海鸿沣餐饮有限公司，面积为</w:t>
      </w:r>
      <w:r>
        <w:rPr>
          <w:rFonts w:ascii="Times New Roman" w:eastAsia="Times New Roman" w:hAnsi="Times New Roman" w:cs="Times New Roman"/>
          <w:color w:val="000000"/>
          <w:spacing w:val="0"/>
          <w:w w:val="100"/>
          <w:position w:val="0"/>
          <w:sz w:val="18"/>
          <w:szCs w:val="18"/>
        </w:rPr>
        <w:t>715.39</w:t>
      </w:r>
      <w:r>
        <w:rPr>
          <w:color w:val="000000"/>
          <w:spacing w:val="0"/>
          <w:w w:val="100"/>
          <w:position w:val="0"/>
        </w:rPr>
        <w:t>平方米，</w:t>
      </w:r>
      <w:r>
        <w:rPr>
          <w:rFonts w:ascii="Times New Roman" w:eastAsia="Times New Roman" w:hAnsi="Times New Roman" w:cs="Times New Roman"/>
          <w:color w:val="000000"/>
          <w:spacing w:val="0"/>
          <w:w w:val="100"/>
          <w:position w:val="0"/>
          <w:sz w:val="18"/>
          <w:szCs w:val="18"/>
        </w:rPr>
        <w:t>108</w:t>
      </w:r>
      <w:r>
        <w:rPr>
          <w:color w:val="000000"/>
          <w:spacing w:val="0"/>
          <w:w w:val="100"/>
          <w:position w:val="0"/>
        </w:rPr>
        <w:t>室租赁期 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210</w:t>
      </w:r>
      <w:r>
        <w:rPr>
          <w:color w:val="000000"/>
          <w:spacing w:val="0"/>
          <w:w w:val="100"/>
          <w:position w:val="0"/>
        </w:rPr>
        <w:t>室租赁期为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p>
      <w:pPr>
        <w:pStyle w:val="Style21"/>
        <w:keepNext w:val="0"/>
        <w:keepLines w:val="0"/>
        <w:widowControl w:val="0"/>
        <w:shd w:val="clear" w:color="auto" w:fill="auto"/>
        <w:tabs>
          <w:tab w:pos="501" w:val="left"/>
        </w:tabs>
        <w:bidi w:val="0"/>
        <w:spacing w:before="0" w:after="0" w:line="310" w:lineRule="exact"/>
        <w:ind w:left="0" w:right="0" w:firstLine="0"/>
        <w:jc w:val="both"/>
      </w:pPr>
      <w:bookmarkStart w:id="392" w:name="bookmark392"/>
      <w:r>
        <w:rPr>
          <w:color w:val="000000"/>
          <w:spacing w:val="0"/>
          <w:w w:val="100"/>
          <w:position w:val="0"/>
        </w:rPr>
        <w:t>（</w:t>
      </w:r>
      <w:bookmarkEnd w:id="39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上海爱轲将上海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朋汇之</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室的房屋出租给上海智川文化传播有限公司，面积为</w:t>
      </w:r>
      <w:r>
        <w:rPr>
          <w:rFonts w:ascii="Times New Roman" w:eastAsia="Times New Roman" w:hAnsi="Times New Roman" w:cs="Times New Roman"/>
          <w:color w:val="000000"/>
          <w:spacing w:val="0"/>
          <w:w w:val="100"/>
          <w:position w:val="0"/>
          <w:sz w:val="18"/>
          <w:szCs w:val="18"/>
        </w:rPr>
        <w:t>283.47</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1"/>
        <w:keepNext w:val="0"/>
        <w:keepLines w:val="0"/>
        <w:widowControl w:val="0"/>
        <w:shd w:val="clear" w:color="auto" w:fill="auto"/>
        <w:tabs>
          <w:tab w:pos="501" w:val="left"/>
        </w:tabs>
        <w:bidi w:val="0"/>
        <w:spacing w:before="0" w:after="140" w:line="310" w:lineRule="exact"/>
        <w:ind w:left="0" w:right="0" w:firstLine="0"/>
        <w:jc w:val="both"/>
      </w:pPr>
      <w:bookmarkStart w:id="393" w:name="bookmark393"/>
      <w:r>
        <w:rPr>
          <w:color w:val="000000"/>
          <w:spacing w:val="0"/>
          <w:w w:val="100"/>
          <w:position w:val="0"/>
        </w:rPr>
        <w:t>（</w:t>
      </w:r>
      <w:bookmarkEnd w:id="39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上海爱轲将上海</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朋汇之</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幢</w:t>
      </w:r>
      <w:r>
        <w:rPr>
          <w:rFonts w:ascii="Times New Roman" w:eastAsia="Times New Roman" w:hAnsi="Times New Roman" w:cs="Times New Roman"/>
          <w:color w:val="000000"/>
          <w:spacing w:val="0"/>
          <w:w w:val="100"/>
          <w:position w:val="0"/>
          <w:sz w:val="18"/>
          <w:szCs w:val="18"/>
        </w:rPr>
        <w:t>101</w:t>
      </w:r>
      <w:r>
        <w:rPr>
          <w:color w:val="000000"/>
          <w:spacing w:val="0"/>
          <w:w w:val="100"/>
          <w:position w:val="0"/>
        </w:rPr>
        <w:t>室的房屋出租给上海统一星巴克咖啡有限公司，建筑面积为</w:t>
      </w:r>
      <w:r>
        <w:rPr>
          <w:rFonts w:ascii="Times New Roman" w:eastAsia="Times New Roman" w:hAnsi="Times New Roman" w:cs="Times New Roman"/>
          <w:color w:val="000000"/>
          <w:spacing w:val="0"/>
          <w:w w:val="100"/>
          <w:position w:val="0"/>
          <w:sz w:val="18"/>
          <w:szCs w:val="18"/>
        </w:rPr>
        <w:t>180</w:t>
      </w:r>
      <w:r>
        <w:rPr>
          <w:color w:val="000000"/>
          <w:spacing w:val="0"/>
          <w:w w:val="100"/>
          <w:position w:val="0"/>
        </w:rPr>
        <w:t>平方米，租赁期为</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p>
      <w:pPr>
        <w:pStyle w:val="Style21"/>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4"/>
        <w:keepNext/>
        <w:keepLines/>
        <w:widowControl w:val="0"/>
        <w:shd w:val="clear" w:color="auto" w:fill="auto"/>
        <w:tabs>
          <w:tab w:pos="378" w:val="left"/>
        </w:tabs>
        <w:bidi w:val="0"/>
        <w:spacing w:before="0" w:line="240" w:lineRule="auto"/>
        <w:ind w:left="0" w:right="0" w:firstLine="0"/>
        <w:jc w:val="left"/>
      </w:pPr>
      <w:bookmarkStart w:id="394" w:name="bookmark394"/>
      <w:bookmarkStart w:id="395" w:name="bookmark395"/>
      <w:bookmarkStart w:id="396" w:name="bookmark396"/>
      <w:bookmarkStart w:id="397" w:name="bookmark397"/>
      <w:r>
        <w:rPr>
          <w:rFonts w:ascii="Times New Roman" w:eastAsia="Times New Roman" w:hAnsi="Times New Roman" w:cs="Times New Roman"/>
          <w:color w:val="000000"/>
          <w:spacing w:val="0"/>
          <w:w w:val="100"/>
          <w:position w:val="0"/>
        </w:rPr>
        <w:t>2</w:t>
      </w:r>
      <w:bookmarkEnd w:id="396"/>
      <w:r>
        <w:rPr>
          <w:color w:val="000000"/>
          <w:spacing w:val="0"/>
          <w:w w:val="100"/>
          <w:position w:val="0"/>
        </w:rPr>
        <w:t>、</w:t>
        <w:tab/>
        <w:t>重大担保</w:t>
      </w:r>
      <w:bookmarkEnd w:id="394"/>
      <w:bookmarkEnd w:id="395"/>
      <w:bookmarkEnd w:id="397"/>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公司报告期不存在担保情况。</w:t>
      </w:r>
    </w:p>
    <w:p>
      <w:pPr>
        <w:pStyle w:val="Style34"/>
        <w:keepNext/>
        <w:keepLines/>
        <w:widowControl w:val="0"/>
        <w:shd w:val="clear" w:color="auto" w:fill="auto"/>
        <w:tabs>
          <w:tab w:pos="378" w:val="left"/>
        </w:tabs>
        <w:bidi w:val="0"/>
        <w:spacing w:before="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3</w:t>
      </w:r>
      <w:bookmarkEnd w:id="400"/>
      <w:r>
        <w:rPr>
          <w:color w:val="000000"/>
          <w:spacing w:val="0"/>
          <w:w w:val="100"/>
          <w:position w:val="0"/>
        </w:rPr>
        <w:t>、</w:t>
        <w:tab/>
        <w:t>日常经营重大合同</w:t>
      </w:r>
      <w:bookmarkEnd w:id="398"/>
      <w:bookmarkEnd w:id="399"/>
      <w:bookmarkEnd w:id="401"/>
    </w:p>
    <w:p>
      <w:pPr>
        <w:pStyle w:val="Style37"/>
        <w:keepNext w:val="0"/>
        <w:keepLines w:val="0"/>
        <w:widowControl w:val="0"/>
        <w:shd w:val="clear" w:color="auto" w:fill="auto"/>
        <w:bidi w:val="0"/>
        <w:spacing w:before="0" w:after="0" w:line="240" w:lineRule="auto"/>
        <w:ind w:left="8448" w:right="0" w:firstLine="0"/>
        <w:jc w:val="left"/>
      </w:pPr>
      <w:r>
        <w:rPr>
          <w:color w:val="000000"/>
          <w:spacing w:val="0"/>
          <w:w w:val="100"/>
          <w:position w:val="0"/>
        </w:rPr>
        <w:t>单位：万元</w:t>
      </w:r>
    </w:p>
    <w:tbl>
      <w:tblPr>
        <w:tblOverlap w:val="never"/>
        <w:jc w:val="center"/>
        <w:tblLayout w:type="fixed"/>
      </w:tblPr>
      <w:tblGrid>
        <w:gridCol w:w="715"/>
        <w:gridCol w:w="1555"/>
        <w:gridCol w:w="994"/>
        <w:gridCol w:w="1421"/>
        <w:gridCol w:w="850"/>
        <w:gridCol w:w="989"/>
        <w:gridCol w:w="672"/>
        <w:gridCol w:w="1066"/>
        <w:gridCol w:w="1070"/>
      </w:tblGrid>
      <w:tr>
        <w:trPr>
          <w:trHeight w:val="16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合同订 立公司 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合同订立对方名称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合同履行的进度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 的销售收 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 款回款 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影响重大合 同履行的各 项条件是否 发生重大变</w:t>
            </w:r>
          </w:p>
          <w:p>
            <w:pPr>
              <w:pStyle w:val="Style27"/>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化</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是否存在合 同无法履行 的重大风险</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深圳市龙岗区住房</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和建设局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39,957.37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河北雄安商务服务 中心有限公司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18,934.75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4,009.26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10,865.01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4</w:t>
      </w:r>
      <w:bookmarkEnd w:id="404"/>
      <w:r>
        <w:rPr>
          <w:color w:val="000000"/>
          <w:spacing w:val="0"/>
          <w:w w:val="100"/>
          <w:position w:val="0"/>
        </w:rPr>
        <w:t>、委托他人进行现金资产管理情况</w:t>
      </w:r>
      <w:bookmarkEnd w:id="402"/>
      <w:bookmarkEnd w:id="403"/>
      <w:bookmarkEnd w:id="405"/>
    </w:p>
    <w:p>
      <w:pPr>
        <w:pStyle w:val="Style34"/>
        <w:keepNext/>
        <w:keepLines/>
        <w:widowControl w:val="0"/>
        <w:shd w:val="clear" w:color="auto" w:fill="auto"/>
        <w:bidi w:val="0"/>
        <w:spacing w:before="0" w:line="240" w:lineRule="auto"/>
        <w:ind w:left="0" w:right="0" w:firstLine="0"/>
        <w:jc w:val="left"/>
      </w:pPr>
      <w:bookmarkStart w:id="402" w:name="bookmark402"/>
      <w:bookmarkStart w:id="403" w:name="bookmark403"/>
      <w:bookmarkStart w:id="406" w:name="bookmark406"/>
      <w:bookmarkStart w:id="407" w:name="bookmark407"/>
      <w:r>
        <w:rPr>
          <w:color w:val="000000"/>
          <w:spacing w:val="0"/>
          <w:w w:val="100"/>
          <w:position w:val="0"/>
        </w:rPr>
        <w:t>（</w:t>
      </w:r>
      <w:bookmarkEnd w:id="406"/>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02"/>
      <w:bookmarkEnd w:id="403"/>
      <w:bookmarkEnd w:id="407"/>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37"/>
        <w:keepNext w:val="0"/>
        <w:keepLines w:val="0"/>
        <w:widowControl w:val="0"/>
        <w:shd w:val="clear" w:color="auto" w:fill="auto"/>
        <w:bidi w:val="0"/>
        <w:spacing w:before="0" w:after="0" w:line="240" w:lineRule="auto"/>
        <w:ind w:left="8702" w:right="0" w:firstLine="0"/>
        <w:jc w:val="lef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4,301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委托理财出现预期无法收回本金或存在其他可能导致减值的情形</w:t>
      </w:r>
    </w:p>
    <w:p>
      <w:pPr>
        <w:pStyle w:val="Style21"/>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w:t>
      </w:r>
      <w:bookmarkEnd w:id="410"/>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408"/>
      <w:bookmarkEnd w:id="409"/>
      <w:bookmarkEnd w:id="411"/>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16"/>
        <w:keepNext/>
        <w:keepLines/>
        <w:widowControl w:val="0"/>
        <w:shd w:val="clear" w:color="auto" w:fill="auto"/>
        <w:tabs>
          <w:tab w:leader="underscore" w:pos="2591" w:val="left"/>
        </w:tabs>
        <w:bidi w:val="0"/>
        <w:spacing w:before="0" w:after="0" w:line="240" w:lineRule="auto"/>
        <w:ind w:left="0" w:right="0"/>
        <w:jc w:val="left"/>
      </w:pPr>
      <w:bookmarkStart w:id="412" w:name="bookmark412"/>
      <w:bookmarkStart w:id="413" w:name="bookmark413"/>
      <w:bookmarkStart w:id="414" w:name="bookmark414"/>
      <w:r>
        <w:rPr>
          <w:spacing w:val="0"/>
          <w:w w:val="100"/>
          <w:position w:val="0"/>
        </w:rPr>
        <w:t>i3R</w:t>
      </w:r>
      <w:r>
        <w:rPr>
          <w:color w:val="000000"/>
          <w:spacing w:val="0"/>
          <w:w w:val="100"/>
          <w:position w:val="0"/>
        </w:rPr>
        <w:tab/>
      </w:r>
      <w:bookmarkEnd w:id="412"/>
      <w:bookmarkEnd w:id="413"/>
      <w:bookmarkEnd w:id="414"/>
    </w:p>
    <w:p>
      <w:pPr>
        <w:pStyle w:val="Style34"/>
        <w:keepNext/>
        <w:keepLines/>
        <w:widowControl w:val="0"/>
        <w:shd w:val="clear" w:color="auto" w:fill="auto"/>
        <w:bidi w:val="0"/>
        <w:spacing w:before="0" w:after="260" w:line="240" w:lineRule="auto"/>
        <w:ind w:left="0" w:right="0" w:firstLine="0"/>
        <w:jc w:val="both"/>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5</w:t>
      </w:r>
      <w:bookmarkEnd w:id="417"/>
      <w:r>
        <w:rPr>
          <w:color w:val="000000"/>
          <w:spacing w:val="0"/>
          <w:w w:val="100"/>
          <w:position w:val="0"/>
        </w:rPr>
        <w:t>、其他重大合同</w:t>
      </w:r>
      <w:bookmarkEnd w:id="415"/>
      <w:bookmarkEnd w:id="416"/>
      <w:bookmarkEnd w:id="418"/>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公司报告期不存在其他重大合同。</w:t>
      </w:r>
    </w:p>
    <w:p>
      <w:pPr>
        <w:pStyle w:val="Style30"/>
        <w:keepNext/>
        <w:keepLines/>
        <w:widowControl w:val="0"/>
        <w:shd w:val="clear" w:color="auto" w:fill="auto"/>
        <w:bidi w:val="0"/>
        <w:spacing w:before="0" w:after="380" w:line="240" w:lineRule="auto"/>
        <w:ind w:left="0" w:right="0" w:firstLine="0"/>
        <w:jc w:val="both"/>
      </w:pPr>
      <w:bookmarkStart w:id="419" w:name="bookmark419"/>
      <w:bookmarkStart w:id="420" w:name="bookmark420"/>
      <w:bookmarkStart w:id="421" w:name="bookmark421"/>
      <w:r>
        <w:rPr>
          <w:color w:val="000000"/>
          <w:spacing w:val="0"/>
          <w:w w:val="100"/>
          <w:position w:val="0"/>
        </w:rPr>
        <w:t>十七、社会责任情况</w:t>
      </w:r>
      <w:bookmarkEnd w:id="419"/>
      <w:bookmarkEnd w:id="420"/>
      <w:bookmarkEnd w:id="421"/>
    </w:p>
    <w:p>
      <w:pPr>
        <w:pStyle w:val="Style34"/>
        <w:keepNext/>
        <w:keepLines/>
        <w:widowControl w:val="0"/>
        <w:shd w:val="clear" w:color="auto" w:fill="auto"/>
        <w:bidi w:val="0"/>
        <w:spacing w:before="0" w:after="260" w:line="240" w:lineRule="auto"/>
        <w:ind w:left="0" w:right="0" w:firstLine="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、履行社会责任情况</w:t>
      </w:r>
      <w:bookmarkEnd w:id="422"/>
      <w:bookmarkEnd w:id="423"/>
      <w:bookmarkEnd w:id="425"/>
    </w:p>
    <w:p>
      <w:pPr>
        <w:pStyle w:val="Style21"/>
        <w:keepNext w:val="0"/>
        <w:keepLines w:val="0"/>
        <w:widowControl w:val="0"/>
        <w:shd w:val="clear" w:color="auto" w:fill="auto"/>
        <w:tabs>
          <w:tab w:pos="393" w:val="left"/>
        </w:tabs>
        <w:bidi w:val="0"/>
        <w:spacing w:before="0" w:after="0" w:line="312" w:lineRule="exact"/>
        <w:ind w:left="0" w:right="0" w:firstLine="0"/>
        <w:jc w:val="both"/>
      </w:pPr>
      <w:bookmarkStart w:id="426" w:name="bookmark426"/>
      <w:r>
        <w:rPr>
          <w:color w:val="000000"/>
          <w:spacing w:val="0"/>
          <w:w w:val="100"/>
          <w:position w:val="0"/>
        </w:rPr>
        <w:t>（</w:t>
      </w:r>
      <w:bookmarkEnd w:id="4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长期致力于城市绿色发展领域，推动绿色工作和生活方式普及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公司长期深耕于城市绿色发展领域，为多个区域不同城市提供生态规划、绿色园区和建筑的设计和咨询、绿色建设运营、节 能改造、绿色人居等全过程服务或组合业务服务，同时主、参编包括《绿色建筑评价标准》等各级标准，开展绿色建筑领域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五感六性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（即使用者的味觉、嗅觉、视觉、听觉、触觉，及技术的安全性、适用性、舒适性、健康性、环境性和经济性等） 研究、以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为导向的生态城市领域研究及直流电技术在建筑和城市领域等的研究应用，直接参与和推动了 全国建筑节能强制实施和绿色建筑的普及。同时，公司也长期致力于绿色建筑的知识普及和传播：依托建科大楼（</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年起 接待</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万人次）、深圳国际低碳城会展中心（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年起接待</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万人次）建设科普教育基地、环境教育基地、大学生实习基地 及中小学第二课堂，设立市民开放日，积极向社会宣传绿色建筑文化、理论和技术；另一方面则基于国际绿色建筑与建筑节 能大会暨新技术与产品博览会（连续</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次派团参展）、国际低碳城论坛、中国建筑学会学术年会、区块链全球峰会、建科大 讲堂等各种学术会议，分享公司在绿色生态城区建设、绿色建筑发展、直流研发探索、区块链技术应用等方面的经验与成果， 助力行业技术发展和管理变革。此外，公司自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三有荟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（有机、有趣、有爱）平台，面向行业和公众组织主办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解密水质检测活动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直流建筑百问线上讲堂直流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话*“天赐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绿色音乐会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（先后两季共有七千多名观众线下观赏，线上 观看人次超千万）等活动，更大范围普惠绿色生活方式。通过上述举措，持续促进城市、建筑领域的绿色发展，以及社会大 众的绿色生活参与度，为推动全社会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碳达峰碳中和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的实现发挥积极作用。</w:t>
      </w:r>
    </w:p>
    <w:p>
      <w:pPr>
        <w:pStyle w:val="Style21"/>
        <w:keepNext w:val="0"/>
        <w:keepLines w:val="0"/>
        <w:widowControl w:val="0"/>
        <w:shd w:val="clear" w:color="auto" w:fill="auto"/>
        <w:tabs>
          <w:tab w:pos="393" w:val="left"/>
        </w:tabs>
        <w:bidi w:val="0"/>
        <w:spacing w:before="0" w:after="0" w:line="312" w:lineRule="exact"/>
        <w:ind w:left="0" w:right="0" w:firstLine="0"/>
        <w:jc w:val="both"/>
      </w:pPr>
      <w:bookmarkStart w:id="427" w:name="bookmark427"/>
      <w:r>
        <w:rPr>
          <w:color w:val="000000"/>
          <w:spacing w:val="0"/>
          <w:w w:val="100"/>
          <w:position w:val="0"/>
        </w:rPr>
        <w:t>（</w:t>
      </w:r>
      <w:bookmarkEnd w:id="4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创新业务服务社会需求</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在开展科研创新实践的同时，公司也结合大众对宜居空间的切身需求，不断推动创新成果转化和业务创新。其中，公司的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室 内装饰装修污染预测与控制服务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业务，能为室内空气环境提供装修全过程的控制方案，在过往服务商业建筑、住宅建筑、 教育建筑的基础上，在报告期内于多个学校实施，装修完成并配置家具后，污染物浓度仍明显低于国家标准限值，从实际出 发保护学生呼吸健康安全；基于研发成果开展既有居住建筑与小区海绵化改造，结合场地特点、生态环境等要素，对某一低 洼处逢雨必涝、地下车库顶板渗漏明显的小区开展改造，通过布局优化、打造趣味景观等手段，使其观赏价值提高的同时也 具备较强的雨水自然积存、滞蓄净化功能，整体提升为舒适宜居的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海绵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花园小区，居民的生活满意度也得以有效提升。</w:t>
      </w:r>
    </w:p>
    <w:p>
      <w:pPr>
        <w:pStyle w:val="Style21"/>
        <w:keepNext w:val="0"/>
        <w:keepLines w:val="0"/>
        <w:widowControl w:val="0"/>
        <w:shd w:val="clear" w:color="auto" w:fill="auto"/>
        <w:tabs>
          <w:tab w:pos="393" w:val="left"/>
        </w:tabs>
        <w:bidi w:val="0"/>
        <w:spacing w:before="0" w:after="0" w:line="312" w:lineRule="exact"/>
        <w:ind w:left="0" w:right="0" w:firstLine="0"/>
        <w:jc w:val="both"/>
      </w:pPr>
      <w:bookmarkStart w:id="428" w:name="bookmark428"/>
      <w:r>
        <w:rPr>
          <w:color w:val="000000"/>
          <w:spacing w:val="0"/>
          <w:w w:val="100"/>
          <w:position w:val="0"/>
        </w:rPr>
        <w:t>（</w:t>
      </w:r>
      <w:bookmarkEnd w:id="42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积极参与城市工程建设领域高质量发展</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为构建与深圳市高质量城市建设相适应的深圳市建设工程标准体系，在深圳市住建局的指导下，由公司牵头筹建的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建设工程标准学会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正式成立，致力于推动深圳市在建设工程标准体系的改革，成为深圳建设工程标准化的高效联结器。</w:t>
      </w:r>
    </w:p>
    <w:p>
      <w:pPr>
        <w:pStyle w:val="Style21"/>
        <w:keepNext w:val="0"/>
        <w:keepLines w:val="0"/>
        <w:widowControl w:val="0"/>
        <w:shd w:val="clear" w:color="auto" w:fill="auto"/>
        <w:tabs>
          <w:tab w:pos="393" w:val="left"/>
        </w:tabs>
        <w:bidi w:val="0"/>
        <w:spacing w:before="0" w:after="0" w:line="312" w:lineRule="exact"/>
        <w:ind w:left="0" w:right="0" w:firstLine="0"/>
        <w:jc w:val="both"/>
      </w:pPr>
      <w:bookmarkStart w:id="429" w:name="bookmark429"/>
      <w:r>
        <w:rPr>
          <w:color w:val="000000"/>
          <w:spacing w:val="0"/>
          <w:w w:val="100"/>
          <w:position w:val="0"/>
        </w:rPr>
        <w:t>（</w:t>
      </w:r>
      <w:bookmarkEnd w:id="42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以党建助力地区发展，让更多人享受艺术的美好</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公司位于雄安总部的党支部积极利用自身资源，与雄安容城县白塔村村委会等单位组织开展联合党建活动，吸引多家企业的 雄安公司党支部共同参加，积极吸纳先进思想理念，探索社区发展新路径、新模式，创造更加宜居的新区环境，共同助力白 塔村于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月获得中央文明办评选的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全国文明村镇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同时，公司也基于过往的城市空间公共艺术化的研究和实践经验，在雄安新区进一步推广城市绿色艺术化微改造，于报告期 内承接雄安的首个公共艺术项目一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漫生活街区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，组织国内外艺术家共同创作，以绿色生活方式为引领，将自然、艺术与 生活深度融合，将旧街区打造成当地的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打卡地，让艺术触手可及，为当地居民和雄安建设者创造又一新的社交、休闲、 娱乐、教育等于一体的平台，也受到了包括中央级媒体的多次报道。</w:t>
      </w:r>
    </w:p>
    <w:p>
      <w:pPr>
        <w:pStyle w:val="Style21"/>
        <w:keepNext w:val="0"/>
        <w:keepLines w:val="0"/>
        <w:widowControl w:val="0"/>
        <w:shd w:val="clear" w:color="auto" w:fill="auto"/>
        <w:tabs>
          <w:tab w:pos="393" w:val="left"/>
        </w:tabs>
        <w:bidi w:val="0"/>
        <w:spacing w:before="0" w:after="0" w:line="312" w:lineRule="exact"/>
        <w:ind w:left="0" w:right="0" w:firstLine="0"/>
        <w:jc w:val="both"/>
      </w:pPr>
      <w:bookmarkStart w:id="430" w:name="bookmark430"/>
      <w:r>
        <w:rPr>
          <w:color w:val="000000"/>
          <w:spacing w:val="0"/>
          <w:w w:val="100"/>
          <w:position w:val="0"/>
        </w:rPr>
        <w:t>（</w:t>
      </w:r>
      <w:bookmarkEnd w:id="430"/>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积极参与防疫工作</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面对报告期初的新冠疫情影响，公司快速响应、积极应对，采用多种途径确保公司及包含湖北区域在内的分、子公司全体员 工零感染，并在此基础上向社会免费开放自主研发的防疫管理自用小程序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伊康健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，以及积极响应深圳市国资委的号召，对</w:t>
      </w:r>
    </w:p>
    <w:p>
      <w:pPr>
        <w:pStyle w:val="Style16"/>
        <w:keepNext/>
        <w:keepLines/>
        <w:widowControl w:val="0"/>
        <w:shd w:val="clear" w:color="auto" w:fill="auto"/>
        <w:tabs>
          <w:tab w:leader="underscore" w:pos="3494" w:val="left"/>
        </w:tabs>
        <w:bidi w:val="0"/>
        <w:spacing w:before="0" w:after="0" w:line="240" w:lineRule="auto"/>
        <w:ind w:left="0" w:right="0"/>
        <w:jc w:val="left"/>
      </w:pPr>
      <w:bookmarkStart w:id="431" w:name="bookmark431"/>
      <w:bookmarkStart w:id="432" w:name="bookmark432"/>
      <w:bookmarkStart w:id="433" w:name="bookmark433"/>
      <w:r>
        <w:rPr>
          <w:spacing w:val="0"/>
          <w:w w:val="100"/>
          <w:position w:val="0"/>
        </w:rPr>
        <w:t>i3R</w:t>
      </w:r>
      <w:r>
        <w:rPr>
          <w:color w:val="000000"/>
          <w:spacing w:val="0"/>
          <w:w w:val="100"/>
          <w:position w:val="0"/>
        </w:rPr>
        <w:tab/>
      </w:r>
      <w:bookmarkEnd w:id="431"/>
      <w:bookmarkEnd w:id="432"/>
      <w:bookmarkEnd w:id="433"/>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租用自有物业的多家租户实行减租约</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万元。</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同时，在深圳疫情风险最高、防护物资短缺的防疫工作初期，公司还响应深圳市国资委统一部署，派出一名党员干部专职参 与街道指导服务组，为市、区、街道、社区四级联动方案的落实提供了科学、及时、有效的指导和帮助，得到了深圳市委组 织部的肯定。公司也根据深圳各区需要，数次派出技术团队为防疫设施开展结构安全排查工作，据不完全统计共排查防疫酒 店约</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所，以技术力量保障城市防疫工作的正常开展。</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此外，公司在保障员工健康的同时，为湖北武汉的医疗队筹措捐助医疗防护口罩</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个，为华中科技大学同济医学院法医学 系捐赠</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套防护服与</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只</w:t>
      </w:r>
      <w:r>
        <w:rPr>
          <w:rFonts w:ascii="Times New Roman" w:eastAsia="Times New Roman" w:hAnsi="Times New Roman" w:cs="Times New Roman"/>
          <w:color w:val="000000"/>
          <w:spacing w:val="0"/>
          <w:w w:val="100"/>
          <w:position w:val="0"/>
          <w:sz w:val="18"/>
          <w:szCs w:val="18"/>
        </w:rPr>
        <w:t>KN95</w:t>
      </w:r>
      <w:r>
        <w:rPr>
          <w:color w:val="000000"/>
          <w:spacing w:val="0"/>
          <w:w w:val="100"/>
          <w:position w:val="0"/>
        </w:rPr>
        <w:t>口罩；另一方面，据不完全统计，有超过</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名员工自发通过深圳妇联向一线抗疫医护人员 家庭捐款，表达对他们的关爱和支持。</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公司还发挥城市领域科研优势，组织技术专家研究编制《深圳市民用建筑防疫技术导则》，以专业技术推动健康城市和社会 公共卫生管理，贡献建设性的策略建议。</w:t>
      </w:r>
    </w:p>
    <w:p>
      <w:pPr>
        <w:pStyle w:val="Style21"/>
        <w:keepNext w:val="0"/>
        <w:keepLines w:val="0"/>
        <w:widowControl w:val="0"/>
        <w:shd w:val="clear" w:color="auto" w:fill="auto"/>
        <w:bidi w:val="0"/>
        <w:spacing w:before="0" w:after="0" w:line="313" w:lineRule="exact"/>
        <w:ind w:left="0" w:right="0" w:firstLine="0"/>
        <w:jc w:val="both"/>
      </w:pPr>
      <w:bookmarkStart w:id="434" w:name="bookmark434"/>
      <w:r>
        <w:rPr>
          <w:color w:val="000000"/>
          <w:spacing w:val="0"/>
          <w:w w:val="100"/>
          <w:position w:val="0"/>
        </w:rPr>
        <w:t>（</w:t>
      </w:r>
      <w:bookmarkEnd w:id="434"/>
      <w:r>
        <w:rPr>
          <w:rFonts w:ascii="Times New Roman" w:eastAsia="Times New Roman" w:hAnsi="Times New Roman" w:cs="Times New Roman"/>
          <w:color w:val="000000"/>
          <w:spacing w:val="0"/>
          <w:w w:val="100"/>
          <w:position w:val="0"/>
          <w:sz w:val="18"/>
          <w:szCs w:val="18"/>
        </w:rPr>
        <w:t>6</w:t>
      </w:r>
      <w:r>
        <w:rPr>
          <w:color w:val="000000"/>
          <w:spacing w:val="0"/>
          <w:w w:val="100"/>
          <w:position w:val="0"/>
        </w:rPr>
        <w:t>）继续积极参与对口扶贫工作</w:t>
      </w:r>
    </w:p>
    <w:p>
      <w:pPr>
        <w:pStyle w:val="Style2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公司派出的专职干部于报告期内继续担任河源市龙川县麻布岗镇瑚径村担任驻村工作队队长兼第一书记，积极参与河源对 口扶贫工作，并在疫情防控期间一直坚守一线，将防疫工作落实到基层，同时也为全国脱贫攻坚战贡献力量。</w:t>
      </w:r>
    </w:p>
    <w:p>
      <w:pPr>
        <w:pStyle w:val="Style34"/>
        <w:keepNext/>
        <w:keepLines/>
        <w:widowControl w:val="0"/>
        <w:shd w:val="clear" w:color="auto" w:fill="auto"/>
        <w:bidi w:val="0"/>
        <w:spacing w:before="0" w:after="380" w:line="240" w:lineRule="auto"/>
        <w:ind w:left="0" w:right="0" w:firstLine="0"/>
        <w:jc w:val="both"/>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、履行精准扶贫社会责任情况</w:t>
      </w:r>
      <w:bookmarkEnd w:id="435"/>
      <w:bookmarkEnd w:id="436"/>
      <w:bookmarkEnd w:id="438"/>
    </w:p>
    <w:p>
      <w:pPr>
        <w:pStyle w:val="Style34"/>
        <w:keepNext/>
        <w:keepLines/>
        <w:widowControl w:val="0"/>
        <w:shd w:val="clear" w:color="auto" w:fill="auto"/>
        <w:tabs>
          <w:tab w:pos="493" w:val="left"/>
        </w:tabs>
        <w:bidi w:val="0"/>
        <w:spacing w:before="0" w:after="280" w:line="240" w:lineRule="auto"/>
        <w:ind w:left="0" w:right="0" w:firstLine="0"/>
        <w:jc w:val="both"/>
      </w:pPr>
      <w:bookmarkStart w:id="435" w:name="bookmark435"/>
      <w:bookmarkStart w:id="436" w:name="bookmark436"/>
      <w:bookmarkStart w:id="439" w:name="bookmark439"/>
      <w:bookmarkStart w:id="440" w:name="bookmark440"/>
      <w:r>
        <w:rPr>
          <w:color w:val="000000"/>
          <w:spacing w:val="0"/>
          <w:w w:val="100"/>
          <w:position w:val="0"/>
        </w:rPr>
        <w:t>（</w:t>
      </w:r>
      <w:bookmarkEnd w:id="439"/>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35"/>
      <w:bookmarkEnd w:id="436"/>
      <w:bookmarkEnd w:id="440"/>
    </w:p>
    <w:p>
      <w:pPr>
        <w:pStyle w:val="Style2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公司报告年度暂未开展精准扶贫工作，也暂无后续精准扶贫计划。</w:t>
      </w:r>
    </w:p>
    <w:p>
      <w:pPr>
        <w:pStyle w:val="Style34"/>
        <w:keepNext/>
        <w:keepLines/>
        <w:widowControl w:val="0"/>
        <w:shd w:val="clear" w:color="auto" w:fill="auto"/>
        <w:tabs>
          <w:tab w:pos="493" w:val="left"/>
        </w:tabs>
        <w:bidi w:val="0"/>
        <w:spacing w:before="0" w:after="280" w:line="240" w:lineRule="auto"/>
        <w:ind w:left="0" w:right="0" w:firstLine="0"/>
        <w:jc w:val="both"/>
      </w:pPr>
      <w:bookmarkStart w:id="441" w:name="bookmark441"/>
      <w:bookmarkStart w:id="442" w:name="bookmark442"/>
      <w:bookmarkStart w:id="443" w:name="bookmark443"/>
      <w:bookmarkStart w:id="444" w:name="bookmark444"/>
      <w:r>
        <w:rPr>
          <w:color w:val="000000"/>
          <w:spacing w:val="0"/>
          <w:w w:val="100"/>
          <w:position w:val="0"/>
        </w:rPr>
        <w:t>（</w:t>
      </w:r>
      <w:bookmarkEnd w:id="443"/>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41"/>
      <w:bookmarkEnd w:id="442"/>
      <w:bookmarkEnd w:id="444"/>
    </w:p>
    <w:p>
      <w:pPr>
        <w:pStyle w:val="Style2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公司报告年度暂未开展精准扶贫工作，也暂无后续精准扶贫计划。</w:t>
      </w:r>
    </w:p>
    <w:p>
      <w:pPr>
        <w:pStyle w:val="Style34"/>
        <w:keepNext/>
        <w:keepLines/>
        <w:widowControl w:val="0"/>
        <w:shd w:val="clear" w:color="auto" w:fill="auto"/>
        <w:bidi w:val="0"/>
        <w:spacing w:before="0" w:after="320" w:line="240" w:lineRule="auto"/>
        <w:ind w:left="0" w:right="0" w:firstLine="140"/>
        <w:jc w:val="both"/>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w:t>
      </w:r>
      <w:bookmarkEnd w:id="447"/>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45"/>
      <w:bookmarkEnd w:id="446"/>
      <w:bookmarkEnd w:id="448"/>
    </w:p>
    <w:tbl>
      <w:tblPr>
        <w:tblOverlap w:val="never"/>
        <w:jc w:val="center"/>
        <w:tblLayout w:type="fixed"/>
      </w:tblPr>
      <w:tblGrid>
        <w:gridCol w:w="3634"/>
        <w:gridCol w:w="1550"/>
        <w:gridCol w:w="44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物资折款</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教育扶贫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tabs>
                <w:tab w:pos="89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sz w:val="18"/>
                <w:szCs w:val="18"/>
              </w:rPr>
              <w:t>8.1</w:t>
            </w:r>
            <w:r>
              <w:rPr>
                <w:color w:val="000000"/>
                <w:spacing w:val="0"/>
                <w:w w:val="100"/>
                <w:position w:val="0"/>
              </w:rPr>
              <w:t>东西部扶贫协作投入金额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1900" w:h="16840"/>
          <w:pgMar w:top="1352" w:right="394" w:bottom="1318" w:left="716" w:header="0" w:footer="3" w:gutter="0"/>
          <w:cols w:space="720"/>
          <w:noEndnote/>
          <w:titlePg/>
          <w:rtlGutter w:val="0"/>
          <w:docGrid w:linePitch="360"/>
        </w:sectPr>
      </w:pPr>
    </w:p>
    <w:tbl>
      <w:tblPr>
        <w:tblOverlap w:val="never"/>
        <w:jc w:val="center"/>
        <w:tblLayout w:type="fixed"/>
      </w:tblPr>
      <w:tblGrid>
        <w:gridCol w:w="3634"/>
        <w:gridCol w:w="1550"/>
        <w:gridCol w:w="4402"/>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定点扶贫工作投入金额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8.3</w:t>
            </w:r>
            <w:r>
              <w:rPr>
                <w:color w:val="000000"/>
                <w:spacing w:val="0"/>
                <w:w w:val="100"/>
                <w:position w:val="0"/>
              </w:rPr>
              <w:t>扶贫公益基金投入金额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449" w:name="bookmark449"/>
      <w:bookmarkStart w:id="450" w:name="bookmark450"/>
      <w:bookmarkStart w:id="451" w:name="bookmark451"/>
      <w:bookmarkStart w:id="452" w:name="bookmark452"/>
      <w:r>
        <w:rPr>
          <w:color w:val="000000"/>
          <w:spacing w:val="0"/>
          <w:w w:val="100"/>
          <w:position w:val="0"/>
        </w:rPr>
        <w:t>（</w:t>
      </w:r>
      <w:bookmarkEnd w:id="451"/>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49"/>
      <w:bookmarkEnd w:id="450"/>
      <w:bookmarkEnd w:id="452"/>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公司暂无后续精准扶贫计划。</w:t>
      </w:r>
    </w:p>
    <w:p>
      <w:pPr>
        <w:pStyle w:val="Style34"/>
        <w:keepNext/>
        <w:keepLines/>
        <w:widowControl w:val="0"/>
        <w:shd w:val="clear" w:color="auto" w:fill="auto"/>
        <w:bidi w:val="0"/>
        <w:spacing w:before="0" w:after="260" w:line="240" w:lineRule="auto"/>
        <w:ind w:left="0" w:right="0" w:firstLine="0"/>
        <w:jc w:val="left"/>
      </w:pPr>
      <w:bookmarkStart w:id="453" w:name="bookmark453"/>
      <w:bookmarkStart w:id="454" w:name="bookmark454"/>
      <w:bookmarkStart w:id="455" w:name="bookmark455"/>
      <w:bookmarkStart w:id="456" w:name="bookmark456"/>
      <w:r>
        <w:rPr>
          <w:rFonts w:ascii="Times New Roman" w:eastAsia="Times New Roman" w:hAnsi="Times New Roman" w:cs="Times New Roman"/>
          <w:color w:val="000000"/>
          <w:spacing w:val="0"/>
          <w:w w:val="100"/>
          <w:position w:val="0"/>
        </w:rPr>
        <w:t>3</w:t>
      </w:r>
      <w:bookmarkEnd w:id="455"/>
      <w:r>
        <w:rPr>
          <w:color w:val="000000"/>
          <w:spacing w:val="0"/>
          <w:w w:val="100"/>
          <w:position w:val="0"/>
        </w:rPr>
        <w:t>、环境保护相关的情况</w:t>
      </w:r>
      <w:bookmarkEnd w:id="453"/>
      <w:bookmarkEnd w:id="454"/>
      <w:bookmarkEnd w:id="456"/>
    </w:p>
    <w:p>
      <w:pPr>
        <w:pStyle w:val="Style21"/>
        <w:keepNext w:val="0"/>
        <w:keepLines w:val="0"/>
        <w:widowControl w:val="0"/>
        <w:shd w:val="clear" w:color="auto" w:fill="auto"/>
        <w:bidi w:val="0"/>
        <w:spacing w:before="0" w:after="140" w:line="315" w:lineRule="exact"/>
        <w:ind w:left="0" w:right="0" w:firstLine="0"/>
        <w:jc w:val="left"/>
      </w:pPr>
      <w:r>
        <w:rPr>
          <w:color w:val="000000"/>
          <w:spacing w:val="0"/>
          <w:w w:val="100"/>
          <w:position w:val="0"/>
        </w:rPr>
        <w:t>上市公司及其子公司是否属于环境保护部门公布的重点排污单位</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不适用</w:t>
      </w:r>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457" w:name="bookmark457"/>
      <w:bookmarkStart w:id="458" w:name="bookmark458"/>
      <w:bookmarkStart w:id="459" w:name="bookmark459"/>
      <w:r>
        <w:rPr>
          <w:color w:val="000000"/>
          <w:spacing w:val="0"/>
          <w:w w:val="100"/>
          <w:position w:val="0"/>
        </w:rPr>
        <w:t>十八、其他重大事项的说明</w:t>
      </w:r>
      <w:bookmarkEnd w:id="457"/>
      <w:bookmarkEnd w:id="458"/>
      <w:bookmarkEnd w:id="459"/>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公司报告期不存在需要说明的其他重大事项。</w:t>
      </w:r>
    </w:p>
    <w:p>
      <w:pPr>
        <w:pStyle w:val="Style30"/>
        <w:keepNext/>
        <w:keepLines/>
        <w:widowControl w:val="0"/>
        <w:shd w:val="clear" w:color="auto" w:fill="auto"/>
        <w:bidi w:val="0"/>
        <w:spacing w:before="0" w:after="380" w:line="240" w:lineRule="auto"/>
        <w:ind w:left="0" w:right="0" w:firstLine="0"/>
        <w:jc w:val="left"/>
      </w:pPr>
      <w:bookmarkStart w:id="460" w:name="bookmark460"/>
      <w:bookmarkStart w:id="461" w:name="bookmark461"/>
      <w:bookmarkStart w:id="462" w:name="bookmark462"/>
      <w:r>
        <w:rPr>
          <w:color w:val="000000"/>
          <w:spacing w:val="0"/>
          <w:w w:val="100"/>
          <w:position w:val="0"/>
        </w:rPr>
        <w:t>十九、公司子公司重大事项</w:t>
      </w:r>
      <w:bookmarkEnd w:id="460"/>
      <w:bookmarkEnd w:id="461"/>
      <w:bookmarkEnd w:id="462"/>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日召开第二届董事会第十七次临时会议，审议通过关于公司全资子公司雄安绿研检验认证有限公司变 更注册资本的议案，具体内容详见公司在巨潮资讯网披露的公告（公告编号：</w:t>
      </w:r>
      <w:r>
        <w:rPr>
          <w:rFonts w:ascii="Times New Roman" w:eastAsia="Times New Roman" w:hAnsi="Times New Roman" w:cs="Times New Roman"/>
          <w:color w:val="000000"/>
          <w:spacing w:val="0"/>
          <w:w w:val="100"/>
          <w:position w:val="0"/>
          <w:sz w:val="18"/>
          <w:szCs w:val="18"/>
        </w:rPr>
        <w:t>2020-054</w:t>
      </w:r>
      <w:r>
        <w:rPr>
          <w:color w:val="000000"/>
          <w:spacing w:val="0"/>
          <w:w w:val="100"/>
          <w:position w:val="0"/>
        </w:rPr>
        <w:t>）</w:t>
      </w:r>
      <w:r>
        <w:rPr>
          <w:color w:val="000000"/>
          <w:spacing w:val="0"/>
          <w:w w:val="100"/>
          <w:position w:val="0"/>
        </w:rPr>
        <w:t>。该子公司于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月办理完成 相关事项的工商变更登记手续，注册资本由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壹仟万元整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伍仟万元整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，并取得由河北雄安新区管理委员会换发的《营 业执照》，详见《关于公司全资子公司完成公司变更登记并取得营业执照的公告》，公告编号：</w:t>
      </w:r>
      <w:r>
        <w:rPr>
          <w:rFonts w:ascii="Times New Roman" w:eastAsia="Times New Roman" w:hAnsi="Times New Roman" w:cs="Times New Roman"/>
          <w:color w:val="000000"/>
          <w:spacing w:val="0"/>
          <w:w w:val="100"/>
          <w:position w:val="0"/>
          <w:sz w:val="18"/>
          <w:szCs w:val="18"/>
        </w:rPr>
        <w:t>2020-062</w:t>
      </w:r>
      <w:r>
        <w:rPr>
          <w:color w:val="000000"/>
          <w:spacing w:val="0"/>
          <w:w w:val="100"/>
          <w:position w:val="0"/>
        </w:rPr>
        <w:t>。</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日通过投资设立方式成立全资子公司湾区（深圳）城市规划设计有限公司，并已取得深圳市市场监督管 理局核发的营业执照。该全资子公司的注册资本为壹佰万元，一般经营项目是：城市规划设计、建筑工程设计、风景园林工 程设计；工程咨询、勘察、设计、质量检测与检查、项目管理、监理及相关技术服务；绿色节能改造工程。（法律、行政法 规、国务院决定禁止的项目除外，限制的项目须取得许可后方可经营）。</w:t>
      </w:r>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日通过投资设立方式成立全资子公司湾区（深圳）绿色技术有限公司，并已取得深圳市市场监督管理局 核发的营业执照。该全资子公司的注册资本为壹佰万元，一般经营项目是：工程项目管理及相关技术服务；环境工程咨询； 绿色节能改造工程咨询与施工；绿色低碳产品的技术开发、技术咨询、技术推广、投资、销售；科技技术开发；物联网技术 研发；信息系统集成服务；软件开发；大数据服务。（法律、行政法规、国务院决定禁止的项目除外，限制的项目须取得许 可后方可经营），许可经营项目是：工程质量检测；环境工程检测；建筑工程性能评估。</w:t>
      </w:r>
      <w:r>
        <w:br w:type="page"/>
      </w:r>
    </w:p>
    <w:p>
      <w:pPr>
        <w:pStyle w:val="Style16"/>
        <w:keepNext/>
        <w:keepLines/>
        <w:widowControl w:val="0"/>
        <w:shd w:val="clear" w:color="auto" w:fill="auto"/>
        <w:bidi w:val="0"/>
        <w:spacing w:before="0" w:after="540" w:line="240" w:lineRule="auto"/>
        <w:ind w:left="0" w:right="0"/>
        <w:jc w:val="left"/>
      </w:pPr>
      <w:bookmarkStart w:id="463" w:name="bookmark463"/>
      <w:bookmarkStart w:id="464" w:name="bookmark464"/>
      <w:bookmarkStart w:id="465" w:name="bookmark465"/>
      <w:bookmarkStart w:id="466" w:name="bookmark466"/>
      <w:r>
        <w:rPr>
          <w:spacing w:val="0"/>
          <w:w w:val="100"/>
          <w:position w:val="0"/>
        </w:rPr>
        <w:t>i8R</w:t>
      </w:r>
      <w:bookmarkEnd w:id="464"/>
      <w:bookmarkEnd w:id="465"/>
      <w:bookmarkEnd w:id="466"/>
      <w:bookmarkEnd w:id="463"/>
    </w:p>
    <w:p>
      <w:pPr>
        <w:pStyle w:val="Style8"/>
        <w:keepNext/>
        <w:keepLines/>
        <w:widowControl w:val="0"/>
        <w:shd w:val="clear" w:color="auto" w:fill="auto"/>
        <w:bidi w:val="0"/>
        <w:spacing w:before="0" w:after="540" w:line="240" w:lineRule="auto"/>
        <w:ind w:left="0" w:right="0" w:firstLine="0"/>
        <w:jc w:val="center"/>
      </w:pPr>
      <w:bookmarkStart w:id="467" w:name="bookmark467"/>
      <w:bookmarkStart w:id="468" w:name="bookmark468"/>
      <w:bookmarkStart w:id="469" w:name="bookmark469"/>
      <w:r>
        <w:rPr>
          <w:color w:val="000000"/>
          <w:spacing w:val="0"/>
          <w:w w:val="100"/>
          <w:position w:val="0"/>
        </w:rPr>
        <w:t>第六节股份变动及股东情况</w:t>
      </w:r>
      <w:bookmarkEnd w:id="467"/>
      <w:bookmarkEnd w:id="468"/>
      <w:bookmarkEnd w:id="469"/>
    </w:p>
    <w:p>
      <w:pPr>
        <w:pStyle w:val="Style30"/>
        <w:keepNext/>
        <w:keepLines/>
        <w:widowControl w:val="0"/>
        <w:shd w:val="clear" w:color="auto" w:fill="auto"/>
        <w:bidi w:val="0"/>
        <w:spacing w:before="0" w:line="240" w:lineRule="auto"/>
        <w:ind w:left="0" w:right="0" w:firstLine="0"/>
        <w:jc w:val="both"/>
      </w:pPr>
      <w:bookmarkStart w:id="470" w:name="bookmark470"/>
      <w:bookmarkStart w:id="471" w:name="bookmark471"/>
      <w:bookmarkStart w:id="472" w:name="bookmark472"/>
      <w:bookmarkStart w:id="473" w:name="bookmark473"/>
      <w:r>
        <w:rPr>
          <w:color w:val="000000"/>
          <w:spacing w:val="0"/>
          <w:w w:val="100"/>
          <w:position w:val="0"/>
        </w:rPr>
        <w:t>一</w:t>
      </w:r>
      <w:bookmarkEnd w:id="472"/>
      <w:r>
        <w:rPr>
          <w:color w:val="000000"/>
          <w:spacing w:val="0"/>
          <w:w w:val="100"/>
          <w:position w:val="0"/>
        </w:rPr>
        <w:t>、股份变动情况</w:t>
      </w:r>
      <w:bookmarkEnd w:id="470"/>
      <w:bookmarkEnd w:id="471"/>
      <w:bookmarkEnd w:id="473"/>
    </w:p>
    <w:p>
      <w:pPr>
        <w:pStyle w:val="Style34"/>
        <w:keepNext/>
        <w:keepLines/>
        <w:widowControl w:val="0"/>
        <w:shd w:val="clear" w:color="auto" w:fill="auto"/>
        <w:bidi w:val="0"/>
        <w:spacing w:before="0" w:line="240" w:lineRule="auto"/>
        <w:ind w:left="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、股份变动情况</w:t>
      </w:r>
      <w:bookmarkEnd w:id="474"/>
      <w:bookmarkEnd w:id="475"/>
      <w:bookmarkEnd w:id="477"/>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单位：股</w:t>
      </w:r>
    </w:p>
    <w:tbl>
      <w:tblPr>
        <w:tblOverlap w:val="never"/>
        <w:jc w:val="center"/>
        <w:tblLayout w:type="fixed"/>
      </w:tblPr>
      <w:tblGrid>
        <w:gridCol w:w="2102"/>
        <w:gridCol w:w="955"/>
        <w:gridCol w:w="1171"/>
        <w:gridCol w:w="710"/>
        <w:gridCol w:w="706"/>
        <w:gridCol w:w="427"/>
        <w:gridCol w:w="989"/>
        <w:gridCol w:w="931"/>
        <w:gridCol w:w="1056"/>
        <w:gridCol w:w="54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1022"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 金转 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3,142,857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62,857,143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80,666,700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80,666,700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146,666,700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146,666,700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146,666,700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1"/>
        <w:keepNext w:val="0"/>
        <w:keepLines w:val="0"/>
        <w:widowControl w:val="0"/>
        <w:shd w:val="clear" w:color="auto" w:fill="auto"/>
        <w:bidi w:val="0"/>
        <w:spacing w:before="0" w:after="0" w:line="341" w:lineRule="exact"/>
        <w:ind w:left="0" w:right="0" w:firstLine="0"/>
        <w:jc w:val="both"/>
      </w:pPr>
      <w:r>
        <w:rPr>
          <w:color w:val="000000"/>
          <w:spacing w:val="0"/>
          <w:w w:val="100"/>
          <w:position w:val="0"/>
        </w:rPr>
        <w:t xml:space="preserve">股份变动的原因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公司股东深圳市资本运营集团有限公司（曾用名：深圳市远致投资有限公司）、全国社会保障基金理事会转持一户在公司《首 次公开发行股票并在创业板上市招股说明书》和《首次公开发行股票并在创业板上市之上市公告书》中所做出的股份锁定承 诺及主要股东持股意向承诺的期限已于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日届满，上述股东所持有限售条件股份共计</w:t>
      </w:r>
      <w:r>
        <w:rPr>
          <w:rFonts w:ascii="Times New Roman" w:eastAsia="Times New Roman" w:hAnsi="Times New Roman" w:cs="Times New Roman"/>
          <w:color w:val="000000"/>
          <w:spacing w:val="0"/>
          <w:w w:val="100"/>
          <w:position w:val="0"/>
          <w:sz w:val="18"/>
          <w:szCs w:val="18"/>
        </w:rPr>
        <w:t>66,000,000</w:t>
      </w:r>
      <w:r>
        <w:rPr>
          <w:color w:val="000000"/>
          <w:spacing w:val="0"/>
          <w:w w:val="100"/>
          <w:position w:val="0"/>
        </w:rPr>
        <w:t>股（占公司股本总 额的</w:t>
      </w:r>
      <w:r>
        <w:rPr>
          <w:rFonts w:ascii="Times New Roman" w:eastAsia="Times New Roman" w:hAnsi="Times New Roman" w:cs="Times New Roman"/>
          <w:color w:val="000000"/>
          <w:spacing w:val="0"/>
          <w:w w:val="100"/>
          <w:position w:val="0"/>
          <w:sz w:val="18"/>
          <w:szCs w:val="18"/>
        </w:rPr>
        <w:t>45.00%</w:t>
      </w:r>
      <w:r>
        <w:rPr>
          <w:color w:val="000000"/>
          <w:spacing w:val="0"/>
          <w:w w:val="100"/>
          <w:position w:val="0"/>
        </w:rPr>
        <w:t>）已于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日上市流通。</w:t>
      </w:r>
    </w:p>
    <w:p>
      <w:pPr>
        <w:pStyle w:val="Style21"/>
        <w:keepNext w:val="0"/>
        <w:keepLines w:val="0"/>
        <w:widowControl w:val="0"/>
        <w:shd w:val="clear" w:color="auto" w:fill="auto"/>
        <w:bidi w:val="0"/>
        <w:spacing w:before="0" w:after="360" w:line="307" w:lineRule="exact"/>
        <w:ind w:left="0" w:right="0" w:firstLine="0"/>
        <w:jc w:val="both"/>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352" w:right="394" w:bottom="1318" w:left="716" w:header="0" w:footer="3" w:gutter="0"/>
          <w:cols w:space="720"/>
          <w:noEndnote/>
          <w:titlePg/>
          <w:rtlGutter w:val="0"/>
          <w:docGrid w:linePitch="360"/>
        </w:sectPr>
      </w:pPr>
      <w:r>
        <w:rPr>
          <w:color w:val="000000"/>
          <w:spacing w:val="0"/>
          <w:w w:val="100"/>
          <w:position w:val="0"/>
        </w:rPr>
        <w:t>本次解除限售后，流通股份数量占公司股本总额的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。公司已于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日在巨潮资讯网披露《关于部分首次公开发</w:t>
      </w:r>
    </w:p>
    <w:p>
      <w:pPr>
        <w:pStyle w:val="Style21"/>
        <w:keepNext w:val="0"/>
        <w:keepLines w:val="0"/>
        <w:widowControl w:val="0"/>
        <w:shd w:val="clear" w:color="auto" w:fill="auto"/>
        <w:bidi w:val="0"/>
        <w:spacing w:before="0" w:after="140" w:line="302" w:lineRule="exact"/>
        <w:ind w:left="0" w:right="0" w:firstLine="3620"/>
        <w:jc w:val="left"/>
      </w:pPr>
      <w:r>
        <w:drawing>
          <wp:anchor distT="0" distB="0" distL="114300" distR="114300" simplePos="0" relativeHeight="125829383" behindDoc="0" locked="0" layoutInCell="1" allowOverlap="1">
            <wp:simplePos x="0" y="0"/>
            <wp:positionH relativeFrom="page">
              <wp:posOffset>802005</wp:posOffset>
            </wp:positionH>
            <wp:positionV relativeFrom="margin">
              <wp:posOffset>-140335</wp:posOffset>
            </wp:positionV>
            <wp:extent cx="774065" cy="396240"/>
            <wp:wrapSquare wrapText="bothSides"/>
            <wp:docPr id="262" name="Shape 262"/>
            <a:graphic xmlns:a="http://schemas.openxmlformats.org/drawingml/2006/main">
              <a:graphicData uri="http://schemas.openxmlformats.org/drawingml/2006/picture">
                <pic:pic xmlns:pic="http://schemas.openxmlformats.org/drawingml/2006/picture">
                  <pic:nvPicPr>
                    <pic:cNvPr id="263" name="Picture box 263"/>
                    <pic:cNvPicPr/>
                  </pic:nvPicPr>
                  <pic:blipFill>
                    <a:blip r:embed="rId97"/>
                    <a:stretch/>
                  </pic:blipFill>
                  <pic:spPr>
                    <a:xfrm>
                      <a:ext cx="774065" cy="396240"/>
                    </a:xfrm>
                    <a:prstGeom prst="rect"/>
                  </pic:spPr>
                </pic:pic>
              </a:graphicData>
            </a:graphic>
          </wp:anchor>
        </w:drawing>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行前已发行股份上市流通的提示性公告》（公告编号：</w:t>
      </w:r>
      <w:r>
        <w:rPr>
          <w:rFonts w:ascii="Times New Roman" w:eastAsia="Times New Roman" w:hAnsi="Times New Roman" w:cs="Times New Roman"/>
          <w:color w:val="000000"/>
          <w:spacing w:val="0"/>
          <w:w w:val="100"/>
          <w:position w:val="0"/>
          <w:sz w:val="18"/>
          <w:szCs w:val="18"/>
        </w:rPr>
        <w:t xml:space="preserve">2020-033 </w:t>
      </w:r>
      <w:r>
        <w:rPr>
          <w:color w:val="000000"/>
          <w:spacing w:val="0"/>
          <w:w w:val="100"/>
          <w:position w:val="0"/>
        </w:rPr>
        <w:t>）。</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、限售股份变动情况</w:t>
      </w:r>
      <w:bookmarkEnd w:id="478"/>
      <w:bookmarkEnd w:id="479"/>
      <w:bookmarkEnd w:id="481"/>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单位：股</w:t>
      </w:r>
    </w:p>
    <w:tbl>
      <w:tblPr>
        <w:tblOverlap w:val="never"/>
        <w:jc w:val="center"/>
        <w:tblLayout w:type="fixed"/>
      </w:tblPr>
      <w:tblGrid>
        <w:gridCol w:w="1536"/>
        <w:gridCol w:w="1166"/>
        <w:gridCol w:w="960"/>
        <w:gridCol w:w="1133"/>
        <w:gridCol w:w="850"/>
        <w:gridCol w:w="2726"/>
        <w:gridCol w:w="1214"/>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 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拟解除限售日 期</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深圳市资本运营集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62,857,143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62,857,143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股东所做出的股份锁定承诺及主 要股东持股意向承诺的期限届满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全国社会保障基金 理事会转持一户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3,142,857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股东所做出的股份锁定承诺及主 要股东持股意向承诺的期限届满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66,000,000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482" w:name="bookmark482"/>
      <w:bookmarkStart w:id="483" w:name="bookmark483"/>
      <w:bookmarkStart w:id="484" w:name="bookmark484"/>
      <w:bookmarkStart w:id="485" w:name="bookmark485"/>
      <w:r>
        <w:rPr>
          <w:color w:val="000000"/>
          <w:spacing w:val="0"/>
          <w:w w:val="100"/>
          <w:position w:val="0"/>
        </w:rPr>
        <w:t>二</w:t>
      </w:r>
      <w:bookmarkEnd w:id="484"/>
      <w:r>
        <w:rPr>
          <w:color w:val="000000"/>
          <w:spacing w:val="0"/>
          <w:w w:val="100"/>
          <w:position w:val="0"/>
        </w:rPr>
        <w:t>、证券发行与上市情况</w:t>
      </w:r>
      <w:bookmarkEnd w:id="482"/>
      <w:bookmarkEnd w:id="483"/>
      <w:bookmarkEnd w:id="485"/>
    </w:p>
    <w:p>
      <w:pPr>
        <w:pStyle w:val="Style34"/>
        <w:keepNext/>
        <w:keepLines/>
        <w:widowControl w:val="0"/>
        <w:shd w:val="clear" w:color="auto" w:fill="auto"/>
        <w:bidi w:val="0"/>
        <w:spacing w:before="0" w:line="240" w:lineRule="auto"/>
        <w:ind w:left="0" w:right="0" w:firstLine="0"/>
        <w:jc w:val="both"/>
      </w:pP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1</w:t>
      </w:r>
      <w:bookmarkEnd w:id="488"/>
      <w:r>
        <w:rPr>
          <w:color w:val="000000"/>
          <w:spacing w:val="0"/>
          <w:w w:val="100"/>
          <w:position w:val="0"/>
        </w:rPr>
        <w:t>、报告期内证券发行（不含优先股）情况</w:t>
      </w:r>
      <w:bookmarkEnd w:id="486"/>
      <w:bookmarkEnd w:id="487"/>
      <w:bookmarkEnd w:id="489"/>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2</w:t>
      </w:r>
      <w:bookmarkEnd w:id="492"/>
      <w:r>
        <w:rPr>
          <w:color w:val="000000"/>
          <w:spacing w:val="0"/>
          <w:w w:val="100"/>
          <w:position w:val="0"/>
        </w:rPr>
        <w:t>、公司股份总数及股东结构的变动、公司资产和负债结构的变动情况说明</w:t>
      </w:r>
      <w:bookmarkEnd w:id="490"/>
      <w:bookmarkEnd w:id="491"/>
      <w:bookmarkEnd w:id="493"/>
    </w:p>
    <w:p>
      <w:pPr>
        <w:pStyle w:val="Style2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3</w:t>
      </w:r>
      <w:bookmarkEnd w:id="496"/>
      <w:r>
        <w:rPr>
          <w:color w:val="000000"/>
          <w:spacing w:val="0"/>
          <w:w w:val="100"/>
          <w:position w:val="0"/>
        </w:rPr>
        <w:t>、现存的内部职工股情况</w:t>
      </w:r>
      <w:bookmarkEnd w:id="494"/>
      <w:bookmarkEnd w:id="495"/>
      <w:bookmarkEnd w:id="497"/>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498" w:name="bookmark498"/>
      <w:bookmarkStart w:id="499" w:name="bookmark499"/>
      <w:bookmarkStart w:id="500" w:name="bookmark500"/>
      <w:bookmarkStart w:id="501" w:name="bookmark501"/>
      <w:r>
        <w:rPr>
          <w:color w:val="000000"/>
          <w:spacing w:val="0"/>
          <w:w w:val="100"/>
          <w:position w:val="0"/>
        </w:rPr>
        <w:t>三</w:t>
      </w:r>
      <w:bookmarkEnd w:id="500"/>
      <w:r>
        <w:rPr>
          <w:color w:val="000000"/>
          <w:spacing w:val="0"/>
          <w:w w:val="100"/>
          <w:position w:val="0"/>
        </w:rPr>
        <w:t>、股东和实际控制人情况</w:t>
      </w:r>
      <w:bookmarkEnd w:id="498"/>
      <w:bookmarkEnd w:id="499"/>
      <w:bookmarkEnd w:id="501"/>
    </w:p>
    <w:p>
      <w:pPr>
        <w:pStyle w:val="Style34"/>
        <w:keepNext/>
        <w:keepLines/>
        <w:widowControl w:val="0"/>
        <w:shd w:val="clear" w:color="auto" w:fill="auto"/>
        <w:bidi w:val="0"/>
        <w:spacing w:before="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1</w:t>
      </w:r>
      <w:bookmarkEnd w:id="504"/>
      <w:r>
        <w:rPr>
          <w:color w:val="000000"/>
          <w:spacing w:val="0"/>
          <w:w w:val="100"/>
          <w:position w:val="0"/>
        </w:rPr>
        <w:t>、公司股东数量及持股情况</w:t>
      </w:r>
      <w:bookmarkEnd w:id="502"/>
      <w:bookmarkEnd w:id="503"/>
      <w:bookmarkEnd w:id="505"/>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单位：股</w:t>
      </w:r>
    </w:p>
    <w:tbl>
      <w:tblPr>
        <w:tblOverlap w:val="never"/>
        <w:jc w:val="left"/>
        <w:tblLayout w:type="fixed"/>
      </w:tblPr>
      <w:tblGrid>
        <w:gridCol w:w="1210"/>
        <w:gridCol w:w="1315"/>
        <w:gridCol w:w="994"/>
        <w:gridCol w:w="878"/>
        <w:gridCol w:w="1066"/>
        <w:gridCol w:w="1176"/>
        <w:gridCol w:w="1277"/>
        <w:gridCol w:w="850"/>
        <w:gridCol w:w="821"/>
      </w:tblGrid>
      <w:tr>
        <w:trPr>
          <w:trHeight w:val="19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19,346</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年度报告披 露日前上一 月末普通股 股东总数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18,604</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报告期末表 决权恢复的 优先股股东 总数（如 有）（参见注</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年度报告披露日前上一月 末表决权恢复的优先股股 东总数（如有）（参见注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9"/>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right"/>
            </w:pPr>
            <w:r>
              <w:rPr>
                <w:color w:val="000000"/>
                <w:spacing w:val="0"/>
                <w:w w:val="100"/>
                <w:position w:val="0"/>
              </w:rPr>
              <w:t>持有有限售条 件的股份数量</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 件的股份数量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深圳市资本运 营集团有限公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62,857,143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深圳市建科投 资股份有限公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13,462,100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-1,466,600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5" w:lineRule="exact"/>
              <w:ind w:left="0" w:right="0" w:firstLine="0"/>
              <w:jc w:val="left"/>
            </w:pPr>
            <w:r>
              <w:rPr>
                <w:color w:val="000000"/>
                <w:spacing w:val="0"/>
                <w:w w:val="100"/>
                <w:position w:val="0"/>
              </w:rPr>
              <w:t>中关村发展集 团股份有限公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6,859,649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6,859,649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深圳市英龙建 安（集团）有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5,852,325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5,852,325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3,405,000</w:t>
            </w:r>
          </w:p>
        </w:tc>
      </w:tr>
      <w:tr>
        <w:trPr>
          <w:trHeight w:val="133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大成基金管理 有限公司一社 保基金</w:t>
            </w:r>
            <w:r>
              <w:rPr>
                <w:rFonts w:ascii="Times New Roman" w:eastAsia="Times New Roman" w:hAnsi="Times New Roman" w:cs="Times New Roman"/>
                <w:color w:val="000000"/>
                <w:spacing w:val="0"/>
                <w:w w:val="100"/>
                <w:position w:val="0"/>
                <w:sz w:val="18"/>
                <w:szCs w:val="18"/>
              </w:rPr>
              <w:t xml:space="preserve">17011 </w:t>
            </w:r>
            <w:r>
              <w:rPr>
                <w:color w:val="000000"/>
                <w:spacing w:val="0"/>
                <w:w w:val="100"/>
                <w:position w:val="0"/>
              </w:rPr>
              <w:t>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1,018,467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深圳市华和兴 机电环保有限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336,500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张坤茂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王孟龙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刘天一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282,135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gridSpan w:val="2"/>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上述股东关联关系或一致行动</w:t>
      </w:r>
    </w:p>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的说明</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名股东之间不存在关联关系，也不属于一致行动人。</w:t>
      </w:r>
    </w:p>
    <w:tbl>
      <w:tblPr>
        <w:tblOverlap w:val="never"/>
        <w:jc w:val="left"/>
        <w:tblLayout w:type="fixed"/>
      </w:tblPr>
      <w:tblGrid>
        <w:gridCol w:w="2525"/>
        <w:gridCol w:w="5390"/>
        <w:gridCol w:w="850"/>
        <w:gridCol w:w="821"/>
      </w:tblGrid>
      <w:tr>
        <w:trPr>
          <w:trHeight w:val="408" w:hRule="exact"/>
        </w:trPr>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名股东之间是否存在关联关系，也未知是否属于一致行动人。</w:t>
            </w:r>
          </w:p>
        </w:tc>
        <w:tc>
          <w:tcPr>
            <w:tcBorders>
              <w:lef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3"/>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深圳市资本运营集团有限公司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62,857,14</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深圳市建科投资股份有限公司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13,462,10</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中关村发展集团股份有限公司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640" w:right="0" w:firstLine="0"/>
              <w:jc w:val="both"/>
              <w:rPr>
                <w:sz w:val="18"/>
                <w:szCs w:val="18"/>
              </w:rPr>
            </w:pPr>
            <w:r>
              <w:rPr>
                <w:rFonts w:ascii="Times New Roman" w:eastAsia="Times New Roman" w:hAnsi="Times New Roman" w:cs="Times New Roman"/>
                <w:color w:val="000000"/>
                <w:spacing w:val="0"/>
                <w:w w:val="100"/>
                <w:position w:val="0"/>
                <w:sz w:val="18"/>
                <w:szCs w:val="18"/>
              </w:rPr>
              <w:t>6,859,649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6,859,649</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深圳市英龙建安（集团）有限 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640" w:right="0" w:firstLine="0"/>
              <w:jc w:val="both"/>
              <w:rPr>
                <w:sz w:val="18"/>
                <w:szCs w:val="18"/>
              </w:rPr>
            </w:pPr>
            <w:r>
              <w:rPr>
                <w:rFonts w:ascii="Times New Roman" w:eastAsia="Times New Roman" w:hAnsi="Times New Roman" w:cs="Times New Roman"/>
                <w:color w:val="000000"/>
                <w:spacing w:val="0"/>
                <w:w w:val="100"/>
                <w:position w:val="0"/>
                <w:sz w:val="18"/>
                <w:szCs w:val="18"/>
              </w:rPr>
              <w:t>5,852,325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5,852,325</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大成基金管理有限公司一社保</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基金</w:t>
            </w:r>
            <w:r>
              <w:rPr>
                <w:rFonts w:ascii="Times New Roman" w:eastAsia="Times New Roman" w:hAnsi="Times New Roman" w:cs="Times New Roman"/>
                <w:color w:val="000000"/>
                <w:spacing w:val="0"/>
                <w:w w:val="100"/>
                <w:position w:val="0"/>
                <w:sz w:val="18"/>
                <w:szCs w:val="18"/>
              </w:rPr>
              <w:t>17011</w:t>
            </w:r>
            <w:r>
              <w:rPr>
                <w:color w:val="000000"/>
                <w:spacing w:val="0"/>
                <w:w w:val="100"/>
                <w:position w:val="0"/>
              </w:rPr>
              <w:t>组合</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640" w:right="0" w:firstLine="0"/>
              <w:jc w:val="both"/>
              <w:rPr>
                <w:sz w:val="18"/>
                <w:szCs w:val="18"/>
              </w:rPr>
            </w:pPr>
            <w:r>
              <w:rPr>
                <w:rFonts w:ascii="Times New Roman" w:eastAsia="Times New Roman" w:hAnsi="Times New Roman" w:cs="Times New Roman"/>
                <w:color w:val="000000"/>
                <w:spacing w:val="0"/>
                <w:w w:val="100"/>
                <w:position w:val="0"/>
                <w:sz w:val="18"/>
                <w:szCs w:val="18"/>
              </w:rPr>
              <w:t>1,018,467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1,018,467</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深圳市华和兴机电环保有限公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60" w:right="0" w:firstLine="0"/>
              <w:jc w:val="both"/>
              <w:rPr>
                <w:sz w:val="18"/>
                <w:szCs w:val="18"/>
              </w:rPr>
            </w:pPr>
            <w:r>
              <w:rPr>
                <w:rFonts w:ascii="Times New Roman" w:eastAsia="Times New Roman" w:hAnsi="Times New Roman" w:cs="Times New Roman"/>
                <w:color w:val="000000"/>
                <w:spacing w:val="0"/>
                <w:w w:val="100"/>
                <w:position w:val="0"/>
                <w:sz w:val="18"/>
                <w:szCs w:val="18"/>
              </w:rPr>
              <w:t>336,500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336,500</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张坤茂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60" w:right="0" w:firstLine="0"/>
              <w:jc w:val="both"/>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320,000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王孟龙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60" w:right="0" w:firstLine="0"/>
              <w:jc w:val="both"/>
              <w:rPr>
                <w:sz w:val="18"/>
                <w:szCs w:val="18"/>
              </w:rPr>
            </w:pPr>
            <w:r>
              <w:rPr>
                <w:rFonts w:ascii="Times New Roman" w:eastAsia="Times New Roman" w:hAnsi="Times New Roman" w:cs="Times New Roman"/>
                <w:color w:val="000000"/>
                <w:spacing w:val="0"/>
                <w:w w:val="100"/>
                <w:position w:val="0"/>
                <w:sz w:val="18"/>
                <w:szCs w:val="18"/>
              </w:rPr>
              <w:t>292,000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292,000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刘天一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60" w:right="0" w:firstLine="0"/>
              <w:jc w:val="both"/>
              <w:rPr>
                <w:sz w:val="18"/>
                <w:szCs w:val="18"/>
              </w:rPr>
            </w:pPr>
            <w:r>
              <w:rPr>
                <w:rFonts w:ascii="Times New Roman" w:eastAsia="Times New Roman" w:hAnsi="Times New Roman" w:cs="Times New Roman"/>
                <w:color w:val="000000"/>
                <w:spacing w:val="0"/>
                <w:w w:val="100"/>
                <w:position w:val="0"/>
                <w:sz w:val="18"/>
                <w:szCs w:val="18"/>
              </w:rPr>
              <w:t>286,100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286,100</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4760" w:right="0" w:firstLine="0"/>
              <w:jc w:val="both"/>
              <w:rPr>
                <w:sz w:val="18"/>
                <w:szCs w:val="18"/>
              </w:rPr>
            </w:pPr>
            <w:r>
              <w:rPr>
                <w:rFonts w:ascii="Times New Roman" w:eastAsia="Times New Roman" w:hAnsi="Times New Roman" w:cs="Times New Roman"/>
                <w:color w:val="000000"/>
                <w:spacing w:val="0"/>
                <w:w w:val="100"/>
                <w:position w:val="0"/>
                <w:sz w:val="18"/>
                <w:szCs w:val="18"/>
              </w:rPr>
              <w:t>282,135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人民币普</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282,135</w:t>
            </w:r>
          </w:p>
        </w:tc>
      </w:tr>
      <w:tr>
        <w:trPr>
          <w:trHeight w:val="1344"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 系或一致行动的说明</w:t>
            </w:r>
          </w:p>
        </w:tc>
        <w:tc>
          <w:tcPr>
            <w:gridSpan w:val="3"/>
            <w:tcBorders>
              <w:top w:val="single" w:sz="4"/>
              <w:lef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名无限售流通股股东之间不存在关联关系，也不属于一致行动人。</w:t>
      </w:r>
    </w:p>
    <w:tbl>
      <w:tblPr>
        <w:tblOverlap w:val="never"/>
        <w:jc w:val="center"/>
        <w:tblLayout w:type="fixed"/>
      </w:tblPr>
      <w:tblGrid>
        <w:gridCol w:w="7056"/>
        <w:gridCol w:w="3696"/>
      </w:tblGrid>
      <w:tr>
        <w:trPr>
          <w:trHeight w:val="72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公司未知前</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名无限售流通股股东之间是否存在关联关系，也未知是否属于一致行动 人。</w:t>
            </w:r>
          </w:p>
        </w:tc>
        <w:tc>
          <w:tcPr>
            <w:tcBorders>
              <w:lef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参与融资融券业务股东情况说明（如有）（参见注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公司股东王孟龙通过财达证券股份有限公司客户 实际合计持有</w:t>
            </w:r>
            <w:r>
              <w:rPr>
                <w:rFonts w:ascii="Times New Roman" w:eastAsia="Times New Roman" w:hAnsi="Times New Roman" w:cs="Times New Roman"/>
                <w:color w:val="000000"/>
                <w:spacing w:val="0"/>
                <w:w w:val="100"/>
                <w:position w:val="0"/>
                <w:sz w:val="18"/>
                <w:szCs w:val="18"/>
              </w:rPr>
              <w:t>292,000</w:t>
            </w:r>
            <w:r>
              <w:rPr>
                <w:color w:val="000000"/>
                <w:spacing w:val="0"/>
                <w:w w:val="100"/>
                <w:position w:val="0"/>
              </w:rPr>
              <w:t>股。</w:t>
            </w:r>
          </w:p>
        </w:tc>
      </w:tr>
    </w:tbl>
    <w:p>
      <w:pPr>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Restart w:val="continuous"/>
          </w:footnotePr>
          <w:pgSz w:w="11900" w:h="16840"/>
          <w:pgMar w:top="1352" w:right="394" w:bottom="1318" w:left="716" w:header="0" w:footer="3" w:gutter="0"/>
          <w:cols w:space="720"/>
          <w:noEndnote/>
          <w:titlePg/>
          <w:rtlGutter w:val="0"/>
          <w:docGrid w:linePitch="360"/>
        </w:sectPr>
      </w:pPr>
    </w:p>
    <w:p>
      <w:pPr>
        <w:pStyle w:val="Style21"/>
        <w:keepNext w:val="0"/>
        <w:keepLines w:val="0"/>
        <w:widowControl w:val="0"/>
        <w:shd w:val="clear" w:color="auto" w:fill="auto"/>
        <w:bidi w:val="0"/>
        <w:spacing w:before="0" w:after="140" w:line="302" w:lineRule="exact"/>
        <w:ind w:left="0" w:right="0" w:firstLine="3620"/>
        <w:jc w:val="left"/>
      </w:pPr>
      <w:r>
        <w:drawing>
          <wp:anchor distT="0" distB="0" distL="114300" distR="114300" simplePos="0" relativeHeight="125829384" behindDoc="0" locked="0" layoutInCell="1" allowOverlap="1">
            <wp:simplePos x="0" y="0"/>
            <wp:positionH relativeFrom="page">
              <wp:posOffset>451485</wp:posOffset>
            </wp:positionH>
            <wp:positionV relativeFrom="margin">
              <wp:posOffset>-140335</wp:posOffset>
            </wp:positionV>
            <wp:extent cx="774065" cy="396240"/>
            <wp:wrapSquare wrapText="bothSides"/>
            <wp:docPr id="276" name="Shape 276"/>
            <a:graphic xmlns:a="http://schemas.openxmlformats.org/drawingml/2006/main">
              <a:graphicData uri="http://schemas.openxmlformats.org/drawingml/2006/picture">
                <pic:pic xmlns:pic="http://schemas.openxmlformats.org/drawingml/2006/picture">
                  <pic:nvPicPr>
                    <pic:cNvPr id="277" name="Picture box 277"/>
                    <pic:cNvPicPr/>
                  </pic:nvPicPr>
                  <pic:blipFill>
                    <a:blip r:embed="rId105"/>
                    <a:stretch/>
                  </pic:blipFill>
                  <pic:spPr>
                    <a:xfrm>
                      <a:ext cx="774065" cy="396240"/>
                    </a:xfrm>
                    <a:prstGeom prst="rect"/>
                  </pic:spPr>
                </pic:pic>
              </a:graphicData>
            </a:graphic>
          </wp:anchor>
        </w:drawing>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1"/>
        <w:keepNext w:val="0"/>
        <w:keepLines w:val="0"/>
        <w:widowControl w:val="0"/>
        <w:shd w:val="clear" w:color="auto" w:fill="auto"/>
        <w:bidi w:val="0"/>
        <w:spacing w:before="0" w:after="80" w:line="35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2</w:t>
      </w:r>
      <w:bookmarkEnd w:id="508"/>
      <w:r>
        <w:rPr>
          <w:color w:val="000000"/>
          <w:spacing w:val="0"/>
          <w:w w:val="100"/>
          <w:position w:val="0"/>
        </w:rPr>
        <w:t>、公司控股股东情况</w:t>
      </w:r>
      <w:bookmarkEnd w:id="506"/>
      <w:bookmarkEnd w:id="507"/>
      <w:bookmarkEnd w:id="509"/>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控股股东性质：地方国有控股</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left"/>
        <w:tblLayout w:type="fixed"/>
      </w:tblPr>
      <w:tblGrid>
        <w:gridCol w:w="1958"/>
        <w:gridCol w:w="1277"/>
        <w:gridCol w:w="1704"/>
        <w:gridCol w:w="1982"/>
        <w:gridCol w:w="2664"/>
      </w:tblGrid>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 位负责人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深圳市资本运营集团有 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胡国斌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91440300664187170P</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一般经营项目是：投资兴办各类 实业（具体项目另行申报）；投 资业务；投资管理；资产管理。</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报告期内，公司控股股东控股及其子公司深圳资本（香港）参股中集集团（</w:t>
            </w:r>
            <w:r>
              <w:rPr>
                <w:rFonts w:ascii="Times New Roman" w:eastAsia="Times New Roman" w:hAnsi="Times New Roman" w:cs="Times New Roman"/>
                <w:color w:val="000000"/>
                <w:spacing w:val="0"/>
                <w:w w:val="100"/>
                <w:position w:val="0"/>
                <w:sz w:val="18"/>
                <w:szCs w:val="18"/>
              </w:rPr>
              <w:t>000039</w:t>
            </w:r>
            <w:r>
              <w:rPr>
                <w:color w:val="000000"/>
                <w:spacing w:val="0"/>
                <w:w w:val="100"/>
                <w:position w:val="0"/>
              </w:rPr>
              <w:t>）并成为该公 司第一大股东；公司未获悉控股股东报告期内控股和参股的其他境内外上市公司的股权情况。</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3</w:t>
      </w:r>
      <w:bookmarkEnd w:id="512"/>
      <w:r>
        <w:rPr>
          <w:color w:val="000000"/>
          <w:spacing w:val="0"/>
          <w:w w:val="100"/>
          <w:position w:val="0"/>
        </w:rPr>
        <w:t>、公司实际控制人及其一致行动人</w:t>
      </w:r>
      <w:bookmarkEnd w:id="510"/>
      <w:bookmarkEnd w:id="511"/>
      <w:bookmarkEnd w:id="51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实际控制人性质：地方国资管理机构</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实际控制人类型：法人</w:t>
      </w:r>
    </w:p>
    <w:tbl>
      <w:tblPr>
        <w:tblOverlap w:val="never"/>
        <w:jc w:val="left"/>
        <w:tblLayout w:type="fixed"/>
      </w:tblPr>
      <w:tblGrid>
        <w:gridCol w:w="2208"/>
        <w:gridCol w:w="1790"/>
        <w:gridCol w:w="1435"/>
        <w:gridCol w:w="1594"/>
        <w:gridCol w:w="255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深圳市人民政府国有资产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监督管理委员会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K31728067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根据市政府授权，依照法律规 履行出资人职责，依法维护国 有资产出人权益等。</w:t>
            </w:r>
          </w:p>
        </w:tc>
      </w:tr>
      <w:tr>
        <w:trPr>
          <w:trHeight w:val="10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实际控制人报告期内控制 的其他境内外上市公司的 股权情况</w:t>
            </w:r>
          </w:p>
        </w:tc>
        <w:tc>
          <w:tcPr>
            <w:gridSpan w:val="4"/>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据查询公开信息，公司实际控制人报告期内控制的其他境内外上市公司包括深圳机场、盐田 港、能源集团、深振业</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天健集团、农产品、深纺织</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深圳能源、特发信息、沙河股 份、特发服务等上市公司。</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r>
        <w:br w:type="page"/>
      </w:r>
    </w:p>
    <w:p>
      <w:pPr>
        <w:widowControl w:val="0"/>
        <w:jc w:val="center"/>
        <w:rPr>
          <w:sz w:val="2"/>
          <w:szCs w:val="2"/>
        </w:rPr>
      </w:pPr>
      <w:r>
        <w:drawing>
          <wp:inline>
            <wp:extent cx="4596130" cy="2145665"/>
            <wp:docPr id="278" name="Picutre 278"/>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107"/>
                    <a:stretch/>
                  </pic:blipFill>
                  <pic:spPr>
                    <a:xfrm>
                      <a:ext cx="4596130" cy="2145665"/>
                    </a:xfrm>
                    <a:prstGeom prst="rect"/>
                  </pic:spPr>
                </pic:pic>
              </a:graphicData>
            </a:graphic>
          </wp:inline>
        </w:drawing>
      </w:r>
    </w:p>
    <w:p>
      <w:pPr>
        <w:widowControl w:val="0"/>
        <w:spacing w:after="2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14" w:name="bookmark514"/>
      <w:bookmarkStart w:id="515" w:name="bookmark515"/>
      <w:bookmarkStart w:id="516" w:name="bookmark516"/>
      <w:bookmarkStart w:id="517" w:name="bookmark517"/>
      <w:r>
        <w:rPr>
          <w:rFonts w:ascii="Times New Roman" w:eastAsia="Times New Roman" w:hAnsi="Times New Roman" w:cs="Times New Roman"/>
          <w:color w:val="000000"/>
          <w:spacing w:val="0"/>
          <w:w w:val="100"/>
          <w:position w:val="0"/>
        </w:rPr>
        <w:t>4</w:t>
      </w:r>
      <w:bookmarkEnd w:id="516"/>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14"/>
      <w:bookmarkEnd w:id="515"/>
      <w:bookmarkEnd w:id="517"/>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5</w:t>
      </w:r>
      <w:bookmarkEnd w:id="520"/>
      <w:r>
        <w:rPr>
          <w:color w:val="000000"/>
          <w:spacing w:val="0"/>
          <w:w w:val="100"/>
          <w:position w:val="0"/>
        </w:rPr>
        <w:t>、</w:t>
        <w:tab/>
        <w:t>控股股东、实际控制人、重组方及其他承诺主体股份限制减持情况</w:t>
      </w:r>
      <w:bookmarkEnd w:id="518"/>
      <w:bookmarkEnd w:id="519"/>
      <w:bookmarkEnd w:id="521"/>
    </w:p>
    <w:p>
      <w:pPr>
        <w:pStyle w:val="Style21"/>
        <w:keepNext w:val="0"/>
        <w:keepLines w:val="0"/>
        <w:widowControl w:val="0"/>
        <w:shd w:val="clear" w:color="auto" w:fill="auto"/>
        <w:bidi w:val="0"/>
        <w:spacing w:before="0" w:after="380" w:line="240" w:lineRule="auto"/>
        <w:ind w:left="0" w:right="0" w:firstLine="0"/>
        <w:jc w:val="left"/>
        <w:sectPr>
          <w:headerReference w:type="default" r:id="rId109"/>
          <w:footerReference w:type="default" r:id="rId110"/>
          <w:headerReference w:type="even" r:id="rId111"/>
          <w:footerReference w:type="even" r:id="rId112"/>
          <w:headerReference w:type="first" r:id="rId113"/>
          <w:footerReference w:type="first" r:id="rId114"/>
          <w:footnotePr>
            <w:pos w:val="pageBottom"/>
            <w:numFmt w:val="decimal"/>
            <w:numRestart w:val="continuous"/>
          </w:footnotePr>
          <w:pgSz w:w="11900" w:h="16840"/>
          <w:pgMar w:top="1352" w:right="394" w:bottom="1318" w:left="716"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85" behindDoc="0" locked="0" layoutInCell="1" allowOverlap="1">
                <wp:simplePos x="0" y="0"/>
                <wp:positionH relativeFrom="page">
                  <wp:posOffset>2688590</wp:posOffset>
                </wp:positionH>
                <wp:positionV relativeFrom="paragraph">
                  <wp:posOffset>0</wp:posOffset>
                </wp:positionV>
                <wp:extent cx="2170430" cy="243840"/>
                <wp:wrapTopAndBottom/>
                <wp:docPr id="294" name="Shape 29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22" w:name="bookmark522"/>
                            <w:bookmarkStart w:id="523" w:name="bookmark523"/>
                            <w:bookmarkStart w:id="524" w:name="bookmark524"/>
                            <w:r>
                              <w:rPr>
                                <w:color w:val="000000"/>
                                <w:spacing w:val="0"/>
                                <w:w w:val="100"/>
                                <w:position w:val="0"/>
                              </w:rPr>
                              <w:t>第七节优先股相关情况</w:t>
                            </w:r>
                            <w:bookmarkEnd w:id="522"/>
                            <w:bookmarkEnd w:id="523"/>
                            <w:bookmarkEnd w:id="524"/>
                          </w:p>
                        </w:txbxContent>
                      </wps:txbx>
                      <wps:bodyPr wrap="none" lIns="0" tIns="0" rIns="0" bIns="0">
                        <a:noAutoFit/>
                      </wps:bodyPr>
                    </wps:wsp>
                  </a:graphicData>
                </a:graphic>
              </wp:anchor>
            </w:drawing>
          </mc:Choice>
          <mc:Fallback>
            <w:pict>
              <v:shape id="_x0000_s1320" type="#_x0000_t202" style="position:absolute;margin-left:211.70000000000002pt;margin-top:0;width:170.90000000000001pt;height:19.199999999999999pt;z-index:-125829368;mso-wrap-distance-left:0;mso-wrap-distance-right:0;mso-wrap-distance-bottom:21.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22" w:name="bookmark522"/>
                      <w:bookmarkStart w:id="523" w:name="bookmark523"/>
                      <w:bookmarkStart w:id="524" w:name="bookmark524"/>
                      <w:r>
                        <w:rPr>
                          <w:color w:val="000000"/>
                          <w:spacing w:val="0"/>
                          <w:w w:val="100"/>
                          <w:position w:val="0"/>
                        </w:rPr>
                        <w:t>第七节优先股相关情况</w:t>
                      </w:r>
                      <w:bookmarkEnd w:id="522"/>
                      <w:bookmarkEnd w:id="523"/>
                      <w:bookmarkEnd w:id="524"/>
                    </w:p>
                  </w:txbxContent>
                </v:textbox>
                <w10:wrap type="topAndBottom" anchorx="page"/>
              </v:shape>
            </w:pict>
          </mc:Fallback>
        </mc:AlternateContent>
      </w:r>
    </w:p>
    <w:p>
      <w:pPr>
        <w:pStyle w:val="Style21"/>
        <w:keepNext w:val="0"/>
        <w:keepLines w:val="0"/>
        <w:widowControl w:val="0"/>
        <w:shd w:val="clear" w:color="auto" w:fill="auto"/>
        <w:bidi w:val="0"/>
        <w:spacing w:before="0" w:after="140" w:line="240" w:lineRule="auto"/>
        <w:ind w:left="0" w:right="0" w:firstLine="0"/>
        <w:jc w:val="left"/>
      </w:pPr>
      <w:bookmarkStart w:id="525" w:name="bookmark525"/>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25"/>
    </w:p>
    <w:p>
      <w:pPr>
        <w:pStyle w:val="Style21"/>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98" w:right="10" w:bottom="1998" w:left="1100"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line="240" w:lineRule="auto"/>
        <w:ind w:left="0" w:right="0" w:firstLine="0"/>
        <w:jc w:val="center"/>
      </w:pPr>
      <w:bookmarkStart w:id="526" w:name="bookmark526"/>
      <w:bookmarkStart w:id="527" w:name="bookmark527"/>
      <w:bookmarkStart w:id="528" w:name="bookmark528"/>
      <w:r>
        <w:rPr>
          <w:color w:val="000000"/>
          <w:spacing w:val="0"/>
          <w:w w:val="100"/>
          <w:position w:val="0"/>
        </w:rPr>
        <w:t>第八节可转换公司债券相关情况</w:t>
      </w:r>
      <w:bookmarkEnd w:id="526"/>
      <w:bookmarkEnd w:id="527"/>
      <w:bookmarkEnd w:id="528"/>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1"/>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998" w:right="10" w:bottom="1998" w:left="1100" w:header="0" w:footer="3" w:gutter="0"/>
          <w:cols w:space="720"/>
          <w:noEndnote/>
          <w:rtlGutter w:val="0"/>
          <w:docGrid w:linePitch="360"/>
        </w:sectPr>
      </w:pPr>
      <w:r>
        <w:rPr>
          <w:color w:val="000000"/>
          <w:spacing w:val="0"/>
          <w:w w:val="100"/>
          <w:position w:val="0"/>
        </w:rPr>
        <w:t>报告期公司不存在可转换公司债券。</w:t>
      </w:r>
    </w:p>
    <w:p>
      <w:pPr>
        <w:pStyle w:val="Style16"/>
        <w:keepNext/>
        <w:keepLines/>
        <w:widowControl w:val="0"/>
        <w:shd w:val="clear" w:color="auto" w:fill="auto"/>
        <w:bidi w:val="0"/>
        <w:spacing w:before="0" w:after="500" w:line="240" w:lineRule="auto"/>
        <w:ind w:left="0" w:right="0"/>
        <w:jc w:val="left"/>
      </w:pPr>
      <w:bookmarkStart w:id="529" w:name="bookmark529"/>
      <w:bookmarkStart w:id="530" w:name="bookmark530"/>
      <w:bookmarkStart w:id="531" w:name="bookmark531"/>
      <w:bookmarkStart w:id="532" w:name="bookmark532"/>
      <w:r>
        <w:rPr>
          <w:spacing w:val="0"/>
          <w:w w:val="100"/>
          <w:position w:val="0"/>
        </w:rPr>
        <w:t>iBR</w:t>
      </w:r>
      <w:bookmarkEnd w:id="530"/>
      <w:bookmarkEnd w:id="531"/>
      <w:bookmarkEnd w:id="532"/>
      <w:bookmarkEnd w:id="529"/>
    </w:p>
    <w:p>
      <w:pPr>
        <w:pStyle w:val="Style8"/>
        <w:keepNext/>
        <w:keepLines/>
        <w:widowControl w:val="0"/>
        <w:shd w:val="clear" w:color="auto" w:fill="auto"/>
        <w:bidi w:val="0"/>
        <w:spacing w:before="0" w:after="540" w:line="240" w:lineRule="auto"/>
        <w:ind w:left="1540" w:right="0" w:firstLine="0"/>
        <w:jc w:val="left"/>
      </w:pPr>
      <w:bookmarkStart w:id="533" w:name="bookmark533"/>
      <w:bookmarkStart w:id="534" w:name="bookmark534"/>
      <w:bookmarkStart w:id="535" w:name="bookmark535"/>
      <w:r>
        <w:rPr>
          <w:color w:val="000000"/>
          <w:spacing w:val="0"/>
          <w:w w:val="100"/>
          <w:position w:val="0"/>
        </w:rPr>
        <w:t>第九节董事、监事、高级管理人员和员工情况</w:t>
      </w:r>
      <w:bookmarkEnd w:id="533"/>
      <w:bookmarkEnd w:id="534"/>
      <w:bookmarkEnd w:id="535"/>
    </w:p>
    <w:p>
      <w:pPr>
        <w:pStyle w:val="Style30"/>
        <w:keepNext/>
        <w:keepLines/>
        <w:widowControl w:val="0"/>
        <w:shd w:val="clear" w:color="auto" w:fill="auto"/>
        <w:bidi w:val="0"/>
        <w:spacing w:before="0" w:after="34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一</w:t>
      </w:r>
      <w:bookmarkEnd w:id="538"/>
      <w:r>
        <w:rPr>
          <w:color w:val="000000"/>
          <w:spacing w:val="0"/>
          <w:w w:val="100"/>
          <w:position w:val="0"/>
        </w:rPr>
        <w:t>、董事、监事和高级管理人员持股变动</w:t>
      </w:r>
      <w:bookmarkEnd w:id="536"/>
      <w:bookmarkEnd w:id="537"/>
      <w:bookmarkEnd w:id="539"/>
    </w:p>
    <w:tbl>
      <w:tblPr>
        <w:tblOverlap w:val="never"/>
        <w:jc w:val="left"/>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期初持股 数（股）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本期增持 股份数量</w:t>
            </w:r>
          </w:p>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307" w:lineRule="exact"/>
              <w:ind w:left="0" w:right="0" w:firstLine="0"/>
              <w:jc w:val="right"/>
            </w:pPr>
            <w:r>
              <w:rPr>
                <w:color w:val="000000"/>
                <w:spacing w:val="0"/>
                <w:w w:val="100"/>
                <w:position w:val="0"/>
              </w:rPr>
              <w:t>本期减持 股份数量</w:t>
            </w:r>
          </w:p>
          <w:p>
            <w:pPr>
              <w:pStyle w:val="Style27"/>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其他增减 变动 （股）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期末持股 数（股）</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报告期内，公司所有董事、监事和高级管理人员（含已离任人员）均未直接持有公司股份，不存在股份数量变动的情况。</w:t>
      </w:r>
    </w:p>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二</w:t>
      </w:r>
      <w:bookmarkEnd w:id="542"/>
      <w:r>
        <w:rPr>
          <w:color w:val="000000"/>
          <w:spacing w:val="0"/>
          <w:w w:val="100"/>
          <w:position w:val="0"/>
        </w:rPr>
        <w:t>、公司董事、监事、高级管理人员变动情况</w:t>
      </w:r>
      <w:bookmarkEnd w:id="540"/>
      <w:bookmarkEnd w:id="541"/>
      <w:bookmarkEnd w:id="543"/>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682"/>
        <w:gridCol w:w="2270"/>
        <w:gridCol w:w="1560"/>
        <w:gridCol w:w="994"/>
        <w:gridCol w:w="408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董事会换届选举产生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董事会换届选举产生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董事会换届选举产生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董事会换届选举产生</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董事会换届选举产生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肖显锋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非职工代表监事（监事会主 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监事会换届选举产生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监事会换届选举产生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廖俊凯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监事会换届选举产生</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前任高级管理人员任期届满，经董事会聘任产生</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丘国雄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前任高级管理人员任期届满，经董事会聘任产生</w:t>
            </w:r>
          </w:p>
        </w:tc>
      </w:tr>
      <w:tr>
        <w:trPr>
          <w:trHeight w:val="10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叶小平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高级管理人员（非独立董 事、财务总监兼董事会秘 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前任高级管理人员任期届满，经董事会聘任产生</w:t>
            </w:r>
          </w:p>
        </w:tc>
      </w:tr>
    </w:tbl>
    <w:p>
      <w:pPr>
        <w:widowControl w:val="0"/>
        <w:spacing w:line="1" w:lineRule="exact"/>
      </w:pPr>
    </w:p>
    <w:tbl>
      <w:tblPr>
        <w:tblOverlap w:val="never"/>
        <w:jc w:val="left"/>
        <w:tblLayout w:type="fixed"/>
      </w:tblPr>
      <w:tblGrid>
        <w:gridCol w:w="682"/>
        <w:gridCol w:w="2270"/>
        <w:gridCol w:w="1560"/>
        <w:gridCol w:w="994"/>
        <w:gridCol w:w="4080"/>
      </w:tblGrid>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邵顺昌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吴硕贤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郑学定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林晓春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蔡素娟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非职工代表监事（监事会主 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吴曦东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任期届满离任</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陈泽广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高级管理人员（总经理）任期届满离任，但仍担任 非独立董事（副董事长）</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毛洪伟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高级管理人员（副总经理、 董事会秘书）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高级管理人员（副总经理、董事会秘书）任期届满 离任，但仍担高级管理人员（总经理）</w:t>
            </w:r>
          </w:p>
        </w:tc>
      </w:tr>
    </w:tbl>
    <w:p>
      <w:pPr>
        <w:widowControl w:val="0"/>
        <w:spacing w:after="319" w:line="1" w:lineRule="exact"/>
      </w:pPr>
    </w:p>
    <w:p>
      <w:pPr>
        <w:pStyle w:val="Style30"/>
        <w:keepNext/>
        <w:keepLines/>
        <w:widowControl w:val="0"/>
        <w:shd w:val="clear" w:color="auto" w:fill="auto"/>
        <w:bidi w:val="0"/>
        <w:spacing w:before="0" w:after="260" w:line="240" w:lineRule="auto"/>
        <w:ind w:left="0" w:right="0" w:firstLine="0"/>
        <w:jc w:val="both"/>
      </w:pPr>
      <w:bookmarkStart w:id="544" w:name="bookmark544"/>
      <w:bookmarkStart w:id="545" w:name="bookmark545"/>
      <w:bookmarkStart w:id="546" w:name="bookmark546"/>
      <w:bookmarkStart w:id="547" w:name="bookmark547"/>
      <w:r>
        <w:rPr>
          <w:color w:val="000000"/>
          <w:spacing w:val="0"/>
          <w:w w:val="100"/>
          <w:position w:val="0"/>
        </w:rPr>
        <w:t>三</w:t>
      </w:r>
      <w:bookmarkEnd w:id="546"/>
      <w:r>
        <w:rPr>
          <w:color w:val="000000"/>
          <w:spacing w:val="0"/>
          <w:w w:val="100"/>
          <w:position w:val="0"/>
        </w:rPr>
        <w:t>、任职情况</w:t>
      </w:r>
      <w:bookmarkEnd w:id="544"/>
      <w:bookmarkEnd w:id="545"/>
      <w:bookmarkEnd w:id="547"/>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21"/>
        <w:keepNext w:val="0"/>
        <w:keepLines w:val="0"/>
        <w:widowControl w:val="0"/>
        <w:shd w:val="clear" w:color="auto" w:fill="auto"/>
        <w:bidi w:val="0"/>
        <w:spacing w:before="0" w:after="0" w:line="313" w:lineRule="exact"/>
        <w:ind w:left="0" w:right="0" w:firstLine="0"/>
        <w:jc w:val="both"/>
      </w:pPr>
      <w:bookmarkStart w:id="548" w:name="bookmark548"/>
      <w:r>
        <w:rPr>
          <w:color w:val="000000"/>
          <w:spacing w:val="0"/>
          <w:w w:val="100"/>
          <w:position w:val="0"/>
        </w:rPr>
        <w:t>一</w:t>
      </w:r>
      <w:bookmarkEnd w:id="548"/>
      <w:r>
        <w:rPr>
          <w:color w:val="000000"/>
          <w:spacing w:val="0"/>
          <w:w w:val="100"/>
          <w:position w:val="0"/>
        </w:rPr>
        <w:t>、公司董事会董事</w:t>
      </w:r>
    </w:p>
    <w:p>
      <w:pPr>
        <w:pStyle w:val="Style21"/>
        <w:keepNext w:val="0"/>
        <w:keepLines w:val="0"/>
        <w:widowControl w:val="0"/>
        <w:shd w:val="clear" w:color="auto" w:fill="auto"/>
        <w:tabs>
          <w:tab w:pos="284" w:val="left"/>
        </w:tabs>
        <w:bidi w:val="0"/>
        <w:spacing w:before="0" w:after="0" w:line="313" w:lineRule="exact"/>
        <w:ind w:left="0" w:right="0" w:firstLine="0"/>
        <w:jc w:val="both"/>
      </w:pPr>
      <w:bookmarkStart w:id="549" w:name="bookmark549"/>
      <w:r>
        <w:rPr>
          <w:rFonts w:ascii="Times New Roman" w:eastAsia="Times New Roman" w:hAnsi="Times New Roman" w:cs="Times New Roman"/>
          <w:color w:val="000000"/>
          <w:spacing w:val="0"/>
          <w:w w:val="100"/>
          <w:position w:val="0"/>
          <w:sz w:val="18"/>
          <w:szCs w:val="18"/>
        </w:rPr>
        <w:t>1</w:t>
      </w:r>
      <w:bookmarkEnd w:id="549"/>
      <w:r>
        <w:rPr>
          <w:color w:val="000000"/>
          <w:spacing w:val="0"/>
          <w:w w:val="100"/>
          <w:position w:val="0"/>
        </w:rPr>
        <w:t>、</w:t>
        <w:tab/>
        <w:t xml:space="preserve">叶青女士： </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年生，中共党员，研究生学历，浙江大学建筑技术科学专业工学硕士，教授级高级工程师，中国国籍， 无境外永久居留权。</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年毕业于浙江大学建筑系。</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年历任深圳市建筑设计研究总院下属深圳市建筑科学研究 院（所）设计室副主任、主任，建科所所长助理、副所长、所长、院长；</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年历任深圳市建筑设计研究总院有限 公司执行总建筑师、副总经理，深圳市建筑科学研究院有限公司党委书记、董事长；</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年任深圳市建筑科学研究 院有限公司党委书记、董事长。</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年至今任深圳市建筑科学研究院股份有限公司党委书记、董事长。</w:t>
      </w:r>
    </w:p>
    <w:p>
      <w:pPr>
        <w:pStyle w:val="Style21"/>
        <w:keepNext w:val="0"/>
        <w:keepLines w:val="0"/>
        <w:widowControl w:val="0"/>
        <w:shd w:val="clear" w:color="auto" w:fill="auto"/>
        <w:tabs>
          <w:tab w:pos="294" w:val="left"/>
        </w:tabs>
        <w:bidi w:val="0"/>
        <w:spacing w:before="0" w:after="0" w:line="313" w:lineRule="exact"/>
        <w:ind w:left="0" w:right="0" w:firstLine="0"/>
        <w:jc w:val="both"/>
      </w:pPr>
      <w:bookmarkStart w:id="550" w:name="bookmark550"/>
      <w:r>
        <w:rPr>
          <w:rFonts w:ascii="Times New Roman" w:eastAsia="Times New Roman" w:hAnsi="Times New Roman" w:cs="Times New Roman"/>
          <w:color w:val="000000"/>
          <w:spacing w:val="0"/>
          <w:w w:val="100"/>
          <w:position w:val="0"/>
          <w:sz w:val="18"/>
          <w:szCs w:val="18"/>
        </w:rPr>
        <w:t>2</w:t>
      </w:r>
      <w:bookmarkEnd w:id="550"/>
      <w:r>
        <w:rPr>
          <w:color w:val="000000"/>
          <w:spacing w:val="0"/>
          <w:w w:val="100"/>
          <w:position w:val="0"/>
        </w:rPr>
        <w:t>、</w:t>
        <w:tab/>
        <w:t>陈泽广先生：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年生，中共党员，研究生学历，华南理工大学结构工程专业工学硕士，中欧国际工商学院高层管理人 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教授级高级工程师，中国国籍，无境外永久居留权。</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年参加工作，</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年期间， 历任深圳市建筑科学研究院总工程师、副院长；</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年期间，任深圳市建筑科学研究院有限公司副院长；</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 xml:space="preserve">年至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年期间，任深圳市建筑科学研究院有限公司党委副书记、董事、总经理；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年期间，任深圳市建筑科学研究 院股份有限公司党委副书记、董事、总经理，并于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月被选举为公司副董事长。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月起任深圳市建筑科学研究 院股份有限公司党委副书记、副董事长。</w:t>
      </w:r>
    </w:p>
    <w:p>
      <w:pPr>
        <w:pStyle w:val="Style21"/>
        <w:keepNext w:val="0"/>
        <w:keepLines w:val="0"/>
        <w:widowControl w:val="0"/>
        <w:shd w:val="clear" w:color="auto" w:fill="auto"/>
        <w:tabs>
          <w:tab w:pos="294" w:val="left"/>
        </w:tabs>
        <w:bidi w:val="0"/>
        <w:spacing w:before="0" w:after="0" w:line="313" w:lineRule="exact"/>
        <w:ind w:left="0" w:right="0" w:firstLine="0"/>
        <w:jc w:val="both"/>
      </w:pPr>
      <w:bookmarkStart w:id="551" w:name="bookmark551"/>
      <w:r>
        <w:rPr>
          <w:rFonts w:ascii="Times New Roman" w:eastAsia="Times New Roman" w:hAnsi="Times New Roman" w:cs="Times New Roman"/>
          <w:color w:val="000000"/>
          <w:spacing w:val="0"/>
          <w:w w:val="100"/>
          <w:position w:val="0"/>
          <w:sz w:val="18"/>
          <w:szCs w:val="18"/>
        </w:rPr>
        <w:t>3</w:t>
      </w:r>
      <w:bookmarkEnd w:id="551"/>
      <w:r>
        <w:rPr>
          <w:color w:val="000000"/>
          <w:spacing w:val="0"/>
          <w:w w:val="100"/>
          <w:position w:val="0"/>
        </w:rPr>
        <w:t>、</w:t>
        <w:tab/>
        <w:t>黄庆先生：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年生，中共党员，研究生学历，武汉大学投资经济专业毕业，管理学硕士，中国国籍，无境外永久居留 权。</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年参加工作，历任山西省人民政府驻广州办事处党组成员、副主任，山西省人民政府办公厅、国家文化部、湖南省 人民政府办公厅、深圳市人民政府办公厅处级干部等职。现任深圳市资本运营集团有限公司（曾用名：深圳市远致投资有限 公司，下同）副总经理、深圳市建筑科学研究院股份有限公司董事。</w:t>
      </w:r>
    </w:p>
    <w:p>
      <w:pPr>
        <w:pStyle w:val="Style21"/>
        <w:keepNext w:val="0"/>
        <w:keepLines w:val="0"/>
        <w:widowControl w:val="0"/>
        <w:shd w:val="clear" w:color="auto" w:fill="auto"/>
        <w:tabs>
          <w:tab w:pos="294" w:val="left"/>
        </w:tabs>
        <w:bidi w:val="0"/>
        <w:spacing w:before="0" w:after="0" w:line="313" w:lineRule="exact"/>
        <w:ind w:left="0" w:right="0" w:firstLine="0"/>
        <w:jc w:val="both"/>
        <w:sectPr>
          <w:headerReference w:type="default" r:id="rId115"/>
          <w:footerReference w:type="default" r:id="rId116"/>
          <w:headerReference w:type="even" r:id="rId117"/>
          <w:footerReference w:type="even" r:id="rId118"/>
          <w:headerReference w:type="first" r:id="rId119"/>
          <w:footerReference w:type="first" r:id="rId120"/>
          <w:footnotePr>
            <w:pos w:val="pageBottom"/>
            <w:numFmt w:val="decimal"/>
            <w:numRestart w:val="continuous"/>
          </w:footnotePr>
          <w:pgSz w:w="11900" w:h="16840"/>
          <w:pgMar w:top="1336" w:right="22" w:bottom="1345" w:left="1088" w:header="0" w:footer="3" w:gutter="0"/>
          <w:cols w:space="720"/>
          <w:noEndnote/>
          <w:titlePg/>
          <w:rtlGutter w:val="0"/>
          <w:docGrid w:linePitch="360"/>
        </w:sectPr>
      </w:pPr>
      <w:bookmarkStart w:id="552" w:name="bookmark552"/>
      <w:r>
        <w:rPr>
          <w:rFonts w:ascii="Times New Roman" w:eastAsia="Times New Roman" w:hAnsi="Times New Roman" w:cs="Times New Roman"/>
          <w:color w:val="000000"/>
          <w:spacing w:val="0"/>
          <w:w w:val="100"/>
          <w:position w:val="0"/>
          <w:sz w:val="18"/>
          <w:szCs w:val="18"/>
        </w:rPr>
        <w:t>4</w:t>
      </w:r>
      <w:bookmarkEnd w:id="552"/>
      <w:r>
        <w:rPr>
          <w:color w:val="000000"/>
          <w:spacing w:val="0"/>
          <w:w w:val="100"/>
          <w:position w:val="0"/>
        </w:rPr>
        <w:t>、</w:t>
        <w:tab/>
        <w:t>张峰先生：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 xml:space="preserve">年生，中共党员，研究生学历，中共中央党校经济学（经济管理）专业，中国国籍，无境外永久居留权。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年参加工作，历任深圳市大运中心运营管理有限公司办公室（党群工作部）主任，中国科技开发院有限公司总经理秘书、 园区发展部部长、党总支委员、办公室（党群工作部）主任、第一党支部书记，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月起任深圳市建筑科学研究院股份</w:t>
      </w:r>
    </w:p>
    <w:p>
      <w:pPr>
        <w:pStyle w:val="Style21"/>
        <w:keepNext w:val="0"/>
        <w:keepLines w:val="0"/>
        <w:widowControl w:val="0"/>
        <w:shd w:val="clear" w:color="auto" w:fill="auto"/>
        <w:bidi w:val="0"/>
        <w:spacing w:before="0" w:after="0" w:line="313" w:lineRule="exact"/>
        <w:ind w:left="0" w:right="0" w:firstLine="3620"/>
        <w:jc w:val="left"/>
      </w:pPr>
      <w:r>
        <w:drawing>
          <wp:anchor distT="0" distB="0" distL="114300" distR="114300" simplePos="0" relativeHeight="125829387" behindDoc="0" locked="0" layoutInCell="1" allowOverlap="1">
            <wp:simplePos x="0" y="0"/>
            <wp:positionH relativeFrom="page">
              <wp:posOffset>697230</wp:posOffset>
            </wp:positionH>
            <wp:positionV relativeFrom="margin">
              <wp:posOffset>-140335</wp:posOffset>
            </wp:positionV>
            <wp:extent cx="774065" cy="396240"/>
            <wp:wrapSquare wrapText="right"/>
            <wp:docPr id="317" name="Shape 317"/>
            <a:graphic xmlns:a="http://schemas.openxmlformats.org/drawingml/2006/main">
              <a:graphicData uri="http://schemas.openxmlformats.org/drawingml/2006/picture">
                <pic:pic xmlns:pic="http://schemas.openxmlformats.org/drawingml/2006/picture">
                  <pic:nvPicPr>
                    <pic:cNvPr id="318" name="Picture box 318"/>
                    <pic:cNvPicPr/>
                  </pic:nvPicPr>
                  <pic:blipFill>
                    <a:blip r:embed="rId121"/>
                    <a:stretch/>
                  </pic:blipFill>
                  <pic:spPr>
                    <a:xfrm>
                      <a:ext cx="774065" cy="396240"/>
                    </a:xfrm>
                    <a:prstGeom prst="rect"/>
                  </pic:spPr>
                </pic:pic>
              </a:graphicData>
            </a:graphic>
          </wp:anchor>
        </w:drawing>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有限公司党委副书记。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月起任深圳市建筑科学研究院股份有限公司党委副书记、董事。</w:t>
      </w:r>
    </w:p>
    <w:p>
      <w:pPr>
        <w:pStyle w:val="Style21"/>
        <w:keepNext w:val="0"/>
        <w:keepLines w:val="0"/>
        <w:widowControl w:val="0"/>
        <w:shd w:val="clear" w:color="auto" w:fill="auto"/>
        <w:tabs>
          <w:tab w:pos="286" w:val="left"/>
        </w:tabs>
        <w:bidi w:val="0"/>
        <w:spacing w:before="0" w:after="0" w:line="313" w:lineRule="exact"/>
        <w:ind w:left="0" w:right="0" w:firstLine="0"/>
        <w:jc w:val="both"/>
      </w:pPr>
      <w:bookmarkStart w:id="553" w:name="bookmark553"/>
      <w:r>
        <w:rPr>
          <w:rFonts w:ascii="Times New Roman" w:eastAsia="Times New Roman" w:hAnsi="Times New Roman" w:cs="Times New Roman"/>
          <w:color w:val="000000"/>
          <w:spacing w:val="0"/>
          <w:w w:val="100"/>
          <w:position w:val="0"/>
          <w:sz w:val="18"/>
          <w:szCs w:val="18"/>
        </w:rPr>
        <w:t>5</w:t>
      </w:r>
      <w:bookmarkEnd w:id="553"/>
      <w:r>
        <w:rPr>
          <w:color w:val="000000"/>
          <w:spacing w:val="0"/>
          <w:w w:val="100"/>
          <w:position w:val="0"/>
        </w:rPr>
        <w:t>、</w:t>
        <w:tab/>
        <w:t>陈晔东先生：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年生，中共党员，研究生学历，中南财经政法大学工商管理硕士，中级经济师，中国国籍，无境外永 久居留权。</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年参加工作，历任中国建设银行黑龙江省分行副部长、科员；南方证券股份有限公司主办、经理；沙河实业 股份有限公司河南分公司办公室副主任；深圳市亿鑫投资有限公司综合部副部长等职。</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年起历任深圳市资本运营集团有 限公司战略研究部经理、高级经理、副部长，资产管理部部长（本报告披露日任风险控制部部长），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月起任深圳市 建筑科学研究院股份有限公司董事。</w:t>
      </w:r>
    </w:p>
    <w:p>
      <w:pPr>
        <w:pStyle w:val="Style21"/>
        <w:keepNext w:val="0"/>
        <w:keepLines w:val="0"/>
        <w:widowControl w:val="0"/>
        <w:shd w:val="clear" w:color="auto" w:fill="auto"/>
        <w:tabs>
          <w:tab w:pos="294" w:val="left"/>
        </w:tabs>
        <w:bidi w:val="0"/>
        <w:spacing w:before="0" w:after="0" w:line="313" w:lineRule="exact"/>
        <w:ind w:left="0" w:right="0" w:firstLine="0"/>
        <w:jc w:val="both"/>
      </w:pPr>
      <w:bookmarkStart w:id="554" w:name="bookmark554"/>
      <w:r>
        <w:rPr>
          <w:rFonts w:ascii="Times New Roman" w:eastAsia="Times New Roman" w:hAnsi="Times New Roman" w:cs="Times New Roman"/>
          <w:color w:val="000000"/>
          <w:spacing w:val="0"/>
          <w:w w:val="100"/>
          <w:position w:val="0"/>
          <w:sz w:val="18"/>
          <w:szCs w:val="18"/>
        </w:rPr>
        <w:t>6</w:t>
      </w:r>
      <w:bookmarkEnd w:id="554"/>
      <w:r>
        <w:rPr>
          <w:color w:val="000000"/>
          <w:spacing w:val="0"/>
          <w:w w:val="100"/>
          <w:position w:val="0"/>
        </w:rPr>
        <w:t>、</w:t>
        <w:tab/>
        <w:t>叶小平先生：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年生，中共党员，研究生学历，厦门大学管理学硕士，英国特许公认会计师公会资深会员，持有深圳 证券交易所认可的董事会秘书资格证书，中国国籍，无境外永久居留权。</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 xml:space="preserve">年参加工作，历任深圳市燃气集团股份有限公 司赣州公司财务部部长、深圳市宝德投资控股有限公司财务总监、深圳市资本运营集团有限公司计划财务部副部长等职，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年期间，任公司董事、财务负责人、财务总监。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月起任公司董事、财务负责人、财务总监、董事会秘 书。</w:t>
      </w:r>
    </w:p>
    <w:p>
      <w:pPr>
        <w:pStyle w:val="Style21"/>
        <w:keepNext w:val="0"/>
        <w:keepLines w:val="0"/>
        <w:widowControl w:val="0"/>
        <w:shd w:val="clear" w:color="auto" w:fill="auto"/>
        <w:tabs>
          <w:tab w:pos="289" w:val="left"/>
        </w:tabs>
        <w:bidi w:val="0"/>
        <w:spacing w:before="0" w:after="0" w:line="313" w:lineRule="exact"/>
        <w:ind w:left="0" w:right="0" w:firstLine="0"/>
        <w:jc w:val="both"/>
      </w:pPr>
      <w:bookmarkStart w:id="555" w:name="bookmark555"/>
      <w:r>
        <w:rPr>
          <w:rFonts w:ascii="Times New Roman" w:eastAsia="Times New Roman" w:hAnsi="Times New Roman" w:cs="Times New Roman"/>
          <w:color w:val="000000"/>
          <w:spacing w:val="0"/>
          <w:w w:val="100"/>
          <w:position w:val="0"/>
          <w:sz w:val="18"/>
          <w:szCs w:val="18"/>
        </w:rPr>
        <w:t>7</w:t>
      </w:r>
      <w:bookmarkEnd w:id="555"/>
      <w:r>
        <w:rPr>
          <w:color w:val="000000"/>
          <w:spacing w:val="0"/>
          <w:w w:val="100"/>
          <w:position w:val="0"/>
        </w:rPr>
        <w:t>、</w:t>
        <w:tab/>
        <w:t>张燕平先生：</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年生，中共党员，研究生学历，同济大学工业与民用建筑学士，美国俄亥俄莱特州立大学高级管理人 员工商管理硕士</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color w:val="000000"/>
          <w:spacing w:val="0"/>
          <w:w w:val="100"/>
          <w:position w:val="0"/>
        </w:rPr>
        <w:t>，持有深圳证券交易所认可的独立董事资格证书，中国国籍，无境外永久居留权。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年参加工 作，</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月期间，历任上海市建筑科学研究院技术员、结构技术研究所副总工程师、岩土工程技术研究所所 长等职；</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月期间，任上海市建筑科学研究院副院长兼人事处处长；</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月期间，任上海 市建筑科学研究院（集团）有限公司院长（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月期间参加国务院国资委委托美国俄亥俄莱特州立大学</w:t>
      </w:r>
      <w:r>
        <w:rPr>
          <w:rFonts w:ascii="Times New Roman" w:eastAsia="Times New Roman" w:hAnsi="Times New Roman" w:cs="Times New Roman"/>
          <w:color w:val="000000"/>
          <w:spacing w:val="0"/>
          <w:w w:val="100"/>
          <w:position w:val="0"/>
          <w:sz w:val="18"/>
          <w:szCs w:val="18"/>
        </w:rPr>
        <w:t xml:space="preserve">EMBA </w:t>
      </w:r>
      <w:r>
        <w:rPr>
          <w:color w:val="000000"/>
          <w:spacing w:val="0"/>
          <w:w w:val="100"/>
          <w:position w:val="0"/>
        </w:rPr>
        <w:t>班并结业）。同时历任上海市第八届党代会代表、上海市第十三届人大代表、上海市第十二届政协委员、同济大学城市风险 管理研究院专家委员会副主任等社会职务。现任上海市建筑学会副理事长，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月起任深圳市建筑科学研究院股份有限 </w:t>
      </w:r>
      <w:r>
        <w:rPr>
          <w:color w:val="000000"/>
          <w:spacing w:val="0"/>
          <w:w w:val="100"/>
          <w:position w:val="0"/>
        </w:rPr>
        <w:t>公司独立董事。</w:t>
      </w:r>
    </w:p>
    <w:p>
      <w:pPr>
        <w:pStyle w:val="Style21"/>
        <w:keepNext w:val="0"/>
        <w:keepLines w:val="0"/>
        <w:widowControl w:val="0"/>
        <w:shd w:val="clear" w:color="auto" w:fill="auto"/>
        <w:bidi w:val="0"/>
        <w:spacing w:before="0" w:after="0" w:line="313" w:lineRule="exact"/>
        <w:ind w:left="0" w:right="0" w:firstLine="0"/>
        <w:jc w:val="both"/>
      </w:pPr>
      <w:bookmarkStart w:id="556" w:name="bookmark556"/>
      <w:r>
        <w:rPr>
          <w:rFonts w:ascii="Times New Roman" w:eastAsia="Times New Roman" w:hAnsi="Times New Roman" w:cs="Times New Roman"/>
          <w:color w:val="000000"/>
          <w:spacing w:val="0"/>
          <w:w w:val="100"/>
          <w:position w:val="0"/>
          <w:sz w:val="18"/>
          <w:szCs w:val="18"/>
        </w:rPr>
        <w:t>8</w:t>
      </w:r>
      <w:bookmarkEnd w:id="556"/>
      <w:r>
        <w:rPr>
          <w:color w:val="000000"/>
          <w:spacing w:val="0"/>
          <w:w w:val="100"/>
          <w:position w:val="0"/>
        </w:rPr>
        <w:t>、 谢兰军先生：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年生，中共党员，本科学历，兰州大学法学学士，持有深圳证券交易所认可的独立董事资格证书，中 国国籍，无境外永久居留权。</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年参加工作，</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月期间，任河源市司法局对外经济律师事务所副主任律 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月期间，任广东万商律师事务所律师；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月期间，任广东新东方律师事务所律师</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月期间参加清华大学工程项目管理学院资本运营班并结业）；</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月期间，任广东 雅尔德律师事务所执业律师（</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月期间在国家信息产业部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通信技术知识产权保护实务研讨班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学习并结业）；</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月至今任北京市中银（深圳）律师事务所高级合伙人、律师、党支部书记，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月起任深圳市建筑科学研究院股份有 限公司独立董事。</w:t>
      </w:r>
    </w:p>
    <w:p>
      <w:pPr>
        <w:pStyle w:val="Style21"/>
        <w:keepNext w:val="0"/>
        <w:keepLines w:val="0"/>
        <w:widowControl w:val="0"/>
        <w:shd w:val="clear" w:color="auto" w:fill="auto"/>
        <w:tabs>
          <w:tab w:pos="286" w:val="left"/>
        </w:tabs>
        <w:bidi w:val="0"/>
        <w:spacing w:before="0" w:after="0" w:line="313" w:lineRule="exact"/>
        <w:ind w:left="0" w:right="0" w:firstLine="0"/>
        <w:jc w:val="both"/>
      </w:pPr>
      <w:bookmarkStart w:id="557" w:name="bookmark557"/>
      <w:r>
        <w:rPr>
          <w:rFonts w:ascii="Times New Roman" w:eastAsia="Times New Roman" w:hAnsi="Times New Roman" w:cs="Times New Roman"/>
          <w:color w:val="000000"/>
          <w:spacing w:val="0"/>
          <w:w w:val="100"/>
          <w:position w:val="0"/>
          <w:sz w:val="18"/>
          <w:szCs w:val="18"/>
        </w:rPr>
        <w:t>9</w:t>
      </w:r>
      <w:bookmarkEnd w:id="557"/>
      <w:r>
        <w:rPr>
          <w:color w:val="000000"/>
          <w:spacing w:val="0"/>
          <w:w w:val="100"/>
          <w:position w:val="0"/>
        </w:rPr>
        <w:t>、</w:t>
        <w:tab/>
        <w:t>周俊祥先生：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年生，研究生学历，武汉大学计算机科学系理学学士（计算机）、财政部中国财政科学研究院经济学 硕士（会计），中国注册会计师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CPA</w:t>
      </w:r>
      <w:r>
        <w:rPr>
          <w:color w:val="000000"/>
          <w:spacing w:val="0"/>
          <w:w w:val="100"/>
          <w:position w:val="0"/>
        </w:rPr>
        <w:t>）</w:t>
      </w:r>
      <w:r>
        <w:rPr>
          <w:color w:val="000000"/>
          <w:spacing w:val="0"/>
          <w:w w:val="100"/>
          <w:position w:val="0"/>
        </w:rPr>
        <w:t>、注册资产评估师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CPV</w:t>
      </w:r>
      <w:r>
        <w:rPr>
          <w:color w:val="000000"/>
          <w:spacing w:val="0"/>
          <w:w w:val="100"/>
          <w:position w:val="0"/>
        </w:rPr>
        <w:t>）</w:t>
      </w:r>
      <w:r>
        <w:rPr>
          <w:color w:val="000000"/>
          <w:spacing w:val="0"/>
          <w:w w:val="100"/>
          <w:position w:val="0"/>
        </w:rPr>
        <w:t>，持有深圳证券交易所认可的独立董事资格证书，中国 国籍，无境外永久居留权。</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年参加工作并从事独立审计和评估工作，历任证券从业资格会计师事务所审计经理、评估公 司总经理、会计师事务所所长（合伙人）等职。现任大华会计师事务所（特殊普通合伙）高级合伙人，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月起任深圳 市建筑科学研究院股份有限公司独立董事。</w:t>
      </w:r>
    </w:p>
    <w:p>
      <w:pPr>
        <w:pStyle w:val="Style21"/>
        <w:keepNext w:val="0"/>
        <w:keepLines w:val="0"/>
        <w:widowControl w:val="0"/>
        <w:shd w:val="clear" w:color="auto" w:fill="auto"/>
        <w:bidi w:val="0"/>
        <w:spacing w:before="0" w:after="0" w:line="313" w:lineRule="exact"/>
        <w:ind w:left="0" w:right="0" w:firstLine="0"/>
        <w:jc w:val="both"/>
      </w:pPr>
      <w:bookmarkStart w:id="558" w:name="bookmark558"/>
      <w:r>
        <w:rPr>
          <w:color w:val="000000"/>
          <w:spacing w:val="0"/>
          <w:w w:val="100"/>
          <w:position w:val="0"/>
        </w:rPr>
        <w:t>二</w:t>
      </w:r>
      <w:bookmarkEnd w:id="558"/>
      <w:r>
        <w:rPr>
          <w:color w:val="000000"/>
          <w:spacing w:val="0"/>
          <w:w w:val="100"/>
          <w:position w:val="0"/>
        </w:rPr>
        <w:t>、公司监事会监事</w:t>
      </w:r>
    </w:p>
    <w:p>
      <w:pPr>
        <w:pStyle w:val="Style21"/>
        <w:keepNext w:val="0"/>
        <w:keepLines w:val="0"/>
        <w:widowControl w:val="0"/>
        <w:shd w:val="clear" w:color="auto" w:fill="auto"/>
        <w:tabs>
          <w:tab w:pos="286" w:val="left"/>
        </w:tabs>
        <w:bidi w:val="0"/>
        <w:spacing w:before="0" w:after="0" w:line="313" w:lineRule="exact"/>
        <w:ind w:left="0" w:right="0" w:firstLine="0"/>
        <w:jc w:val="both"/>
      </w:pPr>
      <w:bookmarkStart w:id="559" w:name="bookmark559"/>
      <w:r>
        <w:rPr>
          <w:rFonts w:ascii="Times New Roman" w:eastAsia="Times New Roman" w:hAnsi="Times New Roman" w:cs="Times New Roman"/>
          <w:color w:val="000000"/>
          <w:spacing w:val="0"/>
          <w:w w:val="100"/>
          <w:position w:val="0"/>
          <w:sz w:val="18"/>
          <w:szCs w:val="18"/>
        </w:rPr>
        <w:t>1</w:t>
      </w:r>
      <w:bookmarkEnd w:id="559"/>
      <w:r>
        <w:rPr>
          <w:color w:val="000000"/>
          <w:spacing w:val="0"/>
          <w:w w:val="100"/>
          <w:position w:val="0"/>
        </w:rPr>
        <w:t>、</w:t>
        <w:tab/>
        <w:t>肖显锋先生：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年生，中共党员，研究生学历，江西财经大学经济学学士，厦门大学法律硕士，中国国籍，无境外永 久居留权。</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年参加工作，历任中国建设银行股份有限公司三明分行梅列支行会计科科员、信贷科客户经理，美国强生（中 国）有限公司大客户营销经理，深圳市人民代表大会法制委员会副主任科员、主任科员，深圳市人民政府国有资产监督管理 委员会产权管理与法律事务处主任科员，深圳市资本运营集团有限公司风险控制部副部长、投资发展部副部长、投资发展部 资深经理（正部长级）、投资发展一部资深经理（正部长级）（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月期间挂任河源市国有资产经营有限公 司党委副书记、副董事长、副总经理）等职，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月起任深圳市建筑科学研究院股份有限公司党委委员、纪委书记。</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月起任深圳市建筑科学研究院股份有限公司党委委员、纪委书记、监事会主席。</w:t>
      </w:r>
    </w:p>
    <w:p>
      <w:pPr>
        <w:pStyle w:val="Style21"/>
        <w:keepNext w:val="0"/>
        <w:keepLines w:val="0"/>
        <w:widowControl w:val="0"/>
        <w:shd w:val="clear" w:color="auto" w:fill="auto"/>
        <w:tabs>
          <w:tab w:pos="294" w:val="left"/>
        </w:tabs>
        <w:bidi w:val="0"/>
        <w:spacing w:before="0" w:after="100" w:line="313" w:lineRule="exact"/>
        <w:ind w:left="0" w:right="0" w:firstLine="0"/>
        <w:jc w:val="both"/>
      </w:pPr>
      <w:bookmarkStart w:id="560" w:name="bookmark560"/>
      <w:r>
        <w:rPr>
          <w:rFonts w:ascii="Times New Roman" w:eastAsia="Times New Roman" w:hAnsi="Times New Roman" w:cs="Times New Roman"/>
          <w:color w:val="000000"/>
          <w:spacing w:val="0"/>
          <w:w w:val="100"/>
          <w:position w:val="0"/>
          <w:sz w:val="18"/>
          <w:szCs w:val="18"/>
        </w:rPr>
        <w:t>2</w:t>
      </w:r>
      <w:bookmarkEnd w:id="560"/>
      <w:r>
        <w:rPr>
          <w:color w:val="000000"/>
          <w:spacing w:val="0"/>
          <w:w w:val="100"/>
          <w:position w:val="0"/>
        </w:rPr>
        <w:t>、</w:t>
        <w:tab/>
        <w:t xml:space="preserve">李萱女士： </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年生，研究生学历，中国人民大学商学院会计专业管理学硕士，注册会计师，中国国籍，无境外永久居 留权。</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年参加工作，历任德勤华永会计师事务所（特殊普通合伙）高级审计员、北京凤新资产管理有限公司风控部副总 监等职。现任北京中关村资本基金管理有限公司资金财务部副总监，</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月起任深圳市建筑科学研究院股份有限公司监 事。</w:t>
      </w:r>
    </w:p>
    <w:p>
      <w:pPr>
        <w:pStyle w:val="Style21"/>
        <w:keepNext w:val="0"/>
        <w:keepLines w:val="0"/>
        <w:widowControl w:val="0"/>
        <w:shd w:val="clear" w:color="auto" w:fill="auto"/>
        <w:bidi w:val="0"/>
        <w:spacing w:before="0" w:after="0" w:line="240" w:lineRule="auto"/>
        <w:ind w:left="0" w:right="0" w:firstLine="0"/>
        <w:jc w:val="both"/>
        <w:rPr>
          <w:sz w:val="18"/>
          <w:szCs w:val="18"/>
        </w:rPr>
      </w:pPr>
      <w:bookmarkStart w:id="561" w:name="bookmark561"/>
      <w:r>
        <w:rPr>
          <w:rFonts w:ascii="Times New Roman" w:eastAsia="Times New Roman" w:hAnsi="Times New Roman" w:cs="Times New Roman"/>
          <w:color w:val="000000"/>
          <w:spacing w:val="0"/>
          <w:w w:val="100"/>
          <w:position w:val="0"/>
          <w:sz w:val="18"/>
          <w:szCs w:val="18"/>
        </w:rPr>
        <w:t>3</w:t>
      </w:r>
      <w:bookmarkEnd w:id="561"/>
      <w:r>
        <w:rPr>
          <w:color w:val="000000"/>
          <w:spacing w:val="0"/>
          <w:w w:val="100"/>
          <w:position w:val="0"/>
          <w:sz w:val="17"/>
          <w:szCs w:val="17"/>
        </w:rPr>
        <w:t>、廖俊凯先生：</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sz w:val="17"/>
          <w:szCs w:val="17"/>
        </w:rPr>
        <w:t>年生，中共党员，研究生学历，华南理工大学法律硕士（法学），中国国籍，无境外永久居留权。</w:t>
      </w:r>
      <w:r>
        <w:rPr>
          <w:rFonts w:ascii="Times New Roman" w:eastAsia="Times New Roman" w:hAnsi="Times New Roman" w:cs="Times New Roman"/>
          <w:color w:val="000000"/>
          <w:spacing w:val="0"/>
          <w:w w:val="100"/>
          <w:position w:val="0"/>
          <w:sz w:val="18"/>
          <w:szCs w:val="18"/>
        </w:rPr>
        <w:t>2014</w:t>
      </w:r>
      <w:r>
        <w:br w:type="page"/>
      </w:r>
    </w:p>
    <w:p>
      <w:pPr>
        <w:pStyle w:val="Style21"/>
        <w:keepNext w:val="0"/>
        <w:keepLines w:val="0"/>
        <w:widowControl w:val="0"/>
        <w:shd w:val="clear" w:color="auto" w:fill="auto"/>
        <w:bidi w:val="0"/>
        <w:spacing w:before="0" w:after="0" w:line="313" w:lineRule="exact"/>
        <w:ind w:left="0" w:right="0" w:firstLine="3620"/>
        <w:jc w:val="both"/>
      </w:pPr>
      <w:r>
        <w:drawing>
          <wp:anchor distT="0" distB="0" distL="114300" distR="114300" simplePos="0" relativeHeight="125829388" behindDoc="0" locked="0" layoutInCell="1" allowOverlap="1">
            <wp:simplePos x="0" y="0"/>
            <wp:positionH relativeFrom="page">
              <wp:posOffset>697230</wp:posOffset>
            </wp:positionH>
            <wp:positionV relativeFrom="margin">
              <wp:posOffset>-140335</wp:posOffset>
            </wp:positionV>
            <wp:extent cx="774065" cy="396240"/>
            <wp:wrapSquare wrapText="right"/>
            <wp:docPr id="319" name="Shape 319"/>
            <a:graphic xmlns:a="http://schemas.openxmlformats.org/drawingml/2006/main">
              <a:graphicData uri="http://schemas.openxmlformats.org/drawingml/2006/picture">
                <pic:pic xmlns:pic="http://schemas.openxmlformats.org/drawingml/2006/picture">
                  <pic:nvPicPr>
                    <pic:cNvPr id="320" name="Picture box 320"/>
                    <pic:cNvPicPr/>
                  </pic:nvPicPr>
                  <pic:blipFill>
                    <a:blip r:embed="rId123"/>
                    <a:stretch/>
                  </pic:blipFill>
                  <pic:spPr>
                    <a:xfrm>
                      <a:ext cx="774065" cy="396240"/>
                    </a:xfrm>
                    <a:prstGeom prst="rect"/>
                  </pic:spPr>
                </pic:pic>
              </a:graphicData>
            </a:graphic>
          </wp:anchor>
        </w:drawing>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年参加工作，历任深圳市资本运营集团有限公司风险控制部助理、主管、经理等职。现任深圳市资本运营集团有限公司风险 控制部高级经理，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月起任深圳市建筑科学研究院股份有限公司监事。</w:t>
      </w:r>
    </w:p>
    <w:p>
      <w:pPr>
        <w:pStyle w:val="Style21"/>
        <w:keepNext w:val="0"/>
        <w:keepLines w:val="0"/>
        <w:widowControl w:val="0"/>
        <w:shd w:val="clear" w:color="auto" w:fill="auto"/>
        <w:bidi w:val="0"/>
        <w:spacing w:before="0" w:after="0" w:line="313" w:lineRule="exact"/>
        <w:ind w:left="0" w:right="0" w:firstLine="0"/>
        <w:jc w:val="both"/>
      </w:pPr>
      <w:bookmarkStart w:id="562" w:name="bookmark562"/>
      <w:r>
        <w:rPr>
          <w:rFonts w:ascii="Times New Roman" w:eastAsia="Times New Roman" w:hAnsi="Times New Roman" w:cs="Times New Roman"/>
          <w:color w:val="000000"/>
          <w:spacing w:val="0"/>
          <w:w w:val="100"/>
          <w:position w:val="0"/>
          <w:sz w:val="18"/>
          <w:szCs w:val="18"/>
        </w:rPr>
        <w:t>4</w:t>
      </w:r>
      <w:bookmarkEnd w:id="562"/>
      <w:r>
        <w:rPr>
          <w:color w:val="000000"/>
          <w:spacing w:val="0"/>
          <w:w w:val="100"/>
          <w:position w:val="0"/>
        </w:rPr>
        <w:t xml:space="preserve">、 陈友莲女士： </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年生，中共党员，硕士研究生学历，湖南大学财政学专业经济学硕士，注册会计师，税务师，中国国 籍，无境外永久居留权。</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年参加工作，历任深圳市勘察测绘院有限公司财务部主任会计师兼下属深圳市深勘基础工程有 限公司财务总监、深圳市勘察测绘院有限公司财务部部长等职。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年至今历任深圳市建筑科学研究院股份有限公司财务部 主管会计、财务部助理经理、财务部副经理等职。现任深圳市建筑科学研究院股份有限公司职工代表监事、审计部经理（本 报告披露日同时担任纪检监察室及监事会办公室主任）。</w:t>
      </w:r>
    </w:p>
    <w:p>
      <w:pPr>
        <w:pStyle w:val="Style21"/>
        <w:keepNext w:val="0"/>
        <w:keepLines w:val="0"/>
        <w:widowControl w:val="0"/>
        <w:shd w:val="clear" w:color="auto" w:fill="auto"/>
        <w:tabs>
          <w:tab w:pos="298" w:val="left"/>
        </w:tabs>
        <w:bidi w:val="0"/>
        <w:spacing w:before="0" w:after="0" w:line="313" w:lineRule="exact"/>
        <w:ind w:left="0" w:right="0" w:firstLine="0"/>
        <w:jc w:val="both"/>
      </w:pPr>
      <w:bookmarkStart w:id="563" w:name="bookmark563"/>
      <w:r>
        <w:rPr>
          <w:rFonts w:ascii="Times New Roman" w:eastAsia="Times New Roman" w:hAnsi="Times New Roman" w:cs="Times New Roman"/>
          <w:color w:val="000000"/>
          <w:spacing w:val="0"/>
          <w:w w:val="100"/>
          <w:position w:val="0"/>
          <w:sz w:val="18"/>
          <w:szCs w:val="18"/>
        </w:rPr>
        <w:t>5</w:t>
      </w:r>
      <w:bookmarkEnd w:id="563"/>
      <w:r>
        <w:rPr>
          <w:color w:val="000000"/>
          <w:spacing w:val="0"/>
          <w:w w:val="100"/>
          <w:position w:val="0"/>
        </w:rPr>
        <w:t>、</w:t>
        <w:tab/>
        <w:t xml:space="preserve">兰岚女士： </w:t>
      </w:r>
      <w:r>
        <w:rPr>
          <w:rFonts w:ascii="Times New Roman" w:eastAsia="Times New Roman" w:hAnsi="Times New Roman" w:cs="Times New Roman"/>
          <w:color w:val="000000"/>
          <w:spacing w:val="0"/>
          <w:w w:val="100"/>
          <w:position w:val="0"/>
          <w:sz w:val="18"/>
          <w:szCs w:val="18"/>
        </w:rPr>
        <w:t>1986</w:t>
      </w:r>
      <w:r>
        <w:rPr>
          <w:color w:val="000000"/>
          <w:spacing w:val="0"/>
          <w:w w:val="100"/>
          <w:position w:val="0"/>
        </w:rPr>
        <w:t>年生，本科学历，三峡大学英语语言学及管理学双学士学位，中国国籍，无永久境外居留权。</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年参 加工作，曾任职于深圳市新海能投资有限公司综合管理办公室、中国电信股份有限公司湖北省公司财务共享中心。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年至 今历任深圳市建筑科学研究院股份有限公司董事会办公室行政专员、助理经理、行政管理部助理经理。现任深圳市建筑科学 研究院股份有限公司职工代表监事、行政管理部经理。</w:t>
      </w:r>
    </w:p>
    <w:p>
      <w:pPr>
        <w:pStyle w:val="Style21"/>
        <w:keepNext w:val="0"/>
        <w:keepLines w:val="0"/>
        <w:widowControl w:val="0"/>
        <w:shd w:val="clear" w:color="auto" w:fill="auto"/>
        <w:bidi w:val="0"/>
        <w:spacing w:before="0" w:after="0" w:line="313" w:lineRule="exact"/>
        <w:ind w:left="0" w:right="0" w:firstLine="0"/>
        <w:jc w:val="both"/>
      </w:pPr>
      <w:bookmarkStart w:id="564" w:name="bookmark564"/>
      <w:r>
        <w:rPr>
          <w:color w:val="000000"/>
          <w:spacing w:val="0"/>
          <w:w w:val="100"/>
          <w:position w:val="0"/>
        </w:rPr>
        <w:t>三</w:t>
      </w:r>
      <w:bookmarkEnd w:id="564"/>
      <w:r>
        <w:rPr>
          <w:color w:val="000000"/>
          <w:spacing w:val="0"/>
          <w:w w:val="100"/>
          <w:position w:val="0"/>
        </w:rPr>
        <w:t>、公司高级管理人员</w:t>
      </w:r>
    </w:p>
    <w:p>
      <w:pPr>
        <w:pStyle w:val="Style21"/>
        <w:keepNext w:val="0"/>
        <w:keepLines w:val="0"/>
        <w:widowControl w:val="0"/>
        <w:shd w:val="clear" w:color="auto" w:fill="auto"/>
        <w:tabs>
          <w:tab w:pos="294" w:val="left"/>
        </w:tabs>
        <w:bidi w:val="0"/>
        <w:spacing w:before="0" w:after="0" w:line="313" w:lineRule="exact"/>
        <w:ind w:left="0" w:right="0" w:firstLine="0"/>
        <w:jc w:val="both"/>
      </w:pPr>
      <w:bookmarkStart w:id="565" w:name="bookmark565"/>
      <w:r>
        <w:rPr>
          <w:rFonts w:ascii="Times New Roman" w:eastAsia="Times New Roman" w:hAnsi="Times New Roman" w:cs="Times New Roman"/>
          <w:color w:val="000000"/>
          <w:spacing w:val="0"/>
          <w:w w:val="100"/>
          <w:position w:val="0"/>
          <w:sz w:val="18"/>
          <w:szCs w:val="18"/>
        </w:rPr>
        <w:t>1</w:t>
      </w:r>
      <w:bookmarkEnd w:id="565"/>
      <w:r>
        <w:rPr>
          <w:color w:val="000000"/>
          <w:spacing w:val="0"/>
          <w:w w:val="100"/>
          <w:position w:val="0"/>
        </w:rPr>
        <w:t>、</w:t>
        <w:tab/>
        <w:t>毛洪伟先生：</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年生，中共党员，研究生学历，广州大学供热、供燃气、通风及空调工程专业工学硕士，高级工程师， 中国国籍，无境外永久居留权。</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年参加工作，</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年期间，任深圳市建筑科学研究院研发中心助理工程师、资 源中心咨询部负责人，</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年期间，历任深圳市建筑科学研究院有限公司质控中心负责人、董事会办公室主任、研 发中心总监，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年期间，历任公司价值中心总监、技术文化传播中心总监、质量管理中心总监、董事会秘书等职，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年期间，任公司党委委员、副总经理兼董事会秘书等职。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月起，任公司党委委员、总经理。</w:t>
      </w:r>
    </w:p>
    <w:p>
      <w:pPr>
        <w:pStyle w:val="Style21"/>
        <w:keepNext w:val="0"/>
        <w:keepLines w:val="0"/>
        <w:widowControl w:val="0"/>
        <w:shd w:val="clear" w:color="auto" w:fill="auto"/>
        <w:tabs>
          <w:tab w:pos="294" w:val="left"/>
        </w:tabs>
        <w:bidi w:val="0"/>
        <w:spacing w:before="0" w:after="0" w:line="313" w:lineRule="exact"/>
        <w:ind w:left="0" w:right="0" w:firstLine="0"/>
        <w:jc w:val="both"/>
      </w:pPr>
      <w:bookmarkStart w:id="566" w:name="bookmark566"/>
      <w:r>
        <w:rPr>
          <w:rFonts w:ascii="Times New Roman" w:eastAsia="Times New Roman" w:hAnsi="Times New Roman" w:cs="Times New Roman"/>
          <w:color w:val="000000"/>
          <w:spacing w:val="0"/>
          <w:w w:val="100"/>
          <w:position w:val="0"/>
          <w:sz w:val="18"/>
          <w:szCs w:val="18"/>
        </w:rPr>
        <w:t>2</w:t>
      </w:r>
      <w:bookmarkEnd w:id="566"/>
      <w:r>
        <w:rPr>
          <w:color w:val="000000"/>
          <w:spacing w:val="0"/>
          <w:w w:val="100"/>
          <w:position w:val="0"/>
        </w:rPr>
        <w:t>、</w:t>
        <w:tab/>
        <w:t xml:space="preserve">姚培女士： </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年生，中共党员，研究生学历，北京建筑工程学院项目管理工程专业工学硕士，中国国籍，无境外永久 居留权。</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年参加工作，曾任职于中外建设信息有限责任公司、建设部科技司中荷西部小城镇环境基础设施经济适用技术 及示范项目管理办公室等。</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年期间，历任深圳市建筑科学研究院有限公司北京分公司总经理、成都分公司负责 人、北京艾科城工程技术有限公司总经理、技术文化传播中心总监、华北区营销总监，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年起历任公司洛深事业部总经理、 董事会办公室主任、技术文化传播中心总监、综合管理办公室主任、雄安事业部总经理等职。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年至今任公司副总经理、 雄安事业部总经理。</w:t>
      </w:r>
    </w:p>
    <w:p>
      <w:pPr>
        <w:pStyle w:val="Style21"/>
        <w:keepNext w:val="0"/>
        <w:keepLines w:val="0"/>
        <w:widowControl w:val="0"/>
        <w:shd w:val="clear" w:color="auto" w:fill="auto"/>
        <w:tabs>
          <w:tab w:pos="298" w:val="left"/>
        </w:tabs>
        <w:bidi w:val="0"/>
        <w:spacing w:before="0" w:after="160" w:line="313" w:lineRule="exact"/>
        <w:ind w:left="0" w:right="0" w:firstLine="0"/>
        <w:jc w:val="both"/>
      </w:pPr>
      <w:bookmarkStart w:id="567" w:name="bookmark567"/>
      <w:r>
        <w:rPr>
          <w:rFonts w:ascii="Times New Roman" w:eastAsia="Times New Roman" w:hAnsi="Times New Roman" w:cs="Times New Roman"/>
          <w:color w:val="000000"/>
          <w:spacing w:val="0"/>
          <w:w w:val="100"/>
          <w:position w:val="0"/>
          <w:sz w:val="18"/>
          <w:szCs w:val="18"/>
        </w:rPr>
        <w:t>3</w:t>
      </w:r>
      <w:bookmarkEnd w:id="567"/>
      <w:r>
        <w:rPr>
          <w:color w:val="000000"/>
          <w:spacing w:val="0"/>
          <w:w w:val="100"/>
          <w:position w:val="0"/>
        </w:rPr>
        <w:t>、</w:t>
        <w:tab/>
        <w:t>丘国雄先生：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年生，中共党员，本科学历，浙江大学工业与民用建筑专业工学学士，高级工程师，中国国籍，无境 外永久居留权。</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年参加工作，曾任职于广东省惠阳建筑设计院。</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年期间，先后任职于深圳市建筑科学研究 院设计所、运营中心、营销中心，</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年期间，历任深圳市建筑科学研究院有限公司营销中心商务部副经理、经理、 营销中心副总监、总监、价值中心总监、绿色建筑设计与咨询中心总监等职；</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年期间，任公司纪委委员，并历 任公司绿色建筑设计与咨询中心总监、广莞惠及龙岗事业部总经理、建设管理事业部筹建负责人、建设管理事业部总经理等 职。</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月起任公司纪委委员、副总经理、建设管理事业部总经理。</w:t>
      </w:r>
    </w:p>
    <w:p>
      <w:pPr>
        <w:pStyle w:val="Style21"/>
        <w:keepNext w:val="0"/>
        <w:keepLines w:val="0"/>
        <w:widowControl w:val="0"/>
        <w:shd w:val="clear" w:color="auto" w:fill="auto"/>
        <w:bidi w:val="0"/>
        <w:spacing w:before="0" w:after="160" w:line="240" w:lineRule="auto"/>
        <w:ind w:left="0" w:right="0" w:firstLine="0"/>
        <w:jc w:val="both"/>
      </w:pPr>
      <w:r>
        <w:rPr>
          <w:color w:val="000000"/>
          <w:spacing w:val="0"/>
          <w:w w:val="100"/>
          <w:position w:val="0"/>
        </w:rPr>
        <w:t>在股东单位任职情况</w:t>
      </w:r>
    </w:p>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826"/>
        <w:gridCol w:w="3571"/>
        <w:gridCol w:w="2242"/>
        <w:gridCol w:w="994"/>
        <w:gridCol w:w="850"/>
        <w:gridCol w:w="1104"/>
      </w:tblGrid>
      <w:tr>
        <w:trPr>
          <w:trHeight w:val="10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 是否领取报 酬津贴</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资产管理部部长（本报告披 露日任风险控制部部长）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北京中关村资本基金管理有限公司（股东单 位中关村发展集团有限公司的控股子公司）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资金财务部副总监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廖俊凯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风险控制部高级经理</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336" w:right="22" w:bottom="1345" w:left="1088" w:header="908" w:footer="3" w:gutter="0"/>
          <w:cols w:space="720"/>
          <w:noEndnote/>
          <w:rtlGutter w:val="0"/>
          <w:docGrid w:linePitch="360"/>
        </w:sectPr>
      </w:pPr>
    </w:p>
    <w:tbl>
      <w:tblPr>
        <w:tblOverlap w:val="never"/>
        <w:jc w:val="left"/>
        <w:tblLayout w:type="fixed"/>
      </w:tblPr>
      <w:tblGrid>
        <w:gridCol w:w="826"/>
        <w:gridCol w:w="3571"/>
        <w:gridCol w:w="2242"/>
        <w:gridCol w:w="994"/>
        <w:gridCol w:w="850"/>
        <w:gridCol w:w="1104"/>
      </w:tblGrid>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深圳市建科投资股份有限公司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深圳市建科投资股份有限公司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11</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1"/>
        <w:keepNext w:val="0"/>
        <w:keepLines w:val="0"/>
        <w:widowControl w:val="0"/>
        <w:shd w:val="clear" w:color="auto" w:fill="auto"/>
        <w:bidi w:val="0"/>
        <w:spacing w:before="0" w:after="100" w:line="350"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210"/>
        <w:gridCol w:w="3187"/>
        <w:gridCol w:w="1248"/>
        <w:gridCol w:w="1843"/>
        <w:gridCol w:w="994"/>
        <w:gridCol w:w="1104"/>
      </w:tblGrid>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 是否领取报 酬津贴</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前海科创投控股有限公司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深圳市建设工程标准学会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湾区（深圳）城市规划设计有限公司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湾区（深圳）绿色技术有限公司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深圳市亿鑫投资有限公司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深业投资发展有限公司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深圳市高新投集团有限公司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广州纳斯威尔信息技术有限公司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深圳市能源集团有限公司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深圳南山热电股份有限公司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华润深国投投资有限公司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深圳润信股权投资基金管理有限公司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深圳市环水投资（集团）有限公司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乾能投资管理有限公司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深圳市亿鑫投资有限公司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前海再保险股份有限公司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深圳市柳鑫实业股份有限公司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湾区（深圳）城市规划设计有限公司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湾区（深圳）绿色技术有限公司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北京市中银（深圳）律师事务所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深圳市机场（集团）有限公司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外部董事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华润深国投信托有限公司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绿色动力环保集团股份有限公司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left"/>
        <w:tblLayout w:type="fixed"/>
      </w:tblPr>
      <w:tblGrid>
        <w:gridCol w:w="1210"/>
        <w:gridCol w:w="3187"/>
        <w:gridCol w:w="1248"/>
        <w:gridCol w:w="1843"/>
        <w:gridCol w:w="994"/>
        <w:gridCol w:w="1104"/>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深圳劲嘉集团股份有限公司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深圳瑞华泰薄膜科技股份有限公司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高级合伙人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辽宁振兴银行股份有限公司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深圳市方直科技股份有限公司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希努尔男装股份有限公司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崇达技术股份有限公司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肖显锋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湾区（深圳）城市规划设计有限公司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肖显锋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湾区（深圳）绿色技术有限公司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廖俊凯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深圳南山热电股份有限公司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湖北建胜工程技术咨询有限公司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10" w:lineRule="exact"/>
              <w:ind w:left="0" w:right="0" w:firstLine="0"/>
              <w:jc w:val="left"/>
              <w:rPr>
                <w:sz w:val="11"/>
                <w:szCs w:val="11"/>
              </w:rPr>
            </w:pPr>
            <w:r>
              <w:rPr>
                <w:color w:val="000000"/>
                <w:spacing w:val="0"/>
                <w:w w:val="100"/>
                <w:position w:val="0"/>
                <w:sz w:val="11"/>
                <w:szCs w:val="11"/>
                <w:u w:val="single"/>
              </w:rPr>
              <w:t>、/.</w:t>
            </w:r>
            <w:r>
              <w:rPr>
                <w:color w:val="000000"/>
                <w:spacing w:val="0"/>
                <w:w w:val="100"/>
                <w:position w:val="0"/>
                <w:sz w:val="11"/>
                <w:szCs w:val="11"/>
              </w:rPr>
              <w:t xml:space="preserve"> </w:t>
            </w:r>
            <w:r>
              <w:rPr>
                <w:rFonts w:ascii="Times New Roman" w:eastAsia="Times New Roman" w:hAnsi="Times New Roman" w:cs="Times New Roman"/>
                <w:color w:val="000000"/>
                <w:spacing w:val="0"/>
                <w:w w:val="100"/>
                <w:position w:val="0"/>
                <w:sz w:val="13"/>
                <w:szCs w:val="13"/>
              </w:rPr>
              <w:t xml:space="preserve">LJ-I </w:t>
            </w:r>
            <w:r>
              <w:rPr>
                <w:color w:val="000000"/>
                <w:spacing w:val="0"/>
                <w:w w:val="100"/>
                <w:position w:val="0"/>
                <w:sz w:val="11"/>
                <w:szCs w:val="11"/>
              </w:rPr>
              <w:t>二风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上海市爱轲城生态科技有限公司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10" w:lineRule="exact"/>
              <w:ind w:left="0" w:right="0" w:firstLine="0"/>
              <w:jc w:val="left"/>
              <w:rPr>
                <w:sz w:val="11"/>
                <w:szCs w:val="11"/>
              </w:rPr>
            </w:pPr>
            <w:r>
              <w:rPr>
                <w:color w:val="000000"/>
                <w:spacing w:val="0"/>
                <w:w w:val="100"/>
                <w:position w:val="0"/>
                <w:sz w:val="11"/>
                <w:szCs w:val="11"/>
                <w:u w:val="single"/>
              </w:rPr>
              <w:t>、/.</w:t>
            </w:r>
            <w:r>
              <w:rPr>
                <w:color w:val="000000"/>
                <w:spacing w:val="0"/>
                <w:w w:val="100"/>
                <w:position w:val="0"/>
                <w:sz w:val="11"/>
                <w:szCs w:val="11"/>
              </w:rPr>
              <w:t xml:space="preserve"> </w:t>
            </w:r>
            <w:r>
              <w:rPr>
                <w:rFonts w:ascii="Times New Roman" w:eastAsia="Times New Roman" w:hAnsi="Times New Roman" w:cs="Times New Roman"/>
                <w:color w:val="000000"/>
                <w:spacing w:val="0"/>
                <w:w w:val="100"/>
                <w:position w:val="0"/>
                <w:sz w:val="13"/>
                <w:szCs w:val="13"/>
              </w:rPr>
              <w:t xml:space="preserve">LJ-I </w:t>
            </w:r>
            <w:r>
              <w:rPr>
                <w:color w:val="000000"/>
                <w:spacing w:val="0"/>
                <w:w w:val="100"/>
                <w:position w:val="0"/>
                <w:sz w:val="11"/>
                <w:szCs w:val="11"/>
              </w:rPr>
              <w:t>二风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深圳玖伊绿色运营管理有限公司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10" w:lineRule="exact"/>
              <w:ind w:left="0" w:right="0" w:firstLine="0"/>
              <w:jc w:val="left"/>
              <w:rPr>
                <w:sz w:val="11"/>
                <w:szCs w:val="11"/>
              </w:rPr>
            </w:pPr>
            <w:r>
              <w:rPr>
                <w:color w:val="000000"/>
                <w:spacing w:val="0"/>
                <w:w w:val="100"/>
                <w:position w:val="0"/>
                <w:sz w:val="11"/>
                <w:szCs w:val="11"/>
                <w:u w:val="single"/>
              </w:rPr>
              <w:t>、/.</w:t>
            </w:r>
            <w:r>
              <w:rPr>
                <w:color w:val="000000"/>
                <w:spacing w:val="0"/>
                <w:w w:val="100"/>
                <w:position w:val="0"/>
                <w:sz w:val="11"/>
                <w:szCs w:val="11"/>
              </w:rPr>
              <w:t xml:space="preserve"> </w:t>
            </w:r>
            <w:r>
              <w:rPr>
                <w:rFonts w:ascii="Times New Roman" w:eastAsia="Times New Roman" w:hAnsi="Times New Roman" w:cs="Times New Roman"/>
                <w:color w:val="000000"/>
                <w:spacing w:val="0"/>
                <w:w w:val="100"/>
                <w:position w:val="0"/>
                <w:sz w:val="13"/>
                <w:szCs w:val="13"/>
              </w:rPr>
              <w:t xml:space="preserve">LJ-I </w:t>
            </w:r>
            <w:r>
              <w:rPr>
                <w:color w:val="000000"/>
                <w:spacing w:val="0"/>
                <w:w w:val="100"/>
                <w:position w:val="0"/>
                <w:sz w:val="11"/>
                <w:szCs w:val="11"/>
              </w:rPr>
              <w:t>二风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河北雄安玖壹生态科技有限公司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10" w:lineRule="exact"/>
              <w:ind w:left="0" w:right="0" w:firstLine="0"/>
              <w:jc w:val="left"/>
              <w:rPr>
                <w:sz w:val="11"/>
                <w:szCs w:val="11"/>
              </w:rPr>
            </w:pPr>
            <w:r>
              <w:rPr>
                <w:color w:val="000000"/>
                <w:spacing w:val="0"/>
                <w:w w:val="100"/>
                <w:position w:val="0"/>
                <w:sz w:val="11"/>
                <w:szCs w:val="11"/>
                <w:u w:val="single"/>
              </w:rPr>
              <w:t>、/.</w:t>
            </w:r>
            <w:r>
              <w:rPr>
                <w:color w:val="000000"/>
                <w:spacing w:val="0"/>
                <w:w w:val="100"/>
                <w:position w:val="0"/>
                <w:sz w:val="11"/>
                <w:szCs w:val="11"/>
              </w:rPr>
              <w:t xml:space="preserve"> </w:t>
            </w:r>
            <w:r>
              <w:rPr>
                <w:rFonts w:ascii="Times New Roman" w:eastAsia="Times New Roman" w:hAnsi="Times New Roman" w:cs="Times New Roman"/>
                <w:color w:val="000000"/>
                <w:spacing w:val="0"/>
                <w:w w:val="100"/>
                <w:position w:val="0"/>
                <w:sz w:val="13"/>
                <w:szCs w:val="13"/>
              </w:rPr>
              <w:t xml:space="preserve">LJ-I </w:t>
            </w:r>
            <w:r>
              <w:rPr>
                <w:color w:val="000000"/>
                <w:spacing w:val="0"/>
                <w:w w:val="100"/>
                <w:position w:val="0"/>
                <w:sz w:val="11"/>
                <w:szCs w:val="11"/>
              </w:rPr>
              <w:t>二风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荆门玖伊园科技有限公司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深圳艾科筑业工程技术有限公司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董事长兼总经 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湖北建胜工程技术咨询有限公司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深圳市建研检测有限公司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六邻科技（北京）有限公司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河北雄安玖壹生态科技有限公司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深圳艾科城工程技术有限公司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2" w:lineRule="exact"/>
              <w:ind w:left="0" w:right="0" w:firstLine="0"/>
              <w:jc w:val="both"/>
            </w:pPr>
            <w:r>
              <w:rPr>
                <w:color w:val="000000"/>
                <w:spacing w:val="0"/>
                <w:w w:val="100"/>
                <w:position w:val="0"/>
              </w:rPr>
              <w:t>执行董事兼总 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深圳玖伊绿色运营管理有限公司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雄安绿研检验认证有限公司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荆门玖伊园科技有限公司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湖北建胜工程技术咨询有限公司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568" w:name="bookmark568"/>
      <w:bookmarkStart w:id="569" w:name="bookmark569"/>
      <w:bookmarkStart w:id="570" w:name="bookmark570"/>
      <w:bookmarkStart w:id="571" w:name="bookmark571"/>
      <w:r>
        <w:rPr>
          <w:color w:val="000000"/>
          <w:spacing w:val="0"/>
          <w:w w:val="100"/>
          <w:position w:val="0"/>
        </w:rPr>
        <w:t>四</w:t>
      </w:r>
      <w:bookmarkEnd w:id="570"/>
      <w:r>
        <w:rPr>
          <w:color w:val="000000"/>
          <w:spacing w:val="0"/>
          <w:w w:val="100"/>
          <w:position w:val="0"/>
        </w:rPr>
        <w:t>、董事、监事、高级管理人员报酬情况</w:t>
      </w:r>
      <w:bookmarkEnd w:id="568"/>
      <w:bookmarkEnd w:id="569"/>
      <w:bookmarkEnd w:id="571"/>
    </w:p>
    <w:p>
      <w:pPr>
        <w:pStyle w:val="Style21"/>
        <w:keepNext w:val="0"/>
        <w:keepLines w:val="0"/>
        <w:widowControl w:val="0"/>
        <w:shd w:val="clear" w:color="auto" w:fill="auto"/>
        <w:bidi w:val="0"/>
        <w:spacing w:before="0" w:after="240" w:line="240" w:lineRule="auto"/>
        <w:ind w:left="0" w:right="0" w:firstLine="0"/>
        <w:jc w:val="both"/>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336" w:right="22" w:bottom="1345" w:left="1088" w:header="0" w:footer="3" w:gutter="0"/>
          <w:cols w:space="720"/>
          <w:noEndnote/>
          <w:rtlGutter w:val="0"/>
          <w:docGrid w:linePitch="360"/>
        </w:sectPr>
      </w:pPr>
      <w:r>
        <w:rPr>
          <w:color w:val="000000"/>
          <w:spacing w:val="0"/>
          <w:w w:val="100"/>
          <w:position w:val="0"/>
        </w:rPr>
        <w:t>董事、监事、高级管理人员报酬的决策程序、确定依据、实际支付情况</w:t>
      </w:r>
    </w:p>
    <w:p>
      <w:pPr>
        <w:pStyle w:val="Style21"/>
        <w:keepNext w:val="0"/>
        <w:keepLines w:val="0"/>
        <w:widowControl w:val="0"/>
        <w:shd w:val="clear" w:color="auto" w:fill="auto"/>
        <w:bidi w:val="0"/>
        <w:spacing w:before="0" w:after="0" w:line="312" w:lineRule="exact"/>
        <w:ind w:left="0" w:right="0" w:firstLine="3620"/>
        <w:jc w:val="left"/>
      </w:pPr>
      <w:r>
        <w:drawing>
          <wp:anchor distT="0" distB="0" distL="114300" distR="114300" simplePos="0" relativeHeight="125829389" behindDoc="0" locked="0" layoutInCell="1" allowOverlap="1">
            <wp:simplePos x="0" y="0"/>
            <wp:positionH relativeFrom="page">
              <wp:posOffset>697230</wp:posOffset>
            </wp:positionH>
            <wp:positionV relativeFrom="margin">
              <wp:posOffset>-140335</wp:posOffset>
            </wp:positionV>
            <wp:extent cx="774065" cy="396240"/>
            <wp:wrapSquare wrapText="right"/>
            <wp:docPr id="341" name="Shape 341"/>
            <a:graphic xmlns:a="http://schemas.openxmlformats.org/drawingml/2006/main">
              <a:graphicData uri="http://schemas.openxmlformats.org/drawingml/2006/picture">
                <pic:pic xmlns:pic="http://schemas.openxmlformats.org/drawingml/2006/picture">
                  <pic:nvPicPr>
                    <pic:cNvPr id="342" name="Picture box 342"/>
                    <pic:cNvPicPr/>
                  </pic:nvPicPr>
                  <pic:blipFill>
                    <a:blip r:embed="rId133"/>
                    <a:stretch/>
                  </pic:blipFill>
                  <pic:spPr>
                    <a:xfrm>
                      <a:ext cx="774065" cy="396240"/>
                    </a:xfrm>
                    <a:prstGeom prst="rect"/>
                  </pic:spPr>
                </pic:pic>
              </a:graphicData>
            </a:graphic>
          </wp:anchor>
        </w:drawing>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在公司履职的董事、监事和高级管理人员根据《深圳市建筑科学研究院股份有限公司董事、监事和高级管理人员薪酬考核 管理办法》计薪：</w:t>
      </w:r>
    </w:p>
    <w:p>
      <w:pPr>
        <w:pStyle w:val="Style21"/>
        <w:keepNext w:val="0"/>
        <w:keepLines w:val="0"/>
        <w:widowControl w:val="0"/>
        <w:shd w:val="clear" w:color="auto" w:fill="auto"/>
        <w:tabs>
          <w:tab w:pos="307" w:val="left"/>
        </w:tabs>
        <w:bidi w:val="0"/>
        <w:spacing w:before="0" w:after="0" w:line="312" w:lineRule="exact"/>
        <w:ind w:left="0" w:right="0" w:firstLine="0"/>
        <w:jc w:val="left"/>
      </w:pPr>
      <w:bookmarkStart w:id="572" w:name="bookmark572"/>
      <w:r>
        <w:rPr>
          <w:rFonts w:ascii="Times New Roman" w:eastAsia="Times New Roman" w:hAnsi="Times New Roman" w:cs="Times New Roman"/>
          <w:color w:val="000000"/>
          <w:spacing w:val="0"/>
          <w:w w:val="100"/>
          <w:position w:val="0"/>
          <w:sz w:val="18"/>
          <w:szCs w:val="18"/>
        </w:rPr>
        <w:t>1</w:t>
      </w:r>
      <w:bookmarkEnd w:id="572"/>
      <w:r>
        <w:rPr>
          <w:color w:val="000000"/>
          <w:spacing w:val="0"/>
          <w:w w:val="100"/>
          <w:position w:val="0"/>
        </w:rPr>
        <w:t>、</w:t>
        <w:tab/>
        <w:t>公司独立董事的薪酬按照公司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年第二次临时股东大会审议通过的《关于审议独立董事津贴标准的议案》核定发放， 独立董事同时可能从其担任董事或高级管理人员的企业或机构（公司关联方）中获取报酬。</w:t>
      </w:r>
    </w:p>
    <w:p>
      <w:pPr>
        <w:pStyle w:val="Style21"/>
        <w:keepNext w:val="0"/>
        <w:keepLines w:val="0"/>
        <w:widowControl w:val="0"/>
        <w:shd w:val="clear" w:color="auto" w:fill="auto"/>
        <w:tabs>
          <w:tab w:pos="316" w:val="left"/>
        </w:tabs>
        <w:bidi w:val="0"/>
        <w:spacing w:before="0" w:after="0" w:line="312" w:lineRule="exact"/>
        <w:ind w:left="0" w:right="0" w:firstLine="0"/>
        <w:jc w:val="left"/>
      </w:pPr>
      <w:bookmarkStart w:id="573" w:name="bookmark573"/>
      <w:r>
        <w:rPr>
          <w:rFonts w:ascii="Times New Roman" w:eastAsia="Times New Roman" w:hAnsi="Times New Roman" w:cs="Times New Roman"/>
          <w:color w:val="000000"/>
          <w:spacing w:val="0"/>
          <w:w w:val="100"/>
          <w:position w:val="0"/>
          <w:sz w:val="18"/>
          <w:szCs w:val="18"/>
        </w:rPr>
        <w:t>2</w:t>
      </w:r>
      <w:bookmarkEnd w:id="573"/>
      <w:r>
        <w:rPr>
          <w:color w:val="000000"/>
          <w:spacing w:val="0"/>
          <w:w w:val="100"/>
          <w:position w:val="0"/>
        </w:rPr>
        <w:t>、</w:t>
        <w:tab/>
        <w:t>其他董事的董事岗位不从公司领取薪酬和津贴，有董事身份并与公司有劳动关系（内部董事）、且实际上承担了公司经 营管理责任和工作的，参照高级管理人员薪酬考核方式执行；职工代表监事按其在公司其他岗位进行薪酬考核管理，不额 外从公司领取薪酬和津贴。</w:t>
      </w:r>
    </w:p>
    <w:p>
      <w:pPr>
        <w:pStyle w:val="Style21"/>
        <w:keepNext w:val="0"/>
        <w:keepLines w:val="0"/>
        <w:widowControl w:val="0"/>
        <w:shd w:val="clear" w:color="auto" w:fill="auto"/>
        <w:tabs>
          <w:tab w:pos="316" w:val="left"/>
        </w:tabs>
        <w:bidi w:val="0"/>
        <w:spacing w:before="0" w:after="0" w:line="312" w:lineRule="exact"/>
        <w:ind w:left="0" w:right="0" w:firstLine="0"/>
        <w:jc w:val="left"/>
      </w:pPr>
      <w:bookmarkStart w:id="574" w:name="bookmark574"/>
      <w:r>
        <w:rPr>
          <w:rFonts w:ascii="Times New Roman" w:eastAsia="Times New Roman" w:hAnsi="Times New Roman" w:cs="Times New Roman"/>
          <w:color w:val="000000"/>
          <w:spacing w:val="0"/>
          <w:w w:val="100"/>
          <w:position w:val="0"/>
          <w:sz w:val="18"/>
          <w:szCs w:val="18"/>
        </w:rPr>
        <w:t>3</w:t>
      </w:r>
      <w:bookmarkEnd w:id="574"/>
      <w:r>
        <w:rPr>
          <w:color w:val="000000"/>
          <w:spacing w:val="0"/>
          <w:w w:val="100"/>
          <w:position w:val="0"/>
        </w:rPr>
        <w:t>、</w:t>
        <w:tab/>
        <w:t>所有监事岗位不从公司领取薪酬和津贴。</w:t>
      </w:r>
    </w:p>
    <w:p>
      <w:pPr>
        <w:pStyle w:val="Style21"/>
        <w:keepNext w:val="0"/>
        <w:keepLines w:val="0"/>
        <w:widowControl w:val="0"/>
        <w:shd w:val="clear" w:color="auto" w:fill="auto"/>
        <w:tabs>
          <w:tab w:pos="316" w:val="left"/>
        </w:tabs>
        <w:bidi w:val="0"/>
        <w:spacing w:before="0" w:after="0" w:line="312" w:lineRule="exact"/>
        <w:ind w:left="0" w:right="0" w:firstLine="0"/>
        <w:jc w:val="left"/>
      </w:pPr>
      <w:bookmarkStart w:id="575" w:name="bookmark575"/>
      <w:r>
        <w:rPr>
          <w:rFonts w:ascii="Times New Roman" w:eastAsia="Times New Roman" w:hAnsi="Times New Roman" w:cs="Times New Roman"/>
          <w:color w:val="000000"/>
          <w:spacing w:val="0"/>
          <w:w w:val="100"/>
          <w:position w:val="0"/>
          <w:sz w:val="18"/>
          <w:szCs w:val="18"/>
        </w:rPr>
        <w:t>4</w:t>
      </w:r>
      <w:bookmarkEnd w:id="575"/>
      <w:r>
        <w:rPr>
          <w:color w:val="000000"/>
          <w:spacing w:val="0"/>
          <w:w w:val="100"/>
          <w:position w:val="0"/>
        </w:rPr>
        <w:t>、</w:t>
        <w:tab/>
        <w:t>高级管理人员（包括总经理、副总经理、财务负责人、董事会秘书等）实行年薪制，年薪水平与其承担的责任、风险和 公司经营业绩挂钩。</w:t>
      </w:r>
    </w:p>
    <w:p>
      <w:pPr>
        <w:pStyle w:val="Style21"/>
        <w:keepNext w:val="0"/>
        <w:keepLines w:val="0"/>
        <w:widowControl w:val="0"/>
        <w:shd w:val="clear" w:color="auto" w:fill="auto"/>
        <w:tabs>
          <w:tab w:pos="326" w:val="left"/>
        </w:tabs>
        <w:bidi w:val="0"/>
        <w:spacing w:before="0" w:after="80" w:line="312" w:lineRule="exact"/>
        <w:ind w:left="0" w:right="0" w:firstLine="0"/>
        <w:jc w:val="left"/>
      </w:pPr>
      <w:bookmarkStart w:id="576" w:name="bookmark576"/>
      <w:r>
        <w:rPr>
          <w:rFonts w:ascii="Times New Roman" w:eastAsia="Times New Roman" w:hAnsi="Times New Roman" w:cs="Times New Roman"/>
          <w:color w:val="000000"/>
          <w:spacing w:val="0"/>
          <w:w w:val="100"/>
          <w:position w:val="0"/>
          <w:sz w:val="18"/>
          <w:szCs w:val="18"/>
        </w:rPr>
        <w:t>5</w:t>
      </w:r>
      <w:bookmarkEnd w:id="576"/>
      <w:r>
        <w:rPr>
          <w:color w:val="000000"/>
          <w:spacing w:val="0"/>
          <w:w w:val="100"/>
          <w:position w:val="0"/>
        </w:rPr>
        <w:t>、</w:t>
        <w:tab/>
        <w:t>由于公司全员年终结算晚于年度报告披露日，公司计提报告期内内部董事及高级管理人员在报告期内季度在岗绩效和年 度绩效奖金。在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年，公司计提上述绩效奖金</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万元，实际结算</w:t>
      </w:r>
      <w:r>
        <w:rPr>
          <w:rFonts w:ascii="Times New Roman" w:eastAsia="Times New Roman" w:hAnsi="Times New Roman" w:cs="Times New Roman"/>
          <w:color w:val="000000"/>
          <w:spacing w:val="0"/>
          <w:w w:val="100"/>
          <w:position w:val="0"/>
          <w:sz w:val="18"/>
          <w:szCs w:val="18"/>
        </w:rPr>
        <w:t>166.01</w:t>
      </w:r>
      <w:r>
        <w:rPr>
          <w:color w:val="000000"/>
          <w:spacing w:val="0"/>
          <w:w w:val="100"/>
          <w:position w:val="0"/>
        </w:rPr>
        <w:t xml:space="preserve">万元，造成差异的原因主要为：上述人员季度在 岗绩效工资季度在岗绩效工资结算计提按照全年在岗计提，实际结算根据实际任职在岗时间结算，导致实际发放较计提少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万元；同时，董事长、总经理实际结算的年终绩效奖金中的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部分须延期至次年及连任或离任后发放。</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下表为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年从公司获得的税前报酬总额明细（含实际结算季度在岗绩效和年度绩效奖金）：</w:t>
      </w:r>
    </w:p>
    <w:tbl>
      <w:tblPr>
        <w:tblOverlap w:val="never"/>
        <w:jc w:val="left"/>
        <w:tblLayout w:type="fixed"/>
      </w:tblPr>
      <w:tblGrid>
        <w:gridCol w:w="1411"/>
        <w:gridCol w:w="2266"/>
        <w:gridCol w:w="1843"/>
        <w:gridCol w:w="3979"/>
      </w:tblGrid>
      <w:tr>
        <w:trPr>
          <w:trHeight w:val="667" w:hRule="exact"/>
        </w:trPr>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任职状态</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年从公司获得的税前报酬总额（含季度在岗 绩效和年度绩效奖金，万元）</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82.55</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陈泽广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84.32</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叶小平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57.88</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毛洪伟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77.80</w:t>
            </w:r>
          </w:p>
        </w:tc>
      </w:tr>
      <w:tr>
        <w:trPr>
          <w:trHeight w:val="35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82.07</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莫福光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刘丽</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董事兼财务负责人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刘俊跃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21.68</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下表所披露的公司报告期内董事、监事和高级管理人员的报酬已根据其的岗位任职时长调整。因截至本报告披露日，公司</w:t>
      </w:r>
    </w:p>
    <w:p>
      <w:pPr>
        <w:widowControl w:val="0"/>
        <w:spacing w:after="79" w:line="1" w:lineRule="exact"/>
      </w:pP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年度全员年终结算尚未完毕，下表中的内部董事及高级管理人员薪酬未包含季度在岗绩效和年度绩效奖金，但公司已</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计提该项费用共</w:t>
      </w:r>
      <w:r>
        <w:rPr>
          <w:rFonts w:ascii="Times New Roman" w:eastAsia="Times New Roman" w:hAnsi="Times New Roman" w:cs="Times New Roman"/>
          <w:color w:val="000000"/>
          <w:spacing w:val="0"/>
          <w:w w:val="100"/>
          <w:position w:val="0"/>
          <w:sz w:val="18"/>
          <w:szCs w:val="18"/>
        </w:rPr>
        <w:t>180.32</w:t>
      </w:r>
      <w:r>
        <w:rPr>
          <w:color w:val="000000"/>
          <w:spacing w:val="0"/>
          <w:w w:val="100"/>
          <w:position w:val="0"/>
        </w:rPr>
        <w:t>万元，最终以实际结算为准。</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left"/>
        <w:tblLayout w:type="fixed"/>
      </w:tblPr>
      <w:tblGrid>
        <w:gridCol w:w="1378"/>
        <w:gridCol w:w="2424"/>
        <w:gridCol w:w="850"/>
        <w:gridCol w:w="826"/>
        <w:gridCol w:w="1368"/>
        <w:gridCol w:w="1368"/>
        <w:gridCol w:w="137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陈泽广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陈晔东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叶小平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董事兼财务负责人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left"/>
        <w:tblLayout w:type="fixed"/>
      </w:tblPr>
      <w:tblGrid>
        <w:gridCol w:w="1378"/>
        <w:gridCol w:w="2424"/>
        <w:gridCol w:w="850"/>
        <w:gridCol w:w="826"/>
        <w:gridCol w:w="1368"/>
        <w:gridCol w:w="1368"/>
        <w:gridCol w:w="1378"/>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谢兰军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周俊祥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肖显锋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廖俊凯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陈友莲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110" w:lineRule="exact"/>
              <w:ind w:left="0" w:right="0" w:firstLine="0"/>
              <w:jc w:val="center"/>
              <w:rPr>
                <w:sz w:val="11"/>
                <w:szCs w:val="11"/>
              </w:rPr>
            </w:pPr>
            <w:r>
              <w:rPr>
                <w:color w:val="000000"/>
                <w:spacing w:val="0"/>
                <w:w w:val="100"/>
                <w:position w:val="0"/>
                <w:sz w:val="11"/>
                <w:szCs w:val="11"/>
                <w:u w:val="single"/>
              </w:rPr>
              <w:t>、/.</w:t>
            </w:r>
            <w:r>
              <w:rPr>
                <w:color w:val="000000"/>
                <w:spacing w:val="0"/>
                <w:w w:val="100"/>
                <w:position w:val="0"/>
                <w:sz w:val="11"/>
                <w:szCs w:val="11"/>
              </w:rPr>
              <w:t xml:space="preserve"> </w:t>
            </w:r>
            <w:r>
              <w:rPr>
                <w:rFonts w:ascii="Times New Roman" w:eastAsia="Times New Roman" w:hAnsi="Times New Roman" w:cs="Times New Roman"/>
                <w:color w:val="000000"/>
                <w:spacing w:val="0"/>
                <w:w w:val="100"/>
                <w:position w:val="0"/>
                <w:sz w:val="13"/>
                <w:szCs w:val="13"/>
              </w:rPr>
              <w:t xml:space="preserve">LJ-I </w:t>
            </w:r>
            <w:r>
              <w:rPr>
                <w:color w:val="000000"/>
                <w:spacing w:val="0"/>
                <w:w w:val="100"/>
                <w:position w:val="0"/>
                <w:sz w:val="11"/>
                <w:szCs w:val="11"/>
              </w:rPr>
              <w:t>二风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毛洪伟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姚培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丘国雄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邵顺昌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吴硕贤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郑学定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林晓春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蔡素娟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余庆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吴曦东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五</w:t>
      </w:r>
      <w:bookmarkEnd w:id="579"/>
      <w:r>
        <w:rPr>
          <w:color w:val="000000"/>
          <w:spacing w:val="0"/>
          <w:w w:val="100"/>
          <w:position w:val="0"/>
        </w:rPr>
        <w:t>、公司员工情况</w:t>
      </w:r>
      <w:bookmarkEnd w:id="577"/>
      <w:bookmarkEnd w:id="578"/>
      <w:bookmarkEnd w:id="580"/>
    </w:p>
    <w:p>
      <w:pPr>
        <w:pStyle w:val="Style34"/>
        <w:keepNext/>
        <w:keepLines/>
        <w:widowControl w:val="0"/>
        <w:shd w:val="clear" w:color="auto" w:fill="auto"/>
        <w:bidi w:val="0"/>
        <w:spacing w:before="0" w:after="300" w:line="240" w:lineRule="auto"/>
        <w:ind w:left="0" w:right="0" w:firstLine="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1</w:t>
      </w:r>
      <w:bookmarkEnd w:id="583"/>
      <w:r>
        <w:rPr>
          <w:color w:val="000000"/>
          <w:spacing w:val="0"/>
          <w:w w:val="100"/>
          <w:position w:val="0"/>
        </w:rPr>
        <w:t>、员工数量、专业构成及教育程度</w:t>
      </w:r>
      <w:bookmarkEnd w:id="581"/>
      <w:bookmarkEnd w:id="582"/>
      <w:bookmarkEnd w:id="584"/>
    </w:p>
    <w:tbl>
      <w:tblPr>
        <w:tblOverlap w:val="never"/>
        <w:jc w:val="left"/>
        <w:tblLayout w:type="fixed"/>
      </w:tblPr>
      <w:tblGrid>
        <w:gridCol w:w="5218"/>
        <w:gridCol w:w="19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665</w:t>
            </w:r>
          </w:p>
        </w:tc>
      </w:tr>
    </w:tbl>
    <w:p>
      <w:pPr>
        <w:widowControl w:val="0"/>
        <w:spacing w:line="1" w:lineRule="exact"/>
      </w:pPr>
    </w:p>
    <w:tbl>
      <w:tblPr>
        <w:tblOverlap w:val="never"/>
        <w:jc w:val="left"/>
        <w:tblLayout w:type="fixed"/>
      </w:tblPr>
      <w:tblGrid>
        <w:gridCol w:w="5218"/>
        <w:gridCol w:w="1997"/>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硕士研究生及以上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2</w:t>
      </w:r>
      <w:bookmarkEnd w:id="587"/>
      <w:r>
        <w:rPr>
          <w:color w:val="000000"/>
          <w:spacing w:val="0"/>
          <w:w w:val="100"/>
          <w:position w:val="0"/>
        </w:rPr>
        <w:t>、薪酬政策</w:t>
      </w:r>
      <w:bookmarkEnd w:id="585"/>
      <w:bookmarkEnd w:id="586"/>
      <w:bookmarkEnd w:id="588"/>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员工薪酬主要由工资、绩效奖金、津贴补贴、社会保险、住房公积金、工会费和职工教育费等组成，绩效奖金与公司经营状 况、员工个人工作绩效相挂钩，通过乐活平台推行基于员工自主管理和员工贡献值的激励制度和乐豆体系建设。</w:t>
      </w:r>
    </w:p>
    <w:p>
      <w:pPr>
        <w:pStyle w:val="Style21"/>
        <w:keepNext w:val="0"/>
        <w:keepLines w:val="0"/>
        <w:widowControl w:val="0"/>
        <w:shd w:val="clear" w:color="auto" w:fill="auto"/>
        <w:bidi w:val="0"/>
        <w:spacing w:before="0" w:after="38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年公司继续聚焦战略规划和人力资源规划落地，根据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科改示范行动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计划开展</w:t>
      </w:r>
      <w:r>
        <w:rPr>
          <w:rFonts w:ascii="Times New Roman" w:eastAsia="Times New Roman" w:hAnsi="Times New Roman" w:cs="Times New Roman"/>
          <w:color w:val="000000"/>
          <w:spacing w:val="0"/>
          <w:w w:val="100"/>
          <w:position w:val="0"/>
          <w:sz w:val="18"/>
          <w:szCs w:val="18"/>
        </w:rPr>
        <w:t>“IBR</w:t>
      </w:r>
      <w:r>
        <w:rPr>
          <w:color w:val="000000"/>
          <w:spacing w:val="0"/>
          <w:w w:val="100"/>
          <w:position w:val="0"/>
        </w:rPr>
        <w:t>蜜蜂激励模型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为核心的薪酬和绩效 考核制度建设，探索制定核心骨干员工股权激励计划及创新人才薪酬单列管理方案，同时综合</w:t>
      </w:r>
      <w:r>
        <w:rPr>
          <w:rFonts w:ascii="Times New Roman" w:eastAsia="Times New Roman" w:hAnsi="Times New Roman" w:cs="Times New Roman"/>
          <w:color w:val="000000"/>
          <w:spacing w:val="0"/>
          <w:w w:val="100"/>
          <w:position w:val="0"/>
          <w:sz w:val="18"/>
          <w:szCs w:val="18"/>
        </w:rPr>
        <w:t>CPI</w:t>
      </w:r>
      <w:r>
        <w:rPr>
          <w:color w:val="000000"/>
          <w:spacing w:val="0"/>
          <w:w w:val="100"/>
          <w:position w:val="0"/>
        </w:rPr>
        <w:t>变化、劳动力市场价位和 企业经济效益等综合因素编制和落实公司年度薪酬预算，支撑雄安等异地业务开拓、新业务孵化、研发和创新项目投入。</w:t>
      </w:r>
    </w:p>
    <w:p>
      <w:pPr>
        <w:pStyle w:val="Style34"/>
        <w:keepNext/>
        <w:keepLines/>
        <w:widowControl w:val="0"/>
        <w:shd w:val="clear" w:color="auto" w:fill="auto"/>
        <w:bidi w:val="0"/>
        <w:spacing w:before="0" w:after="260" w:line="240" w:lineRule="auto"/>
        <w:ind w:left="0" w:right="0" w:firstLine="0"/>
        <w:jc w:val="both"/>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3</w:t>
      </w:r>
      <w:bookmarkEnd w:id="591"/>
      <w:r>
        <w:rPr>
          <w:color w:val="000000"/>
          <w:spacing w:val="0"/>
          <w:w w:val="100"/>
          <w:position w:val="0"/>
        </w:rPr>
        <w:t>、培训计划</w:t>
      </w:r>
      <w:bookmarkEnd w:id="589"/>
      <w:bookmarkEnd w:id="590"/>
      <w:bookmarkEnd w:id="592"/>
    </w:p>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年公司基于五位一体的培训体系，内外兼修，建立</w:t>
      </w:r>
      <w:r>
        <w:rPr>
          <w:rFonts w:ascii="Times New Roman" w:eastAsia="Times New Roman" w:hAnsi="Times New Roman" w:cs="Times New Roman"/>
          <w:color w:val="000000"/>
          <w:spacing w:val="0"/>
          <w:w w:val="100"/>
          <w:position w:val="0"/>
          <w:sz w:val="18"/>
          <w:szCs w:val="18"/>
        </w:rPr>
        <w:t>IBR</w:t>
      </w:r>
      <w:r>
        <w:rPr>
          <w:color w:val="000000"/>
          <w:spacing w:val="0"/>
          <w:w w:val="100"/>
          <w:position w:val="0"/>
        </w:rPr>
        <w:t>思想激荡培训营品牌和课程库框架雏形，面向行业、客户等群体 输出绿色理念、知识、技术，为职能部门从间接创造价值向直接创造价值转型打下基础。</w:t>
      </w:r>
    </w:p>
    <w:p>
      <w:pPr>
        <w:pStyle w:val="Style2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在内部培训方面，结合疫情防控要求，采用线上线下相结合的方式，开展包括专门针对疫情严峻期的共享办公主题系列线上 直播培训、聚焦制度与文化融入的同时以综合素质打造及企业温度传递为侧重的绿野仙踪培训营新员工培训、以各行业大师 的专业分享为主的建科大讲堂思想盛宴，同时综合、全面地开展商务礼仪、消防安全、公文写作等通用知识技能培训，卓越 领导力、个人生产力、质量管理等管理培训，着重培养员工的综合素质，提升管理思维，进一步提高公司团队人才水平，打 造懂战略、会管理、有创新、能执行的员工队伍。</w:t>
      </w:r>
    </w:p>
    <w:p>
      <w:pPr>
        <w:pStyle w:val="Style34"/>
        <w:keepNext/>
        <w:keepLines/>
        <w:widowControl w:val="0"/>
        <w:shd w:val="clear" w:color="auto" w:fill="auto"/>
        <w:bidi w:val="0"/>
        <w:spacing w:before="0" w:after="380" w:line="240" w:lineRule="auto"/>
        <w:ind w:left="0" w:right="0" w:firstLine="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4</w:t>
      </w:r>
      <w:bookmarkEnd w:id="595"/>
      <w:r>
        <w:rPr>
          <w:color w:val="000000"/>
          <w:spacing w:val="0"/>
          <w:w w:val="100"/>
          <w:position w:val="0"/>
        </w:rPr>
        <w:t>、劳务外包情况</w:t>
      </w:r>
      <w:bookmarkEnd w:id="593"/>
      <w:bookmarkEnd w:id="594"/>
      <w:bookmarkEnd w:id="596"/>
    </w:p>
    <w:p>
      <w:pPr>
        <w:pStyle w:val="Style21"/>
        <w:keepNext w:val="0"/>
        <w:keepLines w:val="0"/>
        <w:widowControl w:val="0"/>
        <w:shd w:val="clear" w:color="auto" w:fill="auto"/>
        <w:bidi w:val="0"/>
        <w:spacing w:before="0" w:after="360" w:line="240" w:lineRule="auto"/>
        <w:ind w:left="0" w:right="0" w:firstLine="0"/>
        <w:jc w:val="both"/>
        <w:sectPr>
          <w:headerReference w:type="default" r:id="rId135"/>
          <w:footerReference w:type="default" r:id="rId136"/>
          <w:headerReference w:type="even" r:id="rId137"/>
          <w:footerReference w:type="even" r:id="rId138"/>
          <w:headerReference w:type="first" r:id="rId139"/>
          <w:footerReference w:type="first" r:id="rId140"/>
          <w:footnotePr>
            <w:pos w:val="pageBottom"/>
            <w:numFmt w:val="decimal"/>
            <w:numRestart w:val="continuous"/>
          </w:footnotePr>
          <w:pgSz w:w="11900" w:h="16840"/>
          <w:pgMar w:top="1336" w:right="22" w:bottom="1345" w:left="1088"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8"/>
        <w:keepNext/>
        <w:keepLines/>
        <w:widowControl w:val="0"/>
        <w:shd w:val="clear" w:color="auto" w:fill="auto"/>
        <w:bidi w:val="0"/>
        <w:spacing w:before="0" w:after="580" w:line="240" w:lineRule="auto"/>
        <w:ind w:left="0" w:right="0" w:firstLine="0"/>
        <w:jc w:val="center"/>
      </w:pPr>
      <w:bookmarkStart w:id="597" w:name="bookmark597"/>
      <w:bookmarkStart w:id="598" w:name="bookmark598"/>
      <w:bookmarkStart w:id="599" w:name="bookmark599"/>
      <w:r>
        <w:rPr>
          <w:color w:val="000000"/>
          <w:spacing w:val="0"/>
          <w:w w:val="100"/>
          <w:position w:val="0"/>
        </w:rPr>
        <w:t>第十节公司治理</w:t>
      </w:r>
      <w:bookmarkEnd w:id="597"/>
      <w:bookmarkEnd w:id="598"/>
      <w:bookmarkEnd w:id="599"/>
    </w:p>
    <w:p>
      <w:pPr>
        <w:pStyle w:val="Style30"/>
        <w:keepNext/>
        <w:keepLines/>
        <w:widowControl w:val="0"/>
        <w:shd w:val="clear" w:color="auto" w:fill="auto"/>
        <w:bidi w:val="0"/>
        <w:spacing w:before="0" w:after="260" w:line="240" w:lineRule="auto"/>
        <w:ind w:left="0" w:right="0" w:firstLine="0"/>
        <w:jc w:val="left"/>
      </w:pPr>
      <w:bookmarkStart w:id="600" w:name="bookmark600"/>
      <w:bookmarkStart w:id="601" w:name="bookmark601"/>
      <w:bookmarkStart w:id="602" w:name="bookmark602"/>
      <w:bookmarkStart w:id="603" w:name="bookmark603"/>
      <w:r>
        <w:rPr>
          <w:color w:val="000000"/>
          <w:spacing w:val="0"/>
          <w:w w:val="100"/>
          <w:position w:val="0"/>
        </w:rPr>
        <w:t>一</w:t>
      </w:r>
      <w:bookmarkEnd w:id="602"/>
      <w:r>
        <w:rPr>
          <w:color w:val="000000"/>
          <w:spacing w:val="0"/>
          <w:w w:val="100"/>
          <w:position w:val="0"/>
        </w:rPr>
        <w:t>、公司治理的基本状况</w:t>
      </w:r>
      <w:bookmarkEnd w:id="600"/>
      <w:bookmarkEnd w:id="601"/>
      <w:bookmarkEnd w:id="603"/>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报告期内，公司依照规范的公司治理结构运作，股东大会、董事会及其专门委员会、监事会、管理层均能严格按照《公司法》 《证券法》《上市公司治理准则》《深圳证券交易所创业板股票上市规则》《深圳证券交易所创业板上市公司规范运作指引》 和中国证监会有关法律法规等要求，履行各自的权利和义务。截至报告期末，上述机构和人员依法运作，未出现违法、违规 现象，能够切实履行应尽的职责和义务，公司治理的实际状况符合《上市公司治理准则》和《深圳证券交易所创业板上市公 司规范运作指引》的要求。</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公司依据有关法律法规、监管部门和公司实际情况，在治理方面制定了各项规章制度，主要有《公司章程》《公司股东大会 议事规则》《公司董事会议事规则》《公司监事会议事规则》《公司董事会战略委员会议事规则》《公司董事会提名委员会 议事规则》《公司董事会薪酬与考核委员会议事规则》《公司董事会审计委员会议事规则》《公司独立董事工作管理办法》 《公司董事会秘书工作制度》《公司总经理工作细则》《公司对外投资管理办法》《公司对外担保管理办法》《公司募集资 金使用管理办法》《公司内部审计制度》《内部控制制度》《公司信息披露管理办法》《公司投资者关系管理办法》《公司 内幕信息知情人登记管理办法》等规章制度。通过制度建设，搭建了较为完善的公司治理结构的制度平台，明确了股东大会、 董事会、监事会及管理层各自应履行的职责和议事规程，从而为公司的规范运作提供了制度保障。同时，为适应现行法律法 规的相关规定及公司治理实际，公司已启动公司治理制度的修订工作，报告期内已完成《公司章程》的修订及审议工作。</w:t>
      </w:r>
    </w:p>
    <w:p>
      <w:pPr>
        <w:pStyle w:val="Style21"/>
        <w:keepNext w:val="0"/>
        <w:keepLines w:val="0"/>
        <w:widowControl w:val="0"/>
        <w:numPr>
          <w:ilvl w:val="0"/>
          <w:numId w:val="13"/>
        </w:numPr>
        <w:shd w:val="clear" w:color="auto" w:fill="auto"/>
        <w:tabs>
          <w:tab w:pos="241" w:val="left"/>
        </w:tabs>
        <w:bidi w:val="0"/>
        <w:spacing w:before="0" w:after="0" w:line="314" w:lineRule="exact"/>
        <w:ind w:left="0" w:right="0" w:firstLine="0"/>
        <w:jc w:val="both"/>
      </w:pPr>
      <w:bookmarkStart w:id="604" w:name="bookmark604"/>
      <w:bookmarkEnd w:id="604"/>
      <w:r>
        <w:rPr>
          <w:color w:val="000000"/>
          <w:spacing w:val="0"/>
          <w:w w:val="100"/>
          <w:position w:val="0"/>
        </w:rPr>
        <w:t>关于股东和股东大会</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公司严格按照《公司法》《证券法》等法律法规及《公司章程》和《公司股东大会议事规则》要求，规范股东大会召集、召 开、表决程序，同时公司聘请专业律师见证股东大会，确保所有股东享有平等地位、平等权利，充分行使自己的权利，并承 担相应的义务。报告期内，公司共召开了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次年度股东大会和</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次临时股东大会，均由董事会召集、召开，未发生由独立董事、 监事会或股东召集的情况。</w:t>
      </w:r>
    </w:p>
    <w:p>
      <w:pPr>
        <w:pStyle w:val="Style21"/>
        <w:keepNext w:val="0"/>
        <w:keepLines w:val="0"/>
        <w:widowControl w:val="0"/>
        <w:numPr>
          <w:ilvl w:val="0"/>
          <w:numId w:val="13"/>
        </w:numPr>
        <w:shd w:val="clear" w:color="auto" w:fill="auto"/>
        <w:tabs>
          <w:tab w:pos="260" w:val="left"/>
        </w:tabs>
        <w:bidi w:val="0"/>
        <w:spacing w:before="0" w:after="0" w:line="314" w:lineRule="exact"/>
        <w:ind w:left="0" w:right="0" w:firstLine="0"/>
        <w:jc w:val="both"/>
      </w:pPr>
      <w:bookmarkStart w:id="605" w:name="bookmark605"/>
      <w:bookmarkEnd w:id="605"/>
      <w:r>
        <w:rPr>
          <w:color w:val="000000"/>
          <w:spacing w:val="0"/>
          <w:w w:val="100"/>
          <w:position w:val="0"/>
        </w:rPr>
        <w:t>关于董事会运作</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报告期内，公司董事会设董事</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名，在公司任职的董事占比未超过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,董事会人数及人员构成符合有关 法律法规和《公司章程》的要求。各位董事能够依据《公司法》《证券法》《深圳证券交易所创业板股票上市规则》《深圳 证券交易所创业板上市公司规范运作指引》等规定及《公司章程》《公司董事会议事规则》和《公司独立董事工作管理办法》 等的要求开展工作，诚信、勤勉地履行职责和义务，同时积极参加有关培训，熟悉有关法律法规。</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报告期内，公司董事会顺利完成换届工作，第三届董事会董事于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年第一次临时股东大会选举产生，并 于当日召开的第三届董事会第一次临时会议选举产生董事长、副董事长及战略委员会、提名委员会、薪酬与考核委员会、审 计委员会、市场与技术委员会等五个专门委员会，专门委员会成员全部由董事组成，外部董事均占多数，并且除战略委员会 和市场与技术委员会由董事长担任召集人以外，其他专门委员会均由独立董事担任召集人，为董事会的决策提供了科学和专 业的意见。</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报告期内董事会共召开了</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次会议，均由董事长召集、主持，共审议涉及公司治理、定期报告、利润分配、内部控制、人事 管理、募集资金及财务管理、关联交易等事项共</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项议案。</w:t>
      </w:r>
    </w:p>
    <w:p>
      <w:pPr>
        <w:pStyle w:val="Style21"/>
        <w:keepNext w:val="0"/>
        <w:keepLines w:val="0"/>
        <w:widowControl w:val="0"/>
        <w:numPr>
          <w:ilvl w:val="0"/>
          <w:numId w:val="13"/>
        </w:numPr>
        <w:shd w:val="clear" w:color="auto" w:fill="auto"/>
        <w:tabs>
          <w:tab w:pos="260" w:val="left"/>
        </w:tabs>
        <w:bidi w:val="0"/>
        <w:spacing w:before="0" w:after="0" w:line="314" w:lineRule="exact"/>
        <w:ind w:left="0" w:right="0" w:firstLine="0"/>
        <w:jc w:val="both"/>
      </w:pPr>
      <w:bookmarkStart w:id="606" w:name="bookmark606"/>
      <w:bookmarkEnd w:id="606"/>
      <w:r>
        <w:rPr>
          <w:color w:val="000000"/>
          <w:spacing w:val="0"/>
          <w:w w:val="100"/>
          <w:position w:val="0"/>
        </w:rPr>
        <w:t>关于监事会运作</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名，其中职工代表监事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名，占比超过</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,监事会的人数和构成符合法律、法规的要求。各位监事严格按 照《公司法》《证券法》《深圳证券交易所创业板股票上市规则》《深圳证券交易所创业板上市公司规范运作指引》等规定 及《公司章程》《公司监事会议事规则》等的有关规定认真履行职责，对公司财务状况、重大事项、关联交易以及公司董事 及高级管理人员履行职责的合法合规性进行监督，维护公司及股东的合法权益。</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报告期内，公司监事会顺利完成换届工作，第三届监事会监事于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年度第一次临时股东大会选举产生， 并于当日召开的第三届监事会第一次临时会议选举产生监事会主席。</w:t>
      </w:r>
    </w:p>
    <w:p>
      <w:pPr>
        <w:pStyle w:val="Style21"/>
        <w:keepNext w:val="0"/>
        <w:keepLines w:val="0"/>
        <w:widowControl w:val="0"/>
        <w:shd w:val="clear" w:color="auto" w:fill="auto"/>
        <w:bidi w:val="0"/>
        <w:spacing w:before="0" w:after="120" w:line="314" w:lineRule="exact"/>
        <w:ind w:left="0" w:right="0" w:firstLine="0"/>
        <w:jc w:val="both"/>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983" w:right="24" w:bottom="1517" w:left="1086" w:header="0" w:footer="3" w:gutter="0"/>
          <w:cols w:space="720"/>
          <w:noEndnote/>
          <w:rtlGutter w:val="0"/>
          <w:docGrid w:linePitch="360"/>
        </w:sectPr>
      </w:pPr>
      <w:r>
        <w:rPr>
          <w:color w:val="000000"/>
          <w:spacing w:val="0"/>
          <w:w w:val="100"/>
          <w:position w:val="0"/>
        </w:rPr>
        <w:t xml:space="preserve">报告期监事会内共召开了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次会议，均由监事会主席召集、主持，共审议涉及定期报告、利润分配、内部控制、募集资金及</w:t>
      </w:r>
    </w:p>
    <w:p>
      <w:pPr>
        <w:pStyle w:val="Style16"/>
        <w:keepNext/>
        <w:keepLines/>
        <w:widowControl w:val="0"/>
        <w:shd w:val="clear" w:color="auto" w:fill="auto"/>
        <w:bidi w:val="0"/>
        <w:spacing w:before="0" w:after="0" w:line="240" w:lineRule="auto"/>
        <w:ind w:left="0" w:right="0" w:firstLine="240"/>
        <w:jc w:val="left"/>
      </w:pPr>
      <w:bookmarkStart w:id="607" w:name="bookmark607"/>
      <w:bookmarkStart w:id="608" w:name="bookmark608"/>
      <w:bookmarkStart w:id="609" w:name="bookmark609"/>
      <w:r>
        <w:rPr>
          <w:spacing w:val="0"/>
          <w:w w:val="100"/>
          <w:position w:val="0"/>
        </w:rPr>
        <w:t>i3R</w:t>
      </w:r>
      <w:bookmarkEnd w:id="607"/>
      <w:bookmarkEnd w:id="608"/>
      <w:bookmarkEnd w:id="609"/>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财务管理、关联交易等事项共</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项议案。</w:t>
      </w:r>
    </w:p>
    <w:p>
      <w:pPr>
        <w:pStyle w:val="Style21"/>
        <w:keepNext w:val="0"/>
        <w:keepLines w:val="0"/>
        <w:widowControl w:val="0"/>
        <w:numPr>
          <w:ilvl w:val="0"/>
          <w:numId w:val="13"/>
        </w:numPr>
        <w:shd w:val="clear" w:color="auto" w:fill="auto"/>
        <w:tabs>
          <w:tab w:pos="320" w:val="left"/>
        </w:tabs>
        <w:bidi w:val="0"/>
        <w:spacing w:before="0" w:after="0" w:line="311" w:lineRule="exact"/>
        <w:ind w:left="0" w:right="0" w:firstLine="0"/>
        <w:jc w:val="left"/>
      </w:pPr>
      <w:bookmarkStart w:id="610" w:name="bookmark610"/>
      <w:bookmarkEnd w:id="610"/>
      <w:r>
        <w:rPr>
          <w:color w:val="000000"/>
          <w:spacing w:val="0"/>
          <w:w w:val="100"/>
          <w:position w:val="0"/>
        </w:rPr>
        <w:t>关于公司控股股东</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公司具有独立的业务经营能力及完备的运营体系，在业务、人员、资产、财务上均独立于控股股东。公司董事会、监事会和 内部机构根据其议事规则或公司制度独立运作。公司控股股东能严格规范自己的行为，通过股东大会依法行使其权利并承担 义务，没有超越股东大会直接或间接干预公司经营活动。报告期内，公司没有为控股股东提供担保，亦不存在控股股东及其 关联方非经营性占用公司资金的行为。</w:t>
      </w:r>
    </w:p>
    <w:p>
      <w:pPr>
        <w:pStyle w:val="Style21"/>
        <w:keepNext w:val="0"/>
        <w:keepLines w:val="0"/>
        <w:widowControl w:val="0"/>
        <w:numPr>
          <w:ilvl w:val="0"/>
          <w:numId w:val="13"/>
        </w:numPr>
        <w:shd w:val="clear" w:color="auto" w:fill="auto"/>
        <w:tabs>
          <w:tab w:pos="320" w:val="left"/>
        </w:tabs>
        <w:bidi w:val="0"/>
        <w:spacing w:before="0" w:after="0" w:line="311" w:lineRule="exact"/>
        <w:ind w:left="0" w:right="0" w:firstLine="0"/>
        <w:jc w:val="both"/>
      </w:pPr>
      <w:bookmarkStart w:id="611" w:name="bookmark611"/>
      <w:bookmarkEnd w:id="611"/>
      <w:r>
        <w:rPr>
          <w:color w:val="000000"/>
          <w:spacing w:val="0"/>
          <w:w w:val="100"/>
          <w:position w:val="0"/>
        </w:rPr>
        <w:t>关于独立董事制度运行情况</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报告期内，公司独立董事严格按照有关法律法规、《公司章程》《公司独立董事工作管理办法》等制度履行职责，对独立董 事需发表意见的事项发布了独立意见，对公司内部控制制度及发展提出意见和建议，对公司完善治理结构和规范运作发挥积 极作用。</w:t>
      </w:r>
    </w:p>
    <w:p>
      <w:pPr>
        <w:pStyle w:val="Style21"/>
        <w:keepNext w:val="0"/>
        <w:keepLines w:val="0"/>
        <w:widowControl w:val="0"/>
        <w:numPr>
          <w:ilvl w:val="0"/>
          <w:numId w:val="13"/>
        </w:numPr>
        <w:shd w:val="clear" w:color="auto" w:fill="auto"/>
        <w:tabs>
          <w:tab w:pos="320" w:val="left"/>
        </w:tabs>
        <w:bidi w:val="0"/>
        <w:spacing w:before="0" w:after="0" w:line="311" w:lineRule="exact"/>
        <w:ind w:left="0" w:right="0" w:firstLine="0"/>
        <w:jc w:val="both"/>
      </w:pPr>
      <w:bookmarkStart w:id="612" w:name="bookmark612"/>
      <w:bookmarkEnd w:id="612"/>
      <w:r>
        <w:rPr>
          <w:color w:val="000000"/>
          <w:spacing w:val="0"/>
          <w:w w:val="100"/>
          <w:position w:val="0"/>
        </w:rPr>
        <w:t>关于信息披露与透明度</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公司严格按照《公司信息披露管理办法》《公司投资者关系管理办法》《公司内幕信息知情人登记管理办法》的有关规定， 及时、准确、完整地披露公司重要经营信息，确保公司全体股东和投资者能够公平获得信息，持续提高公司透明度。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内公司共披露包括会议决议、定期报告、权益变动及其他重大事项等公告</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份、文件</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份，回答投资者问答</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条，并再次 获得深圳证券交易所信息披露考核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级。</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1"/>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30"/>
        <w:keepNext/>
        <w:keepLines/>
        <w:widowControl w:val="0"/>
        <w:shd w:val="clear" w:color="auto" w:fill="auto"/>
        <w:tabs>
          <w:tab w:pos="517" w:val="left"/>
        </w:tabs>
        <w:bidi w:val="0"/>
        <w:spacing w:before="0" w:after="26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二</w:t>
      </w:r>
      <w:bookmarkEnd w:id="615"/>
      <w:r>
        <w:rPr>
          <w:color w:val="000000"/>
          <w:spacing w:val="0"/>
          <w:w w:val="100"/>
          <w:position w:val="0"/>
        </w:rPr>
        <w:t>、</w:t>
        <w:tab/>
        <w:t>公司相对于控股股东在业务、人员、资产、机构、财务等方面的独立情况</w:t>
      </w:r>
      <w:bookmarkEnd w:id="613"/>
      <w:bookmarkEnd w:id="614"/>
      <w:bookmarkEnd w:id="616"/>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公司严格按照《公司法》《证券法》等有关法律法规和《公司章程》《公司防范控股股东及其他关联方资金占用管理办法》 的要求，与控股股东在业务、人员、资产、机构、财务等方面完全分开，具有独立完整的业务及自主经营能力：</w:t>
      </w:r>
    </w:p>
    <w:p>
      <w:pPr>
        <w:pStyle w:val="Style21"/>
        <w:keepNext w:val="0"/>
        <w:keepLines w:val="0"/>
        <w:widowControl w:val="0"/>
        <w:shd w:val="clear" w:color="auto" w:fill="auto"/>
        <w:tabs>
          <w:tab w:pos="339" w:val="left"/>
        </w:tabs>
        <w:bidi w:val="0"/>
        <w:spacing w:before="0" w:after="0" w:line="314" w:lineRule="exact"/>
        <w:ind w:left="0" w:right="0" w:firstLine="0"/>
        <w:jc w:val="left"/>
      </w:pPr>
      <w:bookmarkStart w:id="617" w:name="bookmark617"/>
      <w:r>
        <w:rPr>
          <w:rFonts w:ascii="Times New Roman" w:eastAsia="Times New Roman" w:hAnsi="Times New Roman" w:cs="Times New Roman"/>
          <w:color w:val="000000"/>
          <w:spacing w:val="0"/>
          <w:w w:val="100"/>
          <w:position w:val="0"/>
          <w:sz w:val="18"/>
          <w:szCs w:val="18"/>
        </w:rPr>
        <w:t>1</w:t>
      </w:r>
      <w:bookmarkEnd w:id="617"/>
      <w:r>
        <w:rPr>
          <w:color w:val="000000"/>
          <w:spacing w:val="0"/>
          <w:w w:val="100"/>
          <w:position w:val="0"/>
        </w:rPr>
        <w:t>、</w:t>
        <w:tab/>
        <w:t>业务方面：公司业务结构完整，自主独立经营，与控股股东之间无同业竞争，控股股东未曾利用控股股东地位干涉公司 决策和生产经营活动。</w:t>
      </w:r>
    </w:p>
    <w:p>
      <w:pPr>
        <w:pStyle w:val="Style21"/>
        <w:keepNext w:val="0"/>
        <w:keepLines w:val="0"/>
        <w:widowControl w:val="0"/>
        <w:shd w:val="clear" w:color="auto" w:fill="auto"/>
        <w:tabs>
          <w:tab w:pos="354" w:val="left"/>
        </w:tabs>
        <w:bidi w:val="0"/>
        <w:spacing w:before="0" w:after="0" w:line="314" w:lineRule="exact"/>
        <w:ind w:left="0" w:right="0" w:firstLine="0"/>
        <w:jc w:val="left"/>
      </w:pPr>
      <w:bookmarkStart w:id="618" w:name="bookmark618"/>
      <w:r>
        <w:rPr>
          <w:rFonts w:ascii="Times New Roman" w:eastAsia="Times New Roman" w:hAnsi="Times New Roman" w:cs="Times New Roman"/>
          <w:color w:val="000000"/>
          <w:spacing w:val="0"/>
          <w:w w:val="100"/>
          <w:position w:val="0"/>
          <w:sz w:val="18"/>
          <w:szCs w:val="18"/>
        </w:rPr>
        <w:t>2</w:t>
      </w:r>
      <w:bookmarkEnd w:id="618"/>
      <w:r>
        <w:rPr>
          <w:color w:val="000000"/>
          <w:spacing w:val="0"/>
          <w:w w:val="100"/>
          <w:position w:val="0"/>
        </w:rPr>
        <w:t>、</w:t>
        <w:tab/>
        <w:t>人员方面：公司在劳动、人事及工资管理等各方面均独立于控股股东，高级管理人员均在公司领取报酬。</w:t>
      </w:r>
    </w:p>
    <w:p>
      <w:pPr>
        <w:pStyle w:val="Style21"/>
        <w:keepNext w:val="0"/>
        <w:keepLines w:val="0"/>
        <w:widowControl w:val="0"/>
        <w:shd w:val="clear" w:color="auto" w:fill="auto"/>
        <w:tabs>
          <w:tab w:pos="354" w:val="left"/>
        </w:tabs>
        <w:bidi w:val="0"/>
        <w:spacing w:before="0" w:after="0" w:line="314" w:lineRule="exact"/>
        <w:ind w:left="0" w:right="0" w:firstLine="0"/>
        <w:jc w:val="left"/>
      </w:pPr>
      <w:bookmarkStart w:id="619" w:name="bookmark619"/>
      <w:r>
        <w:rPr>
          <w:rFonts w:ascii="Times New Roman" w:eastAsia="Times New Roman" w:hAnsi="Times New Roman" w:cs="Times New Roman"/>
          <w:color w:val="000000"/>
          <w:spacing w:val="0"/>
          <w:w w:val="100"/>
          <w:position w:val="0"/>
          <w:sz w:val="18"/>
          <w:szCs w:val="18"/>
        </w:rPr>
        <w:t>3</w:t>
      </w:r>
      <w:bookmarkEnd w:id="619"/>
      <w:r>
        <w:rPr>
          <w:color w:val="000000"/>
          <w:spacing w:val="0"/>
          <w:w w:val="100"/>
          <w:position w:val="0"/>
        </w:rPr>
        <w:t>、</w:t>
        <w:tab/>
        <w:t>资产方面：公司生产经营场所及土地使用权情况、商标注册及使用情况独立，各发起人投入股份公司的资产权属明确。</w:t>
      </w:r>
    </w:p>
    <w:p>
      <w:pPr>
        <w:pStyle w:val="Style21"/>
        <w:keepNext w:val="0"/>
        <w:keepLines w:val="0"/>
        <w:widowControl w:val="0"/>
        <w:shd w:val="clear" w:color="auto" w:fill="auto"/>
        <w:tabs>
          <w:tab w:pos="354" w:val="left"/>
        </w:tabs>
        <w:bidi w:val="0"/>
        <w:spacing w:before="0" w:after="0" w:line="314" w:lineRule="exact"/>
        <w:ind w:left="0" w:right="0" w:firstLine="0"/>
        <w:jc w:val="left"/>
      </w:pPr>
      <w:bookmarkStart w:id="620" w:name="bookmark620"/>
      <w:r>
        <w:rPr>
          <w:rFonts w:ascii="Times New Roman" w:eastAsia="Times New Roman" w:hAnsi="Times New Roman" w:cs="Times New Roman"/>
          <w:color w:val="000000"/>
          <w:spacing w:val="0"/>
          <w:w w:val="100"/>
          <w:position w:val="0"/>
          <w:sz w:val="18"/>
          <w:szCs w:val="18"/>
        </w:rPr>
        <w:t>4</w:t>
      </w:r>
      <w:bookmarkEnd w:id="620"/>
      <w:r>
        <w:rPr>
          <w:color w:val="000000"/>
          <w:spacing w:val="0"/>
          <w:w w:val="100"/>
          <w:position w:val="0"/>
        </w:rPr>
        <w:t>、</w:t>
        <w:tab/>
        <w:t>机构方面：公司组织体系健全，董事会、监事会、管理层及部门运作独立，不存在与控股股东之间的从属关系。</w:t>
      </w:r>
    </w:p>
    <w:p>
      <w:pPr>
        <w:pStyle w:val="Style21"/>
        <w:keepNext w:val="0"/>
        <w:keepLines w:val="0"/>
        <w:widowControl w:val="0"/>
        <w:shd w:val="clear" w:color="auto" w:fill="auto"/>
        <w:tabs>
          <w:tab w:pos="358" w:val="left"/>
        </w:tabs>
        <w:bidi w:val="0"/>
        <w:spacing w:before="0" w:after="380" w:line="314" w:lineRule="exact"/>
        <w:ind w:left="0" w:right="0" w:firstLine="0"/>
        <w:jc w:val="left"/>
      </w:pPr>
      <w:bookmarkStart w:id="621" w:name="bookmark621"/>
      <w:r>
        <w:rPr>
          <w:rFonts w:ascii="Times New Roman" w:eastAsia="Times New Roman" w:hAnsi="Times New Roman" w:cs="Times New Roman"/>
          <w:color w:val="000000"/>
          <w:spacing w:val="0"/>
          <w:w w:val="100"/>
          <w:position w:val="0"/>
          <w:sz w:val="18"/>
          <w:szCs w:val="18"/>
        </w:rPr>
        <w:t>5</w:t>
      </w:r>
      <w:bookmarkEnd w:id="621"/>
      <w:r>
        <w:rPr>
          <w:color w:val="000000"/>
          <w:spacing w:val="0"/>
          <w:w w:val="100"/>
          <w:position w:val="0"/>
        </w:rPr>
        <w:t>、</w:t>
        <w:tab/>
        <w:t>财务方面：公司设有独立的财务部门，并已建立独立的会计核算体系和财务管理制度，独立在银行开户、并依法独立纳 税。</w:t>
      </w:r>
    </w:p>
    <w:p>
      <w:pPr>
        <w:pStyle w:val="Style30"/>
        <w:keepNext/>
        <w:keepLines/>
        <w:widowControl w:val="0"/>
        <w:shd w:val="clear" w:color="auto" w:fill="auto"/>
        <w:tabs>
          <w:tab w:pos="522" w:val="left"/>
        </w:tabs>
        <w:bidi w:val="0"/>
        <w:spacing w:before="0" w:after="26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三</w:t>
      </w:r>
      <w:bookmarkEnd w:id="624"/>
      <w:r>
        <w:rPr>
          <w:color w:val="000000"/>
          <w:spacing w:val="0"/>
          <w:w w:val="100"/>
          <w:position w:val="0"/>
        </w:rPr>
        <w:t>、</w:t>
        <w:tab/>
        <w:t>同业竞争情况</w:t>
      </w:r>
      <w:bookmarkEnd w:id="622"/>
      <w:bookmarkEnd w:id="623"/>
      <w:bookmarkEnd w:id="625"/>
    </w:p>
    <w:p>
      <w:pPr>
        <w:pStyle w:val="Style21"/>
        <w:keepNext w:val="0"/>
        <w:keepLines w:val="0"/>
        <w:widowControl w:val="0"/>
        <w:shd w:val="clear" w:color="auto" w:fill="auto"/>
        <w:bidi w:val="0"/>
        <w:spacing w:before="0" w:after="38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522" w:val="left"/>
        </w:tabs>
        <w:bidi w:val="0"/>
        <w:spacing w:before="0" w:after="38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四</w:t>
      </w:r>
      <w:bookmarkEnd w:id="628"/>
      <w:r>
        <w:rPr>
          <w:color w:val="000000"/>
          <w:spacing w:val="0"/>
          <w:w w:val="100"/>
          <w:position w:val="0"/>
        </w:rPr>
        <w:t>、</w:t>
        <w:tab/>
        <w:t>报告期内召开的年度股东大会和临时股东大会的有关情况</w:t>
      </w:r>
      <w:bookmarkEnd w:id="626"/>
      <w:bookmarkEnd w:id="627"/>
      <w:bookmarkEnd w:id="629"/>
    </w:p>
    <w:p>
      <w:pPr>
        <w:pStyle w:val="Style34"/>
        <w:keepNext/>
        <w:keepLines/>
        <w:widowControl w:val="0"/>
        <w:shd w:val="clear" w:color="auto" w:fill="auto"/>
        <w:bidi w:val="0"/>
        <w:spacing w:before="0" w:after="32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、本报告期股东大会情况</w:t>
      </w:r>
      <w:bookmarkEnd w:id="630"/>
      <w:bookmarkEnd w:id="631"/>
      <w:bookmarkEnd w:id="633"/>
    </w:p>
    <w:tbl>
      <w:tblPr>
        <w:tblOverlap w:val="never"/>
        <w:jc w:val="left"/>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巨潮资讯网，公告</w:t>
            </w:r>
          </w:p>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编号 </w:t>
            </w:r>
            <w:r>
              <w:rPr>
                <w:rFonts w:ascii="Times New Roman" w:eastAsia="Times New Roman" w:hAnsi="Times New Roman" w:cs="Times New Roman"/>
                <w:color w:val="000000"/>
                <w:spacing w:val="0"/>
                <w:w w:val="100"/>
                <w:position w:val="0"/>
                <w:sz w:val="18"/>
                <w:szCs w:val="18"/>
              </w:rPr>
              <w:t>2020-029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巨潮资讯网，公告</w:t>
            </w:r>
          </w:p>
        </w:tc>
      </w:tr>
    </w:tbl>
    <w:tbl>
      <w:tblPr>
        <w:tblOverlap w:val="never"/>
        <w:jc w:val="left"/>
        <w:tblLayout w:type="fixed"/>
      </w:tblPr>
      <w:tblGrid>
        <w:gridCol w:w="1603"/>
        <w:gridCol w:w="1594"/>
        <w:gridCol w:w="1594"/>
        <w:gridCol w:w="1584"/>
        <w:gridCol w:w="1603"/>
        <w:gridCol w:w="1608"/>
      </w:tblGrid>
      <w:tr>
        <w:trPr>
          <w:trHeight w:val="389"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 xml:space="preserve">编号 </w:t>
            </w:r>
            <w:r>
              <w:rPr>
                <w:rFonts w:ascii="Times New Roman" w:eastAsia="Times New Roman" w:hAnsi="Times New Roman" w:cs="Times New Roman"/>
                <w:color w:val="000000"/>
                <w:spacing w:val="0"/>
                <w:w w:val="100"/>
                <w:position w:val="0"/>
                <w:sz w:val="18"/>
                <w:szCs w:val="18"/>
              </w:rPr>
              <w:t>2020-064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、表决权恢复的优先股股东请求召开临时股东大会</w:t>
      </w:r>
      <w:bookmarkEnd w:id="634"/>
      <w:bookmarkEnd w:id="635"/>
      <w:bookmarkEnd w:id="637"/>
    </w:p>
    <w:p>
      <w:pPr>
        <w:pStyle w:val="Style2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rPr>
        <w:t>五</w:t>
      </w:r>
      <w:bookmarkEnd w:id="640"/>
      <w:r>
        <w:rPr>
          <w:color w:val="000000"/>
          <w:spacing w:val="0"/>
          <w:w w:val="100"/>
          <w:position w:val="0"/>
        </w:rPr>
        <w:t>、报告期内独立董事履行职责的情况</w:t>
      </w:r>
      <w:bookmarkEnd w:id="638"/>
      <w:bookmarkEnd w:id="639"/>
      <w:bookmarkEnd w:id="641"/>
    </w:p>
    <w:p>
      <w:pPr>
        <w:pStyle w:val="Style34"/>
        <w:keepNext/>
        <w:keepLines/>
        <w:widowControl w:val="0"/>
        <w:shd w:val="clear" w:color="auto" w:fill="auto"/>
        <w:bidi w:val="0"/>
        <w:spacing w:before="0" w:after="32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bookmarkEnd w:id="644"/>
      <w:r>
        <w:rPr>
          <w:color w:val="000000"/>
          <w:spacing w:val="0"/>
          <w:w w:val="100"/>
          <w:position w:val="0"/>
        </w:rPr>
        <w:t>、独立董事出席董事会及股东大会的情况</w:t>
      </w:r>
      <w:bookmarkEnd w:id="642"/>
      <w:bookmarkEnd w:id="643"/>
      <w:bookmarkEnd w:id="645"/>
    </w:p>
    <w:tbl>
      <w:tblPr>
        <w:tblOverlap w:val="never"/>
        <w:jc w:val="left"/>
        <w:tblLayout w:type="fixed"/>
      </w:tblPr>
      <w:tblGrid>
        <w:gridCol w:w="1435"/>
        <w:gridCol w:w="1162"/>
        <w:gridCol w:w="1166"/>
        <w:gridCol w:w="1162"/>
        <w:gridCol w:w="1166"/>
        <w:gridCol w:w="1162"/>
        <w:gridCol w:w="1162"/>
        <w:gridCol w:w="1171"/>
      </w:tblGrid>
      <w:tr>
        <w:trPr>
          <w:trHeight w:val="403" w:hRule="exact"/>
        </w:trPr>
        <w:tc>
          <w:tcPr>
            <w:gridSpan w:val="8"/>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本报告期应参</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吴硕贤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郑学定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林晓春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张燕平</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谢兰军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周俊祥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pStyle w:val="Style2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公司第二届董事会独立董事吴硕贤因工作原因，未能出席公司第二届董事会第七次定期会议及第八次定期会议，但均委托其 他独立董事出席，并针对相关事项发表事前认可意见及独立意见、签订定期报告书面确认意见，且均有出席其他董事会会议 及其担任委员的董事会专门委员会并作出表决。公司第三届董事会经公司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月选举 产生，该独立董事已不再继续任职。</w:t>
      </w:r>
    </w:p>
    <w:p>
      <w:pPr>
        <w:pStyle w:val="Style34"/>
        <w:keepNext/>
        <w:keepLines/>
        <w:widowControl w:val="0"/>
        <w:shd w:val="clear" w:color="auto" w:fill="auto"/>
        <w:bidi w:val="0"/>
        <w:spacing w:before="0" w:after="260" w:line="240" w:lineRule="auto"/>
        <w:ind w:left="0" w:right="0" w:firstLine="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bookmarkEnd w:id="648"/>
      <w:r>
        <w:rPr>
          <w:color w:val="000000"/>
          <w:spacing w:val="0"/>
          <w:w w:val="100"/>
          <w:position w:val="0"/>
        </w:rPr>
        <w:t>、独立董事对公司有关事项提出异议的情况</w:t>
      </w:r>
      <w:bookmarkEnd w:id="646"/>
      <w:bookmarkEnd w:id="647"/>
      <w:bookmarkEnd w:id="649"/>
    </w:p>
    <w:p>
      <w:pPr>
        <w:pStyle w:val="Style21"/>
        <w:keepNext w:val="0"/>
        <w:keepLines w:val="0"/>
        <w:widowControl w:val="0"/>
        <w:shd w:val="clear" w:color="auto" w:fill="auto"/>
        <w:bidi w:val="0"/>
        <w:spacing w:before="0" w:after="140" w:line="310" w:lineRule="exact"/>
        <w:ind w:left="0" w:right="0" w:firstLine="0"/>
        <w:jc w:val="both"/>
      </w:pPr>
      <w:r>
        <w:rPr>
          <w:color w:val="000000"/>
          <w:spacing w:val="0"/>
          <w:w w:val="100"/>
          <w:position w:val="0"/>
        </w:rPr>
        <w:t>独立董事对公司有关事项是否提出异议</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报告期内独立董事对公司有关事项未提出异议。</w:t>
      </w:r>
    </w:p>
    <w:p>
      <w:pPr>
        <w:pStyle w:val="Style34"/>
        <w:keepNext/>
        <w:keepLines/>
        <w:widowControl w:val="0"/>
        <w:shd w:val="clear" w:color="auto" w:fill="auto"/>
        <w:bidi w:val="0"/>
        <w:spacing w:before="0" w:after="260" w:line="240" w:lineRule="auto"/>
        <w:ind w:left="0" w:right="0" w:firstLine="0"/>
        <w:jc w:val="both"/>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3</w:t>
      </w:r>
      <w:bookmarkEnd w:id="652"/>
      <w:r>
        <w:rPr>
          <w:color w:val="000000"/>
          <w:spacing w:val="0"/>
          <w:w w:val="100"/>
          <w:position w:val="0"/>
        </w:rPr>
        <w:t>、独立董事履行职责的其他说明</w:t>
      </w:r>
      <w:bookmarkEnd w:id="650"/>
      <w:bookmarkEnd w:id="651"/>
      <w:bookmarkEnd w:id="653"/>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独立董事对公司有关建议是否被采纳</w:t>
      </w:r>
    </w:p>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独立董事对公司有关建议被采纳或未被采纳的说明</w:t>
      </w:r>
    </w:p>
    <w:p>
      <w:pPr>
        <w:pStyle w:val="Style21"/>
        <w:keepNext w:val="0"/>
        <w:keepLines w:val="0"/>
        <w:widowControl w:val="0"/>
        <w:shd w:val="clear" w:color="auto" w:fill="auto"/>
        <w:bidi w:val="0"/>
        <w:spacing w:before="0" w:after="300" w:line="317" w:lineRule="exact"/>
        <w:ind w:left="0" w:right="0" w:firstLine="0"/>
        <w:jc w:val="both"/>
      </w:pPr>
      <w:r>
        <w:rPr>
          <w:color w:val="000000"/>
          <w:spacing w:val="0"/>
          <w:w w:val="100"/>
          <w:position w:val="0"/>
        </w:rPr>
        <w:t>公司独立董事积极关注和了解公司运作情况，在公司治理、预算管理、高层人员提名选聘等事项均提出建议。公司管理层积 极听取建议，并结合公司治理实际推动制度优化。</w:t>
      </w:r>
    </w:p>
    <w:p>
      <w:pPr>
        <w:pStyle w:val="Style30"/>
        <w:keepNext/>
        <w:keepLines/>
        <w:widowControl w:val="0"/>
        <w:shd w:val="clear" w:color="auto" w:fill="auto"/>
        <w:bidi w:val="0"/>
        <w:spacing w:before="0" w:after="260" w:line="240" w:lineRule="auto"/>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六</w:t>
      </w:r>
      <w:bookmarkEnd w:id="656"/>
      <w:r>
        <w:rPr>
          <w:color w:val="000000"/>
          <w:spacing w:val="0"/>
          <w:w w:val="100"/>
          <w:position w:val="0"/>
        </w:rPr>
        <w:t>、董事会下设专门委员会在报告期内履行职责情况</w:t>
      </w:r>
      <w:bookmarkEnd w:id="654"/>
      <w:bookmarkEnd w:id="655"/>
      <w:bookmarkEnd w:id="657"/>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公司董事会下设战略委员会、提名委员会、薪酬与考核委员会、审计委员会和市场与技术委员会共五个专门委员会。</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报告期内，公司董事会各专门委员会根据相关规章制度，在工作中尽职尽责，严格按照《公司章程》《公司董事会议事规则》 和董事会各专门委员会议事规则的有关规定开展工作，切实履行了其职责和义务。报告期内，提名委员会共召开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次会议， 审核议题共计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项；薪酬与考核委员会共召开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次会议，审核议题共计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项；审计委员会共召开</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次会议，审核议题共计</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项; 战略委员会和市场与技术委员会未召开会议。</w:t>
      </w:r>
    </w:p>
    <w:p>
      <w:pPr>
        <w:pStyle w:val="Style21"/>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公司各专门委员会结合议案特点，在预算管理、高层人员提名及选聘等事项提出有关建议。公司管理层积极听取建议，并结 合公司治理实际推动制度优化。</w:t>
      </w:r>
    </w:p>
    <w:p>
      <w:pPr>
        <w:pStyle w:val="Style30"/>
        <w:keepNext/>
        <w:keepLines/>
        <w:widowControl w:val="0"/>
        <w:shd w:val="clear" w:color="auto" w:fill="auto"/>
        <w:bidi w:val="0"/>
        <w:spacing w:before="0" w:line="240" w:lineRule="auto"/>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七</w:t>
      </w:r>
      <w:bookmarkEnd w:id="660"/>
      <w:r>
        <w:rPr>
          <w:color w:val="000000"/>
          <w:spacing w:val="0"/>
          <w:w w:val="100"/>
          <w:position w:val="0"/>
        </w:rPr>
        <w:t>、监事会工作情况</w:t>
      </w:r>
      <w:bookmarkEnd w:id="658"/>
      <w:bookmarkEnd w:id="659"/>
      <w:bookmarkEnd w:id="66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公司监事会对报告期内的监督事项无异议。</w:t>
      </w:r>
    </w:p>
    <w:p>
      <w:pPr>
        <w:pStyle w:val="Style30"/>
        <w:keepNext/>
        <w:keepLines/>
        <w:widowControl w:val="0"/>
        <w:shd w:val="clear" w:color="auto" w:fill="auto"/>
        <w:bidi w:val="0"/>
        <w:spacing w:before="0" w:after="26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八</w:t>
      </w:r>
      <w:bookmarkEnd w:id="664"/>
      <w:r>
        <w:rPr>
          <w:color w:val="000000"/>
          <w:spacing w:val="0"/>
          <w:w w:val="100"/>
          <w:position w:val="0"/>
        </w:rPr>
        <w:t>、高级管理人员的考评及激励情况</w:t>
      </w:r>
      <w:bookmarkEnd w:id="662"/>
      <w:bookmarkEnd w:id="663"/>
      <w:bookmarkEnd w:id="665"/>
    </w:p>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高级管理人员的考评参照公司于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年制定并通过股东大会审议的《董事、监事和高级管理人员薪酬考核管理办法》执行: 公司高级管理人员实行年薪制，年薪水平与其承担的责任、风险和公司经营业绩挂钩。公司高级管理人员的年度目标的制订 及考核由公司董事会薪酬与考核委员会实施，并报公司董事会审议。</w:t>
      </w:r>
    </w:p>
    <w:p>
      <w:pPr>
        <w:pStyle w:val="Style21"/>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同时，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年公司通过市场化选聘方式聘任新一届经理层，通过探索推动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职业经理人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制度，进一步完善董事、监事和高级 管理人员的激励与约束机制，充分调动公司董事、监事和高级管理人员的工作积极性和创造性，促进公司战略规划的实施, 提升公司的经营管理效益。</w:t>
      </w:r>
    </w:p>
    <w:p>
      <w:pPr>
        <w:pStyle w:val="Style30"/>
        <w:keepNext/>
        <w:keepLines/>
        <w:widowControl w:val="0"/>
        <w:shd w:val="clear" w:color="auto" w:fill="auto"/>
        <w:bidi w:val="0"/>
        <w:spacing w:before="0" w:line="240" w:lineRule="auto"/>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九</w:t>
      </w:r>
      <w:bookmarkEnd w:id="668"/>
      <w:r>
        <w:rPr>
          <w:color w:val="000000"/>
          <w:spacing w:val="0"/>
          <w:w w:val="100"/>
          <w:position w:val="0"/>
        </w:rPr>
        <w:t>、内部控制评价报告</w:t>
      </w:r>
      <w:bookmarkEnd w:id="666"/>
      <w:bookmarkEnd w:id="667"/>
      <w:bookmarkEnd w:id="669"/>
    </w:p>
    <w:p>
      <w:pPr>
        <w:pStyle w:val="Style34"/>
        <w:keepNext/>
        <w:keepLines/>
        <w:widowControl w:val="0"/>
        <w:shd w:val="clear" w:color="auto" w:fill="auto"/>
        <w:bidi w:val="0"/>
        <w:spacing w:before="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、报告期内发现的内部控制重大缺陷的具体情况</w:t>
      </w:r>
      <w:bookmarkEnd w:id="670"/>
      <w:bookmarkEnd w:id="671"/>
      <w:bookmarkEnd w:id="673"/>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left"/>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、内控自我评价报告</w:t>
      </w:r>
      <w:bookmarkEnd w:id="674"/>
      <w:bookmarkEnd w:id="675"/>
      <w:bookmarkEnd w:id="677"/>
    </w:p>
    <w:tbl>
      <w:tblPr>
        <w:tblOverlap w:val="never"/>
        <w:jc w:val="left"/>
        <w:tblLayout w:type="fixed"/>
      </w:tblPr>
      <w:tblGrid>
        <w:gridCol w:w="2808"/>
        <w:gridCol w:w="677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纳入评价范围单位资产总额占公司 合并财务报表资产总额的比例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纳入评价范围单位营业收入占公司 合并财务报表营业收入的比例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0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tabs>
                <w:tab w:pos="3288" w:val="left"/>
              </w:tabs>
              <w:bidi w:val="0"/>
              <w:spacing w:before="0" w:after="0" w:line="240" w:lineRule="auto"/>
              <w:ind w:left="0" w:right="0" w:firstLine="0"/>
              <w:jc w:val="center"/>
            </w:pPr>
            <w:r>
              <w:rPr>
                <w:color w:val="000000"/>
                <w:spacing w:val="0"/>
                <w:w w:val="100"/>
                <w:position w:val="0"/>
              </w:rPr>
              <w:t>财务报告</w:t>
              <w:tab/>
              <w:t>非财务报告</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定性标准</w:t>
            </w:r>
          </w:p>
        </w:tc>
        <w:tc>
          <w:tcPr>
            <w:tcBorders>
              <w:top w:val="single" w:sz="4"/>
              <w:lef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财务报告缺陷定性标准认定，主要以缺陷造成财务报告错报的影响程度、发生的可能性作判定: </w:t>
      </w:r>
      <w:bookmarkStart w:id="678" w:name="bookmark678"/>
      <w:r>
        <w:rPr>
          <w:color w:val="000000"/>
          <w:spacing w:val="0"/>
          <w:w w:val="100"/>
          <w:position w:val="0"/>
        </w:rPr>
        <w:t>（</w:t>
      </w:r>
      <w:bookmarkEnd w:id="6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）重大缺陷：内部控制中存在的、可能导致不能及时防止或发现并纠正财务报表重大错报的一个或多个内部控制缺陷的 组合； </w:t>
      </w:r>
      <w:bookmarkStart w:id="679" w:name="bookmark679"/>
      <w:r>
        <w:rPr>
          <w:color w:val="000000"/>
          <w:spacing w:val="0"/>
          <w:w w:val="100"/>
          <w:position w:val="0"/>
        </w:rPr>
        <w:t>（</w:t>
      </w:r>
      <w:bookmarkEnd w:id="6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）重要缺陷：内部控制中存在的、其严重程度不如重大缺陷，但仍足以引起企业财务报告监督人员关注的一个或多个内 部控制缺陷的组合；</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bookmarkStart w:id="680" w:name="bookmark680"/>
      <w:r>
        <w:rPr>
          <w:color w:val="000000"/>
          <w:spacing w:val="0"/>
          <w:w w:val="100"/>
          <w:position w:val="0"/>
        </w:rPr>
        <w:t>（</w:t>
      </w:r>
      <w:bookmarkEnd w:id="6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）一般缺陷：是指除重大缺陷、重要缺陷</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之外的其他缺陷。</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非财务报告缺陷定性标准认定，主要以缺陷对业务流程有效性的影响程度、发生的可能性作判定：</w:t>
      </w:r>
    </w:p>
    <w:p>
      <w:pPr>
        <w:pStyle w:val="Style21"/>
        <w:keepNext w:val="0"/>
        <w:keepLines w:val="0"/>
        <w:widowControl w:val="0"/>
        <w:shd w:val="clear" w:color="auto" w:fill="auto"/>
        <w:tabs>
          <w:tab w:pos="445" w:val="left"/>
        </w:tabs>
        <w:bidi w:val="0"/>
        <w:spacing w:before="0" w:after="0" w:line="326" w:lineRule="exact"/>
        <w:ind w:left="0" w:right="0" w:firstLine="0"/>
        <w:jc w:val="left"/>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重大缺陷：是指一个或多个内部控制缺陷的组合，可能导致公司严重偏离整体控制目标的情形；</w:t>
      </w:r>
    </w:p>
    <w:p>
      <w:pPr>
        <w:pStyle w:val="Style21"/>
        <w:keepNext w:val="0"/>
        <w:keepLines w:val="0"/>
        <w:widowControl w:val="0"/>
        <w:shd w:val="clear" w:color="auto" w:fill="auto"/>
        <w:tabs>
          <w:tab w:pos="541" w:val="left"/>
        </w:tabs>
        <w:bidi w:val="0"/>
        <w:spacing w:before="0" w:after="80" w:line="326" w:lineRule="exact"/>
        <w:ind w:left="0" w:right="0" w:firstLine="0"/>
        <w:jc w:val="left"/>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重要缺陷：是指一个或多个内部控制缺陷的组合，其严重程度和经济后果低于重大缺陷，但仍有可能导致公司偏离控 制目标；</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45" w:val="left"/>
        </w:tabs>
        <w:bidi w:val="0"/>
        <w:spacing w:before="0" w:after="0" w:line="312" w:lineRule="exact"/>
        <w:ind w:left="0" w:right="0" w:firstLine="0"/>
        <w:jc w:val="left"/>
      </w:pPr>
      <w:bookmarkStart w:id="683" w:name="bookmark683"/>
      <w:r>
        <w:rPr>
          <w:color w:val="000000"/>
          <w:spacing w:val="0"/>
          <w:w w:val="100"/>
          <w:position w:val="0"/>
          <w:shd w:val="clear" w:color="auto" w:fill="FFFFFF"/>
        </w:rPr>
        <w:t>（</w:t>
      </w:r>
      <w:bookmarkEnd w:id="683"/>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w:t>
      </w:r>
      <w:r>
        <w:rPr>
          <w:color w:val="000000"/>
          <w:spacing w:val="0"/>
          <w:w w:val="100"/>
          <w:position w:val="0"/>
        </w:rPr>
        <w:tab/>
        <w:t>一般缺陷：是指除重大缺陷、重</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left"/>
      </w:pPr>
      <w:r>
        <w:rPr>
          <w:color w:val="000000"/>
          <w:spacing w:val="0"/>
          <w:w w:val="100"/>
          <w:position w:val="0"/>
        </w:rPr>
        <w:t>要缺陷之外的其他缺陷。</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2" w:lineRule="exact"/>
        <w:ind w:left="0" w:right="0" w:firstLine="0"/>
        <w:jc w:val="both"/>
      </w:pPr>
      <w:r>
        <w:rPr>
          <w:color w:val="000000"/>
          <w:spacing w:val="0"/>
          <w:w w:val="100"/>
          <w:position w:val="0"/>
        </w:rPr>
        <w:t>定量标准</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以合并报表数据为基准，确定公司合并报表错报（包括漏报）重要程度的定量标准：</w:t>
      </w:r>
    </w:p>
    <w:p>
      <w:pPr>
        <w:pStyle w:val="Style21"/>
        <w:keepNext w:val="0"/>
        <w:keepLines w:val="0"/>
        <w:widowControl w:val="0"/>
        <w:shd w:val="clear" w:color="auto" w:fill="auto"/>
        <w:tabs>
          <w:tab w:pos="445" w:val="left"/>
        </w:tabs>
        <w:bidi w:val="0"/>
        <w:spacing w:before="0" w:after="0" w:line="312" w:lineRule="exact"/>
        <w:ind w:left="0" w:right="0" w:firstLine="0"/>
        <w:jc w:val="both"/>
      </w:pPr>
      <w:bookmarkStart w:id="684" w:name="bookmark684"/>
      <w:r>
        <w:rPr>
          <w:color w:val="000000"/>
          <w:spacing w:val="0"/>
          <w:w w:val="100"/>
          <w:position w:val="0"/>
        </w:rPr>
        <w:t>（</w:t>
      </w:r>
      <w:bookmarkEnd w:id="6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重大缺陷：资产总额潜在错漏大于资产总额的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万元（含）；收入潜在错漏大于收入总额的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 （含）；利润总额潜在错漏大于利润总额的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w:t>
      </w:r>
    </w:p>
    <w:p>
      <w:pPr>
        <w:pStyle w:val="Style21"/>
        <w:keepNext w:val="0"/>
        <w:keepLines w:val="0"/>
        <w:widowControl w:val="0"/>
        <w:shd w:val="clear" w:color="auto" w:fill="auto"/>
        <w:bidi w:val="0"/>
        <w:spacing w:before="0" w:after="80" w:line="312" w:lineRule="exact"/>
        <w:ind w:left="0" w:right="0" w:firstLine="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重要缺陷：资产总额潜在错漏大于资产总额的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万元（含）且小于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万元；收入潜在错漏大于收入 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万元（含）且小于</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万元；利润总额潜在错漏大于利润总额的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万元（含）且小于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或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41" w:val="left"/>
        </w:tabs>
        <w:bidi w:val="0"/>
        <w:spacing w:before="0" w:after="200" w:line="312" w:lineRule="exact"/>
        <w:ind w:left="0" w:right="0" w:firstLine="0"/>
        <w:jc w:val="both"/>
      </w:pPr>
      <w:bookmarkStart w:id="686" w:name="bookmark686"/>
      <w:r>
        <w:rPr>
          <w:color w:val="000000"/>
          <w:spacing w:val="0"/>
          <w:w w:val="100"/>
          <w:position w:val="0"/>
          <w:shd w:val="clear" w:color="auto" w:fill="FFFFFF"/>
        </w:rPr>
        <w:t>（</w:t>
      </w:r>
      <w:bookmarkEnd w:id="686"/>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w:t>
      </w:r>
      <w:r>
        <w:rPr>
          <w:color w:val="000000"/>
          <w:spacing w:val="0"/>
          <w:w w:val="100"/>
          <w:position w:val="0"/>
        </w:rPr>
        <w:tab/>
        <w:t>一般缺陷：资产总额潜在错漏小于资产 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400</w:t>
      </w:r>
      <w:r>
        <w:rPr>
          <w:color w:val="000000"/>
          <w:spacing w:val="0"/>
          <w:w w:val="100"/>
          <w:position w:val="0"/>
        </w:rPr>
        <w:t>万元；收入潜在错漏小于收 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万元；利润总额潜在错漏小 于利润总额的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以给公司造成的直接损失金额及重大影响程度为基准，确定公司缺陷重要程度的定量标准:</w:t>
      </w:r>
    </w:p>
    <w:p>
      <w:pPr>
        <w:pStyle w:val="Style21"/>
        <w:keepNext w:val="0"/>
        <w:keepLines w:val="0"/>
        <w:widowControl w:val="0"/>
        <w:shd w:val="clear" w:color="auto" w:fill="auto"/>
        <w:bidi w:val="0"/>
        <w:spacing w:before="0" w:after="140" w:line="240" w:lineRule="auto"/>
        <w:ind w:left="0" w:right="0" w:firstLine="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重大缺陷：直接财产损失</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万元（含）以上；</w:t>
      </w:r>
    </w:p>
    <w:p>
      <w:pPr>
        <w:pStyle w:val="Style21"/>
        <w:keepNext w:val="0"/>
        <w:keepLines w:val="0"/>
        <w:widowControl w:val="0"/>
        <w:shd w:val="clear" w:color="auto" w:fill="auto"/>
        <w:bidi w:val="0"/>
        <w:spacing w:before="0" w:after="80" w:line="240" w:lineRule="auto"/>
        <w:ind w:left="0" w:right="0" w:firstLine="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重要缺陷：直接财产损失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万元（含）至</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tbl>
      <w:tblPr>
        <w:tblOverlap w:val="never"/>
        <w:jc w:val="left"/>
        <w:tblLayout w:type="fixed"/>
      </w:tblPr>
      <w:tblGrid>
        <w:gridCol w:w="3058"/>
        <w:gridCol w:w="6778"/>
      </w:tblGrid>
      <w:tr>
        <w:trPr>
          <w:trHeight w:val="720" w:hRule="exact"/>
        </w:trPr>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一般缺陷：直接财产损失</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 元以下。</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679" w:line="1" w:lineRule="exact"/>
      </w:pPr>
    </w:p>
    <w:p>
      <w:pPr>
        <w:pStyle w:val="Style30"/>
        <w:keepNext/>
        <w:keepLines/>
        <w:widowControl w:val="0"/>
        <w:shd w:val="clear" w:color="auto" w:fill="auto"/>
        <w:bidi w:val="0"/>
        <w:spacing w:before="0" w:after="380" w:line="240" w:lineRule="auto"/>
        <w:ind w:left="0" w:right="0" w:firstLine="0"/>
        <w:jc w:val="left"/>
      </w:pPr>
      <w:bookmarkStart w:id="689" w:name="bookmark689"/>
      <w:bookmarkStart w:id="690" w:name="bookmark690"/>
      <w:bookmarkStart w:id="691" w:name="bookmark691"/>
      <w:r>
        <w:rPr>
          <w:color w:val="000000"/>
          <w:spacing w:val="0"/>
          <w:w w:val="100"/>
          <w:position w:val="0"/>
        </w:rPr>
        <w:t>十、内部控制审计报告或鉴证报告</w:t>
      </w:r>
      <w:bookmarkEnd w:id="689"/>
      <w:bookmarkEnd w:id="690"/>
      <w:bookmarkEnd w:id="691"/>
    </w:p>
    <w:p>
      <w:pPr>
        <w:pStyle w:val="Style21"/>
        <w:keepNext w:val="0"/>
        <w:keepLines w:val="0"/>
        <w:widowControl w:val="0"/>
        <w:shd w:val="clear" w:color="auto" w:fill="auto"/>
        <w:bidi w:val="0"/>
        <w:spacing w:before="0" w:after="80" w:line="240" w:lineRule="auto"/>
        <w:ind w:left="0" w:right="0" w:firstLine="0"/>
        <w:jc w:val="left"/>
        <w:sectPr>
          <w:headerReference w:type="default" r:id="rId145"/>
          <w:footerReference w:type="default" r:id="rId146"/>
          <w:headerReference w:type="even" r:id="rId147"/>
          <w:footerReference w:type="even" r:id="rId148"/>
          <w:headerReference w:type="first" r:id="rId149"/>
          <w:footerReference w:type="first" r:id="rId150"/>
          <w:footnotePr>
            <w:pos w:val="pageBottom"/>
            <w:numFmt w:val="decimal"/>
            <w:numRestart w:val="continuous"/>
          </w:footnotePr>
          <w:pgSz w:w="11900" w:h="16840"/>
          <w:pgMar w:top="1376" w:right="24" w:bottom="1262" w:left="1086" w:header="0" w:footer="3" w:gutter="0"/>
          <w:cols w:space="720"/>
          <w:noEndnote/>
          <w:titlePg/>
          <w:rtlGutter w:val="0"/>
          <w:docGrid w:linePitch="360"/>
        </w:sectPr>
      </w:pPr>
      <w:r>
        <w:rPr>
          <w:color w:val="000000"/>
          <w:spacing w:val="0"/>
          <w:w w:val="100"/>
          <w:position w:val="0"/>
        </w:rPr>
        <w:t>不适用</w:t>
      </w:r>
    </w:p>
    <w:p>
      <w:pPr>
        <w:pStyle w:val="Style8"/>
        <w:keepNext/>
        <w:keepLines/>
        <w:widowControl w:val="0"/>
        <w:shd w:val="clear" w:color="auto" w:fill="auto"/>
        <w:bidi w:val="0"/>
        <w:spacing w:before="0" w:after="600" w:line="240" w:lineRule="auto"/>
        <w:ind w:left="0" w:right="0" w:firstLine="0"/>
        <w:jc w:val="center"/>
      </w:pPr>
      <w:bookmarkStart w:id="692" w:name="bookmark692"/>
      <w:bookmarkStart w:id="693" w:name="bookmark693"/>
      <w:bookmarkStart w:id="694" w:name="bookmark694"/>
      <w:r>
        <w:rPr>
          <w:color w:val="000000"/>
          <w:spacing w:val="0"/>
          <w:w w:val="100"/>
          <w:position w:val="0"/>
        </w:rPr>
        <w:t>第十一节公司债券相关情况</w:t>
      </w:r>
      <w:bookmarkEnd w:id="692"/>
      <w:bookmarkEnd w:id="693"/>
      <w:bookmarkEnd w:id="694"/>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1"/>
        <w:keepNext w:val="0"/>
        <w:keepLines w:val="0"/>
        <w:widowControl w:val="0"/>
        <w:shd w:val="clear" w:color="auto" w:fill="auto"/>
        <w:bidi w:val="0"/>
        <w:spacing w:before="0" w:after="360" w:line="240" w:lineRule="auto"/>
        <w:ind w:left="0" w:right="0" w:firstLine="0"/>
        <w:jc w:val="left"/>
        <w:sectPr>
          <w:headerReference w:type="default" r:id="rId151"/>
          <w:footerReference w:type="default" r:id="rId152"/>
          <w:headerReference w:type="even" r:id="rId153"/>
          <w:footerReference w:type="even" r:id="rId154"/>
          <w:footnotePr>
            <w:pos w:val="pageBottom"/>
            <w:numFmt w:val="decimal"/>
            <w:numRestart w:val="continuous"/>
          </w:footnotePr>
          <w:type w:val="continuous"/>
          <w:pgSz w:w="11900" w:h="16840"/>
          <w:pgMar w:top="1376" w:right="24" w:bottom="1262" w:left="1086"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0" w:after="480" w:line="240" w:lineRule="auto"/>
        <w:ind w:left="0" w:right="0" w:firstLine="240"/>
        <w:jc w:val="left"/>
      </w:pPr>
      <w:bookmarkStart w:id="695" w:name="bookmark695"/>
      <w:bookmarkStart w:id="696" w:name="bookmark696"/>
      <w:bookmarkStart w:id="697" w:name="bookmark697"/>
      <w:bookmarkStart w:id="698" w:name="bookmark698"/>
      <w:r>
        <w:rPr>
          <w:spacing w:val="0"/>
          <w:w w:val="100"/>
          <w:position w:val="0"/>
        </w:rPr>
        <w:t>iBR</w:t>
      </w:r>
      <w:bookmarkEnd w:id="696"/>
      <w:bookmarkEnd w:id="697"/>
      <w:bookmarkEnd w:id="698"/>
      <w:bookmarkEnd w:id="695"/>
    </w:p>
    <w:p>
      <w:pPr>
        <w:pStyle w:val="Style8"/>
        <w:keepNext/>
        <w:keepLines/>
        <w:widowControl w:val="0"/>
        <w:shd w:val="clear" w:color="auto" w:fill="auto"/>
        <w:bidi w:val="0"/>
        <w:spacing w:before="0" w:after="580" w:line="240" w:lineRule="auto"/>
        <w:ind w:left="0" w:right="0" w:firstLine="0"/>
        <w:jc w:val="center"/>
      </w:pPr>
      <w:bookmarkStart w:id="699" w:name="bookmark699"/>
      <w:bookmarkStart w:id="700" w:name="bookmark700"/>
      <w:bookmarkStart w:id="701" w:name="bookmark701"/>
      <w:r>
        <w:rPr>
          <w:color w:val="000000"/>
          <w:spacing w:val="0"/>
          <w:w w:val="100"/>
          <w:position w:val="0"/>
        </w:rPr>
        <w:t>第十二节财务报告</w:t>
      </w:r>
      <w:bookmarkEnd w:id="699"/>
      <w:bookmarkEnd w:id="700"/>
      <w:bookmarkEnd w:id="701"/>
    </w:p>
    <w:p>
      <w:pPr>
        <w:pStyle w:val="Style30"/>
        <w:keepNext/>
        <w:keepLines/>
        <w:widowControl w:val="0"/>
        <w:shd w:val="clear" w:color="auto" w:fill="auto"/>
        <w:bidi w:val="0"/>
        <w:spacing w:before="0" w:after="340" w:line="240" w:lineRule="auto"/>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一</w:t>
      </w:r>
      <w:bookmarkEnd w:id="704"/>
      <w:r>
        <w:rPr>
          <w:color w:val="000000"/>
          <w:spacing w:val="0"/>
          <w:w w:val="100"/>
          <w:position w:val="0"/>
        </w:rPr>
        <w:t>、审计报告</w:t>
      </w:r>
      <w:bookmarkEnd w:id="702"/>
      <w:bookmarkEnd w:id="703"/>
      <w:bookmarkEnd w:id="705"/>
    </w:p>
    <w:tbl>
      <w:tblPr>
        <w:tblOverlap w:val="never"/>
        <w:jc w:val="left"/>
        <w:tblLayout w:type="fixed"/>
      </w:tblPr>
      <w:tblGrid>
        <w:gridCol w:w="3096"/>
        <w:gridCol w:w="649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2102232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陈泳意、刘琬婷</w:t>
            </w:r>
          </w:p>
        </w:tc>
      </w:tr>
    </w:tbl>
    <w:p>
      <w:pPr>
        <w:pStyle w:val="Style37"/>
        <w:keepNext w:val="0"/>
        <w:keepLines w:val="0"/>
        <w:widowControl w:val="0"/>
        <w:shd w:val="clear" w:color="auto" w:fill="auto"/>
        <w:bidi w:val="0"/>
        <w:spacing w:before="0" w:after="140" w:line="240" w:lineRule="auto"/>
        <w:ind w:left="4234" w:right="0" w:firstLine="0"/>
        <w:jc w:val="left"/>
      </w:pPr>
      <w:r>
        <w:rPr>
          <w:color w:val="000000"/>
          <w:spacing w:val="0"/>
          <w:w w:val="100"/>
          <w:position w:val="0"/>
        </w:rPr>
        <w:t>审计报告正文</w:t>
      </w:r>
    </w:p>
    <w:p>
      <w:pPr>
        <w:pStyle w:val="Style37"/>
        <w:keepNext w:val="0"/>
        <w:keepLines w:val="0"/>
        <w:widowControl w:val="0"/>
        <w:shd w:val="clear" w:color="auto" w:fill="auto"/>
        <w:bidi w:val="0"/>
        <w:spacing w:before="0" w:after="0" w:line="240" w:lineRule="auto"/>
        <w:ind w:left="4234" w:right="0" w:firstLine="0"/>
        <w:jc w:val="left"/>
      </w:pPr>
      <w:r>
        <w:rPr>
          <w:b/>
          <w:bCs/>
          <w:color w:val="000000"/>
          <w:spacing w:val="0"/>
          <w:w w:val="100"/>
          <w:position w:val="0"/>
        </w:rPr>
        <w:t>一、审计报告</w:t>
      </w:r>
    </w:p>
    <w:p>
      <w:pPr>
        <w:pStyle w:val="Style21"/>
        <w:keepNext w:val="0"/>
        <w:keepLines w:val="0"/>
        <w:widowControl w:val="0"/>
        <w:shd w:val="clear" w:color="auto" w:fill="auto"/>
        <w:bidi w:val="0"/>
        <w:spacing w:before="0" w:after="120" w:line="634" w:lineRule="exact"/>
        <w:ind w:left="0" w:right="0" w:firstLine="7420"/>
        <w:jc w:val="both"/>
      </w:pPr>
      <w:r>
        <w:rPr>
          <w:color w:val="000000"/>
          <w:spacing w:val="0"/>
          <w:w w:val="100"/>
          <w:position w:val="0"/>
        </w:rPr>
        <w:t>毕马威华振审字第</w:t>
      </w:r>
      <w:r>
        <w:rPr>
          <w:rFonts w:ascii="Times New Roman" w:eastAsia="Times New Roman" w:hAnsi="Times New Roman" w:cs="Times New Roman"/>
          <w:color w:val="000000"/>
          <w:spacing w:val="0"/>
          <w:w w:val="100"/>
          <w:position w:val="0"/>
          <w:sz w:val="18"/>
          <w:szCs w:val="18"/>
        </w:rPr>
        <w:t>2102232</w:t>
      </w:r>
      <w:r>
        <w:rPr>
          <w:color w:val="000000"/>
          <w:spacing w:val="0"/>
          <w:w w:val="100"/>
          <w:position w:val="0"/>
        </w:rPr>
        <w:t>号 深圳市建筑科学研究院股份有限公司全体股东：</w:t>
      </w:r>
    </w:p>
    <w:p>
      <w:pPr>
        <w:pStyle w:val="Style21"/>
        <w:keepNext w:val="0"/>
        <w:keepLines w:val="0"/>
        <w:widowControl w:val="0"/>
        <w:shd w:val="clear" w:color="auto" w:fill="auto"/>
        <w:tabs>
          <w:tab w:pos="920" w:val="left"/>
        </w:tabs>
        <w:bidi w:val="0"/>
        <w:spacing w:before="0" w:after="0" w:line="240" w:lineRule="auto"/>
        <w:ind w:left="0" w:right="0" w:firstLine="480"/>
        <w:jc w:val="both"/>
      </w:pPr>
      <w:bookmarkStart w:id="706" w:name="bookmark706"/>
      <w:r>
        <w:rPr>
          <w:b/>
          <w:bCs/>
          <w:color w:val="000000"/>
          <w:spacing w:val="0"/>
          <w:w w:val="100"/>
          <w:position w:val="0"/>
        </w:rPr>
        <w:t>一</w:t>
      </w:r>
      <w:bookmarkEnd w:id="706"/>
      <w:r>
        <w:rPr>
          <w:b/>
          <w:bCs/>
          <w:color w:val="000000"/>
          <w:spacing w:val="0"/>
          <w:w w:val="100"/>
          <w:position w:val="0"/>
        </w:rPr>
        <w:t>、</w:t>
        <w:tab/>
        <w:t>审计意见</w:t>
      </w:r>
    </w:p>
    <w:p>
      <w:pPr>
        <w:pStyle w:val="Style21"/>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我们审计了后附的深圳市建筑科学研究院股份有限公司（以下简称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建科院集团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合并及母公司资产负债表，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 相关财务报表附注。</w:t>
      </w:r>
    </w:p>
    <w:p>
      <w:pPr>
        <w:pStyle w:val="Style21"/>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我们认为，后附的财务报表在所有重大方面按照中华人民共和国财政部颁布的企业会计准则（以下简称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 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）的规定编制，公允反映了建科院集团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 和现金流量。</w:t>
      </w:r>
    </w:p>
    <w:p>
      <w:pPr>
        <w:pStyle w:val="Style21"/>
        <w:keepNext w:val="0"/>
        <w:keepLines w:val="0"/>
        <w:widowControl w:val="0"/>
        <w:shd w:val="clear" w:color="auto" w:fill="auto"/>
        <w:tabs>
          <w:tab w:pos="920" w:val="left"/>
        </w:tabs>
        <w:bidi w:val="0"/>
        <w:spacing w:before="0" w:after="0" w:line="240" w:lineRule="auto"/>
        <w:ind w:left="0" w:right="0" w:firstLine="480"/>
        <w:jc w:val="both"/>
      </w:pPr>
      <w:bookmarkStart w:id="707" w:name="bookmark707"/>
      <w:r>
        <w:rPr>
          <w:b/>
          <w:bCs/>
          <w:color w:val="000000"/>
          <w:spacing w:val="0"/>
          <w:w w:val="100"/>
          <w:position w:val="0"/>
        </w:rPr>
        <w:t>二</w:t>
      </w:r>
      <w:bookmarkEnd w:id="707"/>
      <w:r>
        <w:rPr>
          <w:b/>
          <w:bCs/>
          <w:color w:val="000000"/>
          <w:spacing w:val="0"/>
          <w:w w:val="100"/>
          <w:position w:val="0"/>
        </w:rPr>
        <w:t>、</w:t>
        <w:tab/>
        <w:t>形成审计意见的基础</w:t>
      </w:r>
    </w:p>
    <w:p>
      <w:pPr>
        <w:pStyle w:val="Style21"/>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我们按照中国注册会计师审计准则（以下简称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 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部分进一步阐述了我们在这些准则下的责任。按照中国注册会计师职业道德守则，我们独立于建科院集团， 并履行了职业道德方面的其他责任。我们相信，我们获取的审计证据是充分、适当的，为发表审计意见提供了基础。</w:t>
      </w:r>
    </w:p>
    <w:p>
      <w:pPr>
        <w:pStyle w:val="Style21"/>
        <w:keepNext w:val="0"/>
        <w:keepLines w:val="0"/>
        <w:widowControl w:val="0"/>
        <w:shd w:val="clear" w:color="auto" w:fill="auto"/>
        <w:tabs>
          <w:tab w:pos="925" w:val="left"/>
        </w:tabs>
        <w:bidi w:val="0"/>
        <w:spacing w:before="0" w:after="0" w:line="240" w:lineRule="auto"/>
        <w:ind w:left="0" w:right="0" w:firstLine="480"/>
        <w:jc w:val="both"/>
      </w:pPr>
      <w:bookmarkStart w:id="708" w:name="bookmark708"/>
      <w:r>
        <w:rPr>
          <w:b/>
          <w:bCs/>
          <w:color w:val="000000"/>
          <w:spacing w:val="0"/>
          <w:w w:val="100"/>
          <w:position w:val="0"/>
        </w:rPr>
        <w:t>三</w:t>
      </w:r>
      <w:bookmarkEnd w:id="708"/>
      <w:r>
        <w:rPr>
          <w:b/>
          <w:bCs/>
          <w:color w:val="000000"/>
          <w:spacing w:val="0"/>
          <w:w w:val="100"/>
          <w:position w:val="0"/>
        </w:rPr>
        <w:t>、</w:t>
        <w:tab/>
        <w:t>关键审计事项</w:t>
      </w:r>
    </w:p>
    <w:p>
      <w:pPr>
        <w:pStyle w:val="Style21"/>
        <w:keepNext w:val="0"/>
        <w:keepLines w:val="0"/>
        <w:widowControl w:val="0"/>
        <w:shd w:val="clear" w:color="auto" w:fill="auto"/>
        <w:bidi w:val="0"/>
        <w:spacing w:before="0" w:after="340" w:line="312" w:lineRule="exact"/>
        <w:ind w:left="0" w:right="0" w:firstLine="48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tbl>
      <w:tblPr>
        <w:tblOverlap w:val="never"/>
        <w:jc w:val="left"/>
        <w:tblLayout w:type="fixed"/>
      </w:tblPr>
      <w:tblGrid>
        <w:gridCol w:w="4915"/>
        <w:gridCol w:w="4910"/>
      </w:tblGrid>
      <w:tr>
        <w:trPr>
          <w:trHeight w:val="355"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收入确认</w:t>
            </w:r>
          </w:p>
        </w:tc>
      </w:tr>
      <w:tr>
        <w:trPr>
          <w:trHeight w:val="662"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22" w:lineRule="exact"/>
              <w:ind w:left="0" w:right="0" w:firstLine="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五、公司重要会计政策、会计估计</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所述的会计政策、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十七、母公 司财务报表主要项目注释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在审计中如何应对该事项</w:t>
            </w:r>
          </w:p>
        </w:tc>
      </w:tr>
      <w:tr>
        <w:trPr>
          <w:trHeight w:val="160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98" w:lineRule="exact"/>
              <w:ind w:left="0" w:right="0" w:firstLine="0"/>
              <w:jc w:val="left"/>
            </w:pPr>
            <w:r>
              <w:rPr>
                <w:color w:val="000000"/>
                <w:spacing w:val="0"/>
                <w:w w:val="100"/>
                <w:position w:val="0"/>
              </w:rPr>
              <w:t>建科院集团的主要业务包括建筑设计业务、绿色建筑咨询业务、 生态城市规划业务、</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及项目全过程管理业务及公信业务。</w:t>
            </w:r>
          </w:p>
          <w:p>
            <w:pPr>
              <w:pStyle w:val="Style27"/>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年度，建科院集团确认的营业收入为人民币</w:t>
            </w:r>
            <w:r>
              <w:rPr>
                <w:rFonts w:ascii="Times New Roman" w:eastAsia="Times New Roman" w:hAnsi="Times New Roman" w:cs="Times New Roman"/>
                <w:color w:val="000000"/>
                <w:spacing w:val="0"/>
                <w:w w:val="100"/>
                <w:position w:val="0"/>
                <w:sz w:val="18"/>
                <w:szCs w:val="18"/>
              </w:rPr>
              <w:t>5.06</w:t>
            </w:r>
            <w:r>
              <w:rPr>
                <w:color w:val="000000"/>
                <w:spacing w:val="0"/>
                <w:w w:val="100"/>
                <w:position w:val="0"/>
              </w:rPr>
              <w:t>亿元。</w:t>
            </w:r>
          </w:p>
          <w:p>
            <w:pPr>
              <w:pStyle w:val="Style27"/>
              <w:keepNext w:val="0"/>
              <w:keepLines w:val="0"/>
              <w:widowControl w:val="0"/>
              <w:shd w:val="clear" w:color="auto" w:fill="auto"/>
              <w:bidi w:val="0"/>
              <w:spacing w:before="0" w:after="0" w:line="326"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日起，建科院集团开始执行《企业会计准则第</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号</w:t>
            </w:r>
            <w:r>
              <w:rPr>
                <w:color w:val="000000"/>
                <w:spacing w:val="0"/>
                <w:w w:val="100"/>
                <w:position w:val="0"/>
              </w:rPr>
              <w:t>一</w:t>
            </w:r>
            <w:r>
              <w:rPr>
                <w:color w:val="000000"/>
                <w:spacing w:val="0"/>
                <w:w w:val="100"/>
                <w:position w:val="0"/>
              </w:rPr>
              <w:t>收入（修订）》（以下简称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）。建科院集团</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-与评价收入确认相关的审计程序中包括以下程序：</w:t>
            </w:r>
          </w:p>
          <w:p>
            <w:pPr>
              <w:pStyle w:val="Style27"/>
              <w:keepNext w:val="0"/>
              <w:keepLines w:val="0"/>
              <w:widowControl w:val="0"/>
              <w:shd w:val="clear" w:color="auto" w:fill="auto"/>
              <w:bidi w:val="0"/>
              <w:spacing w:before="0" w:after="0" w:line="310" w:lineRule="exact"/>
              <w:ind w:left="360" w:right="0" w:hanging="360"/>
              <w:jc w:val="left"/>
            </w:pPr>
            <w:r>
              <w:rPr>
                <w:color w:val="000000"/>
                <w:spacing w:val="0"/>
                <w:w w:val="100"/>
                <w:position w:val="0"/>
              </w:rPr>
              <w:t>-了解与收入确认相关的关键财务报告内部控制，并评价其 设计的合理性和运行的有效性；</w:t>
            </w:r>
          </w:p>
          <w:p>
            <w:pPr>
              <w:pStyle w:val="Style27"/>
              <w:keepNext w:val="0"/>
              <w:keepLines w:val="0"/>
              <w:widowControl w:val="0"/>
              <w:shd w:val="clear" w:color="auto" w:fill="auto"/>
              <w:bidi w:val="0"/>
              <w:spacing w:before="0" w:after="0" w:line="310" w:lineRule="exact"/>
              <w:ind w:left="360" w:right="0" w:hanging="360"/>
              <w:jc w:val="left"/>
            </w:pPr>
            <w:r>
              <w:rPr>
                <w:color w:val="000000"/>
                <w:spacing w:val="0"/>
                <w:w w:val="100"/>
                <w:position w:val="0"/>
              </w:rPr>
              <w:t>-选取建科院集团与客户签订的服务合同，检查其主要条款, 评价建科院集团收入确认的会计政策是否符合企业会计准</w:t>
            </w:r>
          </w:p>
        </w:tc>
      </w:tr>
    </w:tbl>
    <w:p>
      <w:pPr>
        <w:sectPr>
          <w:headerReference w:type="default" r:id="rId155"/>
          <w:footerReference w:type="default" r:id="rId156"/>
          <w:headerReference w:type="even" r:id="rId157"/>
          <w:footerReference w:type="even" r:id="rId158"/>
          <w:footnotePr>
            <w:pos w:val="pageBottom"/>
            <w:numFmt w:val="decimal"/>
            <w:numRestart w:val="continuous"/>
          </w:footnotePr>
          <w:pgSz w:w="11900" w:h="16840"/>
          <w:pgMar w:top="1047" w:right="24" w:bottom="1162" w:left="1086" w:header="0" w:footer="3" w:gutter="0"/>
          <w:cols w:space="720"/>
          <w:noEndnote/>
          <w:rtlGutter w:val="0"/>
          <w:docGrid w:linePitch="360"/>
        </w:sectPr>
      </w:pPr>
    </w:p>
    <w:tbl>
      <w:tblPr>
        <w:tblOverlap w:val="never"/>
        <w:jc w:val="center"/>
        <w:tblLayout w:type="fixed"/>
      </w:tblPr>
      <w:tblGrid>
        <w:gridCol w:w="4915"/>
        <w:gridCol w:w="4910"/>
      </w:tblGrid>
      <w:tr>
        <w:trPr>
          <w:trHeight w:val="360"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应收账款和合同资产损失准备</w:t>
            </w:r>
          </w:p>
        </w:tc>
      </w:tr>
      <w:tr>
        <w:trPr>
          <w:trHeight w:val="658" w:hRule="exact"/>
        </w:trPr>
        <w:tc>
          <w:tcPr>
            <w:gridSpan w:val="2"/>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请参阅财务报表附注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五、公司重要会计政策、会计估计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）所述的会计政策、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七、合并财务报表项目注释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十七、 母公司财务报表主要项目注释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在审计中如何应对该事项</w:t>
            </w:r>
          </w:p>
        </w:tc>
      </w:tr>
      <w:tr>
        <w:trPr>
          <w:trHeight w:val="5976" w:hRule="exact"/>
        </w:trPr>
        <w:tc>
          <w:tcPr>
            <w:tcBorders>
              <w:top w:val="single" w:sz="4"/>
              <w:left w:val="single" w:sz="4"/>
              <w:bottom w:val="single" w:sz="4"/>
            </w:tcBorders>
            <w:shd w:val="clear" w:color="auto" w:fill="FFFFFF"/>
            <w:vAlign w:val="top"/>
          </w:tcPr>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日，建科院集团应收账款原值为人民币</w:t>
            </w:r>
            <w:r>
              <w:rPr>
                <w:rFonts w:ascii="Times New Roman" w:eastAsia="Times New Roman" w:hAnsi="Times New Roman" w:cs="Times New Roman"/>
                <w:color w:val="000000"/>
                <w:spacing w:val="0"/>
                <w:w w:val="100"/>
                <w:position w:val="0"/>
                <w:sz w:val="18"/>
                <w:szCs w:val="18"/>
              </w:rPr>
              <w:t>3.95</w:t>
            </w:r>
            <w:r>
              <w:rPr>
                <w:color w:val="000000"/>
                <w:spacing w:val="0"/>
                <w:w w:val="100"/>
                <w:position w:val="0"/>
              </w:rPr>
              <w:t>亿 元，已计提的应收账款坏账准备金额为人民币</w:t>
            </w:r>
            <w:r>
              <w:rPr>
                <w:rFonts w:ascii="Times New Roman" w:eastAsia="Times New Roman" w:hAnsi="Times New Roman" w:cs="Times New Roman"/>
                <w:color w:val="000000"/>
                <w:spacing w:val="0"/>
                <w:w w:val="100"/>
                <w:position w:val="0"/>
                <w:sz w:val="18"/>
                <w:szCs w:val="18"/>
              </w:rPr>
              <w:t>7,246</w:t>
            </w:r>
            <w:r>
              <w:rPr>
                <w:color w:val="000000"/>
                <w:spacing w:val="0"/>
                <w:w w:val="100"/>
                <w:position w:val="0"/>
              </w:rPr>
              <w:t>万元；合同 资产原值为人民币</w:t>
            </w:r>
            <w:r>
              <w:rPr>
                <w:rFonts w:ascii="Times New Roman" w:eastAsia="Times New Roman" w:hAnsi="Times New Roman" w:cs="Times New Roman"/>
                <w:color w:val="000000"/>
                <w:spacing w:val="0"/>
                <w:w w:val="100"/>
                <w:position w:val="0"/>
                <w:sz w:val="18"/>
                <w:szCs w:val="18"/>
              </w:rPr>
              <w:t>7,711</w:t>
            </w:r>
            <w:r>
              <w:rPr>
                <w:color w:val="000000"/>
                <w:spacing w:val="0"/>
                <w:w w:val="100"/>
                <w:position w:val="0"/>
              </w:rPr>
              <w:t>万元，已计提的合同资产减值准备金额 为人民币</w:t>
            </w:r>
            <w:r>
              <w:rPr>
                <w:rFonts w:ascii="Times New Roman" w:eastAsia="Times New Roman" w:hAnsi="Times New Roman" w:cs="Times New Roman"/>
                <w:color w:val="000000"/>
                <w:spacing w:val="0"/>
                <w:w w:val="100"/>
                <w:position w:val="0"/>
                <w:sz w:val="18"/>
                <w:szCs w:val="18"/>
              </w:rPr>
              <w:t>463</w:t>
            </w:r>
            <w:r>
              <w:rPr>
                <w:color w:val="000000"/>
                <w:spacing w:val="0"/>
                <w:w w:val="100"/>
                <w:position w:val="0"/>
              </w:rPr>
              <w:t>万元。</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管理层基于依据信用风险特征划分的每类应收账款和合同资产 的预期信用损失率，按照相当于整个存续期内预期信用损失的 金额计量损失准备。预期信用损失率考虑应收账款和合同资产 的逾期账龄、客户的回收历史、当前市场情况和前瞻性信息。 该评估涉及重大的管理层判断和估计。</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由于应收账款坏账准备及合同资产减值准备的确定涉及重大的 管理层判断，且其存在固有不确定性，我们将应收账款坏账准 备、合同资产减值准备识别为关键审计事项。</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360" w:right="0" w:hanging="360"/>
              <w:jc w:val="both"/>
            </w:pPr>
            <w:r>
              <w:rPr>
                <w:color w:val="000000"/>
                <w:spacing w:val="0"/>
                <w:w w:val="100"/>
                <w:position w:val="0"/>
              </w:rPr>
              <w:t>-与评价应收账款和合同资产损失准备相关的审计程序中包 括以下程序：</w:t>
            </w:r>
          </w:p>
          <w:p>
            <w:pPr>
              <w:pStyle w:val="Style27"/>
              <w:keepNext w:val="0"/>
              <w:keepLines w:val="0"/>
              <w:widowControl w:val="0"/>
              <w:shd w:val="clear" w:color="auto" w:fill="auto"/>
              <w:bidi w:val="0"/>
              <w:spacing w:before="0" w:after="0" w:line="307" w:lineRule="exact"/>
              <w:ind w:left="360" w:right="0" w:hanging="360"/>
              <w:jc w:val="both"/>
            </w:pPr>
            <w:r>
              <w:rPr>
                <w:color w:val="000000"/>
                <w:spacing w:val="0"/>
                <w:w w:val="100"/>
                <w:position w:val="0"/>
              </w:rPr>
              <w:t>-了解与信用风险控制及预期信用损失估计相关的关键财务 报告内部控制，并评价其设计的合理性和运行的有效性；</w:t>
            </w:r>
          </w:p>
          <w:p>
            <w:pPr>
              <w:pStyle w:val="Style27"/>
              <w:keepNext w:val="0"/>
              <w:keepLines w:val="0"/>
              <w:widowControl w:val="0"/>
              <w:shd w:val="clear" w:color="auto" w:fill="auto"/>
              <w:bidi w:val="0"/>
              <w:spacing w:before="0" w:after="0" w:line="307" w:lineRule="exact"/>
              <w:ind w:left="360" w:right="0" w:hanging="360"/>
              <w:jc w:val="both"/>
            </w:pPr>
            <w:r>
              <w:rPr>
                <w:color w:val="000000"/>
                <w:spacing w:val="0"/>
                <w:w w:val="100"/>
                <w:position w:val="0"/>
              </w:rPr>
              <w:t>-评价建科院集团估计信用损失准备的会计政策是否符合相 关会计准则的要求；</w:t>
            </w:r>
          </w:p>
          <w:p>
            <w:pPr>
              <w:pStyle w:val="Style27"/>
              <w:keepNext w:val="0"/>
              <w:keepLines w:val="0"/>
              <w:widowControl w:val="0"/>
              <w:shd w:val="clear" w:color="auto" w:fill="auto"/>
              <w:bidi w:val="0"/>
              <w:spacing w:before="0" w:after="0" w:line="307" w:lineRule="exact"/>
              <w:ind w:left="360" w:right="0" w:hanging="360"/>
              <w:jc w:val="both"/>
            </w:pPr>
            <w:r>
              <w:rPr>
                <w:color w:val="000000"/>
                <w:spacing w:val="0"/>
                <w:w w:val="100"/>
                <w:position w:val="0"/>
              </w:rPr>
              <w:t>-从应收账款和合同资产账龄表中选取测试项目，核对至相 关支持性文件，结合客户信用期政策，评价逾期账龄区间 划分的准确性；</w:t>
            </w:r>
          </w:p>
          <w:p>
            <w:pPr>
              <w:pStyle w:val="Style27"/>
              <w:keepNext w:val="0"/>
              <w:keepLines w:val="0"/>
              <w:widowControl w:val="0"/>
              <w:shd w:val="clear" w:color="auto" w:fill="auto"/>
              <w:bidi w:val="0"/>
              <w:spacing w:before="0" w:after="0" w:line="307" w:lineRule="exact"/>
              <w:ind w:left="360" w:right="0" w:hanging="360"/>
              <w:jc w:val="both"/>
            </w:pPr>
            <w:r>
              <w:rPr>
                <w:color w:val="000000"/>
                <w:spacing w:val="0"/>
                <w:w w:val="100"/>
                <w:position w:val="0"/>
              </w:rPr>
              <w:t>-了解管理层预期信用损失模型中所运用的关键参数及假 设，包括管理层基于客户信用风险特征对应收账款和合同 资产进行分组的基础、以及管理层预期信用损失率中包含 的历史损失数据等；</w:t>
            </w:r>
          </w:p>
          <w:p>
            <w:pPr>
              <w:pStyle w:val="Style27"/>
              <w:keepNext w:val="0"/>
              <w:keepLines w:val="0"/>
              <w:widowControl w:val="0"/>
              <w:shd w:val="clear" w:color="auto" w:fill="auto"/>
              <w:bidi w:val="0"/>
              <w:spacing w:before="0" w:after="0" w:line="307" w:lineRule="exact"/>
              <w:ind w:left="360" w:right="0" w:hanging="360"/>
              <w:jc w:val="both"/>
            </w:pPr>
            <w:r>
              <w:rPr>
                <w:color w:val="000000"/>
                <w:spacing w:val="0"/>
                <w:w w:val="100"/>
                <w:position w:val="0"/>
              </w:rPr>
              <w:t>-通过检查管理层用于作出判断的信息，包括测试历史损失 数据的准确性，评估管理层确定预期信用损失率时是否已 考虑并根据当前市场情况及前瞻性信息对历史损失率进行 调整，评价管理层对于预期信用损失估计的适当性；及</w:t>
            </w:r>
          </w:p>
          <w:p>
            <w:pPr>
              <w:pStyle w:val="Style27"/>
              <w:keepNext w:val="0"/>
              <w:keepLines w:val="0"/>
              <w:widowControl w:val="0"/>
              <w:shd w:val="clear" w:color="auto" w:fill="auto"/>
              <w:bidi w:val="0"/>
              <w:spacing w:before="0" w:after="0" w:line="307" w:lineRule="exact"/>
              <w:ind w:left="360" w:right="0" w:hanging="360"/>
              <w:jc w:val="both"/>
            </w:pPr>
            <w:r>
              <w:rPr>
                <w:color w:val="000000"/>
                <w:spacing w:val="0"/>
                <w:w w:val="100"/>
                <w:position w:val="0"/>
              </w:rPr>
              <w:t>-基于建科院集团的预期信用损失模型重新计算于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日的应收账款和合同资产损失准备金额。</w:t>
            </w:r>
          </w:p>
        </w:tc>
      </w:tr>
    </w:tbl>
    <w:p>
      <w:pPr>
        <w:pStyle w:val="Style37"/>
        <w:keepNext w:val="0"/>
        <w:keepLines w:val="0"/>
        <w:widowControl w:val="0"/>
        <w:shd w:val="clear" w:color="auto" w:fill="auto"/>
        <w:bidi w:val="0"/>
        <w:spacing w:before="0" w:after="100" w:line="240" w:lineRule="auto"/>
        <w:ind w:left="331" w:right="0" w:firstLine="0"/>
        <w:jc w:val="left"/>
      </w:pPr>
      <w:r>
        <w:rPr>
          <w:b/>
          <w:bCs/>
          <w:color w:val="000000"/>
          <w:spacing w:val="0"/>
          <w:w w:val="100"/>
          <w:position w:val="0"/>
        </w:rPr>
        <w:t>四、其他信息</w:t>
      </w:r>
    </w:p>
    <w:p>
      <w:pPr>
        <w:pStyle w:val="Style37"/>
        <w:keepNext w:val="0"/>
        <w:keepLines w:val="0"/>
        <w:widowControl w:val="0"/>
        <w:shd w:val="clear" w:color="auto" w:fill="auto"/>
        <w:bidi w:val="0"/>
        <w:spacing w:before="0" w:after="0" w:line="240" w:lineRule="auto"/>
        <w:ind w:left="331" w:right="0" w:firstLine="0"/>
        <w:jc w:val="left"/>
      </w:pPr>
      <w:r>
        <w:rPr>
          <w:color w:val="000000"/>
          <w:spacing w:val="0"/>
          <w:w w:val="100"/>
          <w:position w:val="0"/>
        </w:rPr>
        <w:t>建科院集团管理层对其他信息负责。其他信息包括建科院集团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w:t>
      </w:r>
    </w:p>
    <w:p>
      <w:pPr>
        <w:widowControl w:val="0"/>
        <w:spacing w:after="99" w:line="1" w:lineRule="exact"/>
      </w:pPr>
    </w:p>
    <w:p>
      <w:pPr>
        <w:widowControl w:val="0"/>
        <w:spacing w:line="1" w:lineRule="exact"/>
      </w:pPr>
      <w:r>
        <w:drawing>
          <wp:anchor distT="0" distB="3386455" distL="0" distR="0" simplePos="0" relativeHeight="125829390" behindDoc="0" locked="0" layoutInCell="1" allowOverlap="1">
            <wp:simplePos x="0" y="0"/>
            <wp:positionH relativeFrom="page">
              <wp:posOffset>685165</wp:posOffset>
            </wp:positionH>
            <wp:positionV relativeFrom="paragraph">
              <wp:posOffset>0</wp:posOffset>
            </wp:positionV>
            <wp:extent cx="737870" cy="359410"/>
            <wp:wrapTopAndBottom/>
            <wp:docPr id="412" name="Shape 412"/>
            <a:graphic xmlns:a="http://schemas.openxmlformats.org/drawingml/2006/main">
              <a:graphicData uri="http://schemas.openxmlformats.org/drawingml/2006/picture">
                <pic:pic xmlns:pic="http://schemas.openxmlformats.org/drawingml/2006/picture">
                  <pic:nvPicPr>
                    <pic:cNvPr id="413" name="Picture box 413"/>
                    <pic:cNvPicPr/>
                  </pic:nvPicPr>
                  <pic:blipFill>
                    <a:blip r:embed="rId159"/>
                    <a:stretch/>
                  </pic:blipFill>
                  <pic:spPr>
                    <a:xfrm>
                      <a:ext cx="737870" cy="359410"/>
                    </a:xfrm>
                    <a:prstGeom prst="rect"/>
                  </pic:spPr>
                </pic:pic>
              </a:graphicData>
            </a:graphic>
          </wp:anchor>
        </w:drawing>
      </w:r>
      <w:r>
        <mc:AlternateContent>
          <mc:Choice Requires="wps">
            <w:drawing>
              <wp:anchor distT="396240" distB="165100" distL="0" distR="0" simplePos="0" relativeHeight="125829391" behindDoc="0" locked="0" layoutInCell="1" allowOverlap="1">
                <wp:simplePos x="0" y="0"/>
                <wp:positionH relativeFrom="page">
                  <wp:posOffset>688340</wp:posOffset>
                </wp:positionH>
                <wp:positionV relativeFrom="paragraph">
                  <wp:posOffset>396240</wp:posOffset>
                </wp:positionV>
                <wp:extent cx="3130550" cy="3181985"/>
                <wp:wrapTopAndBottom/>
                <wp:docPr id="414" name="Shape 414"/>
                <a:graphic xmlns:a="http://schemas.openxmlformats.org/drawingml/2006/main">
                  <a:graphicData uri="http://schemas.microsoft.com/office/word/2010/wordprocessingShape">
                    <wps:wsp>
                      <wps:cNvSpPr txBox="1"/>
                      <wps:spPr>
                        <a:xfrm>
                          <a:ext cx="3130550" cy="3181985"/>
                        </a:xfrm>
                        <a:prstGeom prst="rect"/>
                        <a:noFill/>
                      </wps:spPr>
                      <wps:txbx>
                        <w:txbxContent>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综合评估相关合同和业务安排，识别合同中的各项履约义务， 判断相关履约义务属于在某一时段内履行，还是在某一时点履 行。</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对于建筑设计业务、绿色建筑咨询业务、生态城市规划业务及 </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及项目全过程管理业务，由于建科院集团履约过程中所提 供的服务具有不可替代用途，且建科院集团在整个合同期间内 有权就累计至今已完成的履约部分收取款项，因此建科院集团 将其作为在某一时段内履行的履约义务，按照履约进度确认收 入。</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对于公信业务，建科院集团在向客户提交相关检测报告时确认 收入。</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收入是衡量建科院集团的关键业绩指标之一，且根据合同条款 和业务安排，在识别履约义务及确定是在某一时间段内还是某 一时点完成履约义务涉及管理层判断，存在管理层为了达到特 定目标或预期而提前或推迟收入确认的风险，因此我们将收入 确认识别为关键审计事项。</w:t>
                            </w:r>
                          </w:p>
                        </w:txbxContent>
                      </wps:txbx>
                      <wps:bodyPr lIns="0" tIns="0" rIns="0" bIns="0">
                        <a:noAutoFit/>
                      </wps:bodyPr>
                    </wps:wsp>
                  </a:graphicData>
                </a:graphic>
              </wp:anchor>
            </w:drawing>
          </mc:Choice>
          <mc:Fallback>
            <w:pict>
              <v:shape id="_x0000_s1440" type="#_x0000_t202" style="position:absolute;margin-left:54.200000000000003pt;margin-top:31.199999999999999pt;width:246.5pt;height:250.55000000000001pt;z-index:-125829362;mso-wrap-distance-left:0;mso-wrap-distance-top:31.199999999999999pt;mso-wrap-distance-right:0;mso-wrap-distance-bottom:13.pt;mso-position-horizontal-relative:page" filled="f" stroked="f">
                <v:textbox inset="0,0,0,0">
                  <w:txbxContent>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综合评估相关合同和业务安排，识别合同中的各项履约义务， 判断相关履约义务属于在某一时段内履行，还是在某一时点履 行。</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对于建筑设计业务、绿色建筑咨询业务、生态城市规划业务及 </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及项目全过程管理业务，由于建科院集团履约过程中所提 供的服务具有不可替代用途，且建科院集团在整个合同期间内 有权就累计至今已完成的履约部分收取款项，因此建科院集团 将其作为在某一时段内履行的履约义务，按照履约进度确认收 入。</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对于公信业务，建科院集团在向客户提交相关检测报告时确认 收入。</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收入是衡量建科院集团的关键业绩指标之一，且根据合同条款 和业务安排，在识别履约义务及确定是在某一时间段内还是某 一时点完成履约义务涉及管理层判断，存在管理层为了达到特 定目标或预期而提前或推迟收入确认的风险，因此我们将收入 确认识别为关键审计事项。</w:t>
                      </w:r>
                    </w:p>
                  </w:txbxContent>
                </v:textbox>
                <w10:wrap type="topAndBottom" anchorx="page"/>
              </v:shape>
            </w:pict>
          </mc:Fallback>
        </mc:AlternateContent>
      </w:r>
      <w:r>
        <mc:AlternateContent>
          <mc:Choice Requires="wps">
            <w:drawing>
              <wp:anchor distT="176530" distB="165100" distL="0" distR="0" simplePos="0" relativeHeight="125829393" behindDoc="0" locked="0" layoutInCell="1" allowOverlap="1">
                <wp:simplePos x="0" y="0"/>
                <wp:positionH relativeFrom="page">
                  <wp:posOffset>3839845</wp:posOffset>
                </wp:positionH>
                <wp:positionV relativeFrom="paragraph">
                  <wp:posOffset>176530</wp:posOffset>
                </wp:positionV>
                <wp:extent cx="3151505" cy="3401695"/>
                <wp:wrapTopAndBottom/>
                <wp:docPr id="416" name="Shape 416"/>
                <a:graphic xmlns:a="http://schemas.openxmlformats.org/drawingml/2006/main">
                  <a:graphicData uri="http://schemas.microsoft.com/office/word/2010/wordprocessingShape">
                    <wps:wsp>
                      <wps:cNvSpPr txBox="1"/>
                      <wps:spPr>
                        <a:xfrm>
                          <a:ext cx="3151505" cy="3401695"/>
                        </a:xfrm>
                        <a:prstGeom prst="rect"/>
                        <a:noFill/>
                      </wps:spPr>
                      <wps:txbx>
                        <w:txbxContent>
                          <w:p>
                            <w:pPr>
                              <w:pStyle w:val="Style21"/>
                              <w:keepNext w:val="0"/>
                              <w:keepLines w:val="0"/>
                              <w:widowControl w:val="0"/>
                              <w:shd w:val="clear" w:color="auto" w:fill="auto"/>
                              <w:bidi w:val="0"/>
                              <w:spacing w:before="0" w:after="0" w:line="336" w:lineRule="exact"/>
                              <w:ind w:left="320" w:right="0" w:hanging="32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则的要求；</w:t>
                            </w:r>
                          </w:p>
                          <w:p>
                            <w:pPr>
                              <w:pStyle w:val="Style21"/>
                              <w:keepNext w:val="0"/>
                              <w:keepLines w:val="0"/>
                              <w:widowControl w:val="0"/>
                              <w:shd w:val="clear" w:color="auto" w:fill="auto"/>
                              <w:bidi w:val="0"/>
                              <w:spacing w:before="0" w:after="0" w:line="311" w:lineRule="exact"/>
                              <w:ind w:left="320" w:right="0" w:firstLine="0"/>
                              <w:jc w:val="both"/>
                            </w:pPr>
                            <w:r>
                              <w:rPr>
                                <w:color w:val="000000"/>
                                <w:spacing w:val="0"/>
                                <w:w w:val="100"/>
                                <w:position w:val="0"/>
                              </w:rPr>
                              <w:t>对于按履约进度确认的收入，在抽样的基础上，将本年度 确认的收入核对至经客户确认的成果交付件等确认证明、 政府批文、第三方审验证明或其他能够证明该阶段工作已 完成的支持性文件，以评价收入是否按照建科院集团的会 计政策予以确认；</w:t>
                            </w:r>
                          </w:p>
                          <w:p>
                            <w:pPr>
                              <w:pStyle w:val="Style21"/>
                              <w:keepNext w:val="0"/>
                              <w:keepLines w:val="0"/>
                              <w:widowControl w:val="0"/>
                              <w:shd w:val="clear" w:color="auto" w:fill="auto"/>
                              <w:bidi w:val="0"/>
                              <w:spacing w:before="0" w:after="0" w:line="311" w:lineRule="exact"/>
                              <w:ind w:left="320" w:right="0" w:firstLine="0"/>
                              <w:jc w:val="both"/>
                            </w:pPr>
                            <w:r>
                              <w:rPr>
                                <w:color w:val="000000"/>
                                <w:spacing w:val="0"/>
                                <w:w w:val="100"/>
                                <w:position w:val="0"/>
                              </w:rPr>
                              <w:t>对于以提交相关检测报告时确认的收入，在抽样的基础上, 将本年度确认的收入核对至经客户确认的成果交付件等证 明相关报告已合格提交的支持性文件，以评价收入是否按 照建科院集团的会计政策予以确认；</w:t>
                            </w:r>
                          </w:p>
                          <w:p>
                            <w:pPr>
                              <w:pStyle w:val="Style21"/>
                              <w:keepNext w:val="0"/>
                              <w:keepLines w:val="0"/>
                              <w:widowControl w:val="0"/>
                              <w:shd w:val="clear" w:color="auto" w:fill="auto"/>
                              <w:bidi w:val="0"/>
                              <w:spacing w:before="0" w:after="0" w:line="307" w:lineRule="exact"/>
                              <w:ind w:left="320" w:right="0" w:firstLine="0"/>
                              <w:jc w:val="both"/>
                            </w:pPr>
                            <w:r>
                              <w:rPr>
                                <w:color w:val="000000"/>
                                <w:spacing w:val="0"/>
                                <w:w w:val="100"/>
                                <w:position w:val="0"/>
                              </w:rPr>
                              <w:t>选取本年度收入项目，就项目已完成工作量实施函证程序; 选取接近资产负债表日前后的收入确认记录，核对至相关 收入确认的支持性文件，以评价收入是否记录于恰当的会 计期间；及</w:t>
                            </w:r>
                          </w:p>
                          <w:p>
                            <w:pPr>
                              <w:pStyle w:val="Style21"/>
                              <w:keepNext w:val="0"/>
                              <w:keepLines w:val="0"/>
                              <w:widowControl w:val="0"/>
                              <w:shd w:val="clear" w:color="auto" w:fill="auto"/>
                              <w:bidi w:val="0"/>
                              <w:spacing w:before="0" w:after="0" w:line="307" w:lineRule="exact"/>
                              <w:ind w:left="320" w:right="0" w:firstLine="0"/>
                              <w:jc w:val="both"/>
                            </w:pPr>
                            <w:r>
                              <w:rPr>
                                <w:color w:val="000000"/>
                                <w:spacing w:val="0"/>
                                <w:w w:val="100"/>
                                <w:position w:val="0"/>
                              </w:rPr>
                              <w:t>选取符合特定风险标准的营业收入会计分录，向管理层询 问作出以上会计分录的原因，并检查相关支持性文件。</w:t>
                            </w:r>
                          </w:p>
                        </w:txbxContent>
                      </wps:txbx>
                      <wps:bodyPr lIns="0" tIns="0" rIns="0" bIns="0">
                        <a:noAutoFit/>
                      </wps:bodyPr>
                    </wps:wsp>
                  </a:graphicData>
                </a:graphic>
              </wp:anchor>
            </w:drawing>
          </mc:Choice>
          <mc:Fallback>
            <w:pict>
              <v:shape id="_x0000_s1442" type="#_x0000_t202" style="position:absolute;margin-left:302.35000000000002pt;margin-top:13.9pt;width:248.15000000000001pt;height:267.85000000000002pt;z-index:-125829360;mso-wrap-distance-left:0;mso-wrap-distance-top:13.9pt;mso-wrap-distance-right:0;mso-wrap-distance-bottom:13.pt;mso-position-horizontal-relative:page" filled="f" stroked="f">
                <v:textbox inset="0,0,0,0">
                  <w:txbxContent>
                    <w:p>
                      <w:pPr>
                        <w:pStyle w:val="Style21"/>
                        <w:keepNext w:val="0"/>
                        <w:keepLines w:val="0"/>
                        <w:widowControl w:val="0"/>
                        <w:shd w:val="clear" w:color="auto" w:fill="auto"/>
                        <w:bidi w:val="0"/>
                        <w:spacing w:before="0" w:after="0" w:line="336" w:lineRule="exact"/>
                        <w:ind w:left="320" w:right="0" w:hanging="32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 则的要求；</w:t>
                      </w:r>
                    </w:p>
                    <w:p>
                      <w:pPr>
                        <w:pStyle w:val="Style21"/>
                        <w:keepNext w:val="0"/>
                        <w:keepLines w:val="0"/>
                        <w:widowControl w:val="0"/>
                        <w:shd w:val="clear" w:color="auto" w:fill="auto"/>
                        <w:bidi w:val="0"/>
                        <w:spacing w:before="0" w:after="0" w:line="311" w:lineRule="exact"/>
                        <w:ind w:left="320" w:right="0" w:firstLine="0"/>
                        <w:jc w:val="both"/>
                      </w:pPr>
                      <w:r>
                        <w:rPr>
                          <w:color w:val="000000"/>
                          <w:spacing w:val="0"/>
                          <w:w w:val="100"/>
                          <w:position w:val="0"/>
                        </w:rPr>
                        <w:t>对于按履约进度确认的收入，在抽样的基础上，将本年度 确认的收入核对至经客户确认的成果交付件等确认证明、 政府批文、第三方审验证明或其他能够证明该阶段工作已 完成的支持性文件，以评价收入是否按照建科院集团的会 计政策予以确认；</w:t>
                      </w:r>
                    </w:p>
                    <w:p>
                      <w:pPr>
                        <w:pStyle w:val="Style21"/>
                        <w:keepNext w:val="0"/>
                        <w:keepLines w:val="0"/>
                        <w:widowControl w:val="0"/>
                        <w:shd w:val="clear" w:color="auto" w:fill="auto"/>
                        <w:bidi w:val="0"/>
                        <w:spacing w:before="0" w:after="0" w:line="311" w:lineRule="exact"/>
                        <w:ind w:left="320" w:right="0" w:firstLine="0"/>
                        <w:jc w:val="both"/>
                      </w:pPr>
                      <w:r>
                        <w:rPr>
                          <w:color w:val="000000"/>
                          <w:spacing w:val="0"/>
                          <w:w w:val="100"/>
                          <w:position w:val="0"/>
                        </w:rPr>
                        <w:t>对于以提交相关检测报告时确认的收入，在抽样的基础上, 将本年度确认的收入核对至经客户确认的成果交付件等证 明相关报告已合格提交的支持性文件，以评价收入是否按 照建科院集团的会计政策予以确认；</w:t>
                      </w:r>
                    </w:p>
                    <w:p>
                      <w:pPr>
                        <w:pStyle w:val="Style21"/>
                        <w:keepNext w:val="0"/>
                        <w:keepLines w:val="0"/>
                        <w:widowControl w:val="0"/>
                        <w:shd w:val="clear" w:color="auto" w:fill="auto"/>
                        <w:bidi w:val="0"/>
                        <w:spacing w:before="0" w:after="0" w:line="307" w:lineRule="exact"/>
                        <w:ind w:left="320" w:right="0" w:firstLine="0"/>
                        <w:jc w:val="both"/>
                      </w:pPr>
                      <w:r>
                        <w:rPr>
                          <w:color w:val="000000"/>
                          <w:spacing w:val="0"/>
                          <w:w w:val="100"/>
                          <w:position w:val="0"/>
                        </w:rPr>
                        <w:t>选取本年度收入项目，就项目已完成工作量实施函证程序; 选取接近资产负债表日前后的收入确认记录，核对至相关 收入确认的支持性文件，以评价收入是否记录于恰当的会 计期间；及</w:t>
                      </w:r>
                    </w:p>
                    <w:p>
                      <w:pPr>
                        <w:pStyle w:val="Style21"/>
                        <w:keepNext w:val="0"/>
                        <w:keepLines w:val="0"/>
                        <w:widowControl w:val="0"/>
                        <w:shd w:val="clear" w:color="auto" w:fill="auto"/>
                        <w:bidi w:val="0"/>
                        <w:spacing w:before="0" w:after="0" w:line="307" w:lineRule="exact"/>
                        <w:ind w:left="320" w:right="0" w:firstLine="0"/>
                        <w:jc w:val="both"/>
                      </w:pPr>
                      <w:r>
                        <w:rPr>
                          <w:color w:val="000000"/>
                          <w:spacing w:val="0"/>
                          <w:w w:val="100"/>
                          <w:position w:val="0"/>
                        </w:rPr>
                        <w:t>选取符合特定风险标准的营业收入会计分录，向管理层询 问作出以上会计分录的原因，并检查相关支持性文件。</w:t>
                      </w:r>
                    </w:p>
                  </w:txbxContent>
                </v:textbox>
                <w10:wrap type="topAndBottom" anchorx="page"/>
              </v:shape>
            </w:pict>
          </mc:Fallback>
        </mc:AlternateConten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的审计报告。</w:t>
      </w:r>
      <w:r>
        <w:br w:type="page"/>
      </w:r>
    </w:p>
    <w:p>
      <w:pPr>
        <w:pStyle w:val="Style21"/>
        <w:keepNext w:val="0"/>
        <w:keepLines w:val="0"/>
        <w:widowControl w:val="0"/>
        <w:shd w:val="clear" w:color="auto" w:fill="auto"/>
        <w:bidi w:val="0"/>
        <w:spacing w:before="0" w:after="0" w:line="314" w:lineRule="exact"/>
        <w:ind w:left="360" w:right="0" w:firstLine="3260"/>
        <w:jc w:val="both"/>
      </w:pPr>
      <w:r>
        <w:drawing>
          <wp:anchor distT="0" distB="0" distL="114300" distR="114300" simplePos="0" relativeHeight="125829395" behindDoc="0" locked="0" layoutInCell="1" allowOverlap="1">
            <wp:simplePos x="0" y="0"/>
            <wp:positionH relativeFrom="page">
              <wp:posOffset>728980</wp:posOffset>
            </wp:positionH>
            <wp:positionV relativeFrom="margin">
              <wp:posOffset>-18415</wp:posOffset>
            </wp:positionV>
            <wp:extent cx="774065" cy="396240"/>
            <wp:wrapSquare wrapText="bothSides"/>
            <wp:docPr id="418" name="Shape 418"/>
            <a:graphic xmlns:a="http://schemas.openxmlformats.org/drawingml/2006/main">
              <a:graphicData uri="http://schemas.openxmlformats.org/drawingml/2006/picture">
                <pic:pic xmlns:pic="http://schemas.openxmlformats.org/drawingml/2006/picture">
                  <pic:nvPicPr>
                    <pic:cNvPr id="419" name="Picture box 419"/>
                    <pic:cNvPicPr/>
                  </pic:nvPicPr>
                  <pic:blipFill>
                    <a:blip r:embed="rId161"/>
                    <a:stretch/>
                  </pic:blipFill>
                  <pic:spPr>
                    <a:xfrm>
                      <a:ext cx="774065" cy="396240"/>
                    </a:xfrm>
                    <a:prstGeom prst="rect"/>
                  </pic:spPr>
                </pic:pic>
              </a:graphicData>
            </a:graphic>
          </wp:anchor>
        </w:drawing>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我们对财务报表发表的审计意见不涵盖其他信息，我们也</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1"/>
        <w:keepNext w:val="0"/>
        <w:keepLines w:val="0"/>
        <w:widowControl w:val="0"/>
        <w:shd w:val="clear" w:color="auto" w:fill="auto"/>
        <w:bidi w:val="0"/>
        <w:spacing w:before="0" w:after="100" w:line="314" w:lineRule="exact"/>
        <w:ind w:left="0" w:right="0" w:firstLine="36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1"/>
        <w:keepNext w:val="0"/>
        <w:keepLines w:val="0"/>
        <w:widowControl w:val="0"/>
        <w:shd w:val="clear" w:color="auto" w:fill="auto"/>
        <w:tabs>
          <w:tab w:pos="772" w:val="left"/>
        </w:tabs>
        <w:bidi w:val="0"/>
        <w:spacing w:before="0" w:after="0" w:line="240" w:lineRule="auto"/>
        <w:ind w:left="0" w:right="0" w:firstLine="360"/>
        <w:jc w:val="both"/>
      </w:pPr>
      <w:bookmarkStart w:id="709" w:name="bookmark709"/>
      <w:r>
        <w:rPr>
          <w:b/>
          <w:bCs/>
          <w:color w:val="000000"/>
          <w:spacing w:val="0"/>
          <w:w w:val="100"/>
          <w:position w:val="0"/>
        </w:rPr>
        <w:t>五</w:t>
      </w:r>
      <w:bookmarkEnd w:id="709"/>
      <w:r>
        <w:rPr>
          <w:b/>
          <w:bCs/>
          <w:color w:val="000000"/>
          <w:spacing w:val="0"/>
          <w:w w:val="100"/>
          <w:position w:val="0"/>
        </w:rPr>
        <w:t>、</w:t>
        <w:tab/>
        <w:t>管理层和治理层对财务报表的责任</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21"/>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在编制财务报表时，管理层负责评估建科院集团的持续经营能力，披露与持续经营相关的事项（如适用），并运用持续 经营假设，除非建科院集团计划进行清算、终止运营或别无其他现实的选择。</w:t>
      </w:r>
    </w:p>
    <w:p>
      <w:pPr>
        <w:pStyle w:val="Style21"/>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治理层负责监督建科院集团的财务报告过程。</w:t>
      </w:r>
    </w:p>
    <w:p>
      <w:pPr>
        <w:pStyle w:val="Style21"/>
        <w:keepNext w:val="0"/>
        <w:keepLines w:val="0"/>
        <w:widowControl w:val="0"/>
        <w:shd w:val="clear" w:color="auto" w:fill="auto"/>
        <w:tabs>
          <w:tab w:pos="777" w:val="left"/>
        </w:tabs>
        <w:bidi w:val="0"/>
        <w:spacing w:before="0" w:after="0" w:line="240" w:lineRule="auto"/>
        <w:ind w:left="0" w:right="0" w:firstLine="360"/>
        <w:jc w:val="both"/>
      </w:pPr>
      <w:bookmarkStart w:id="710" w:name="bookmark710"/>
      <w:r>
        <w:rPr>
          <w:b/>
          <w:bCs/>
          <w:color w:val="000000"/>
          <w:spacing w:val="0"/>
          <w:w w:val="100"/>
          <w:position w:val="0"/>
        </w:rPr>
        <w:t>六</w:t>
      </w:r>
      <w:bookmarkEnd w:id="710"/>
      <w:r>
        <w:rPr>
          <w:b/>
          <w:bCs/>
          <w:color w:val="000000"/>
          <w:spacing w:val="0"/>
          <w:w w:val="100"/>
          <w:position w:val="0"/>
        </w:rPr>
        <w:t>、</w:t>
        <w:tab/>
        <w:t>注册会计师对财务报表审计的责任</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1"/>
        <w:keepNext w:val="0"/>
        <w:keepLines w:val="0"/>
        <w:widowControl w:val="0"/>
        <w:shd w:val="clear" w:color="auto" w:fill="auto"/>
        <w:tabs>
          <w:tab w:pos="873" w:val="left"/>
        </w:tabs>
        <w:bidi w:val="0"/>
        <w:spacing w:before="0" w:after="0" w:line="314" w:lineRule="exact"/>
        <w:ind w:left="0" w:right="0" w:firstLine="36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1"/>
        <w:keepNext w:val="0"/>
        <w:keepLines w:val="0"/>
        <w:widowControl w:val="0"/>
        <w:shd w:val="clear" w:color="auto" w:fill="auto"/>
        <w:tabs>
          <w:tab w:pos="777" w:val="left"/>
        </w:tabs>
        <w:bidi w:val="0"/>
        <w:spacing w:before="0" w:after="0" w:line="314" w:lineRule="exact"/>
        <w:ind w:left="0" w:right="0" w:firstLine="36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了解与审计相关的内部控制，以设计恰当的审计程序。</w:t>
      </w:r>
    </w:p>
    <w:p>
      <w:pPr>
        <w:pStyle w:val="Style21"/>
        <w:keepNext w:val="0"/>
        <w:keepLines w:val="0"/>
        <w:widowControl w:val="0"/>
        <w:shd w:val="clear" w:color="auto" w:fill="auto"/>
        <w:tabs>
          <w:tab w:pos="777" w:val="left"/>
        </w:tabs>
        <w:bidi w:val="0"/>
        <w:spacing w:before="0" w:after="0" w:line="314" w:lineRule="exact"/>
        <w:ind w:left="0" w:right="0" w:firstLine="36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评价管理层选用会计政策的恰当性和作出会计估计及相关披露的合理性。</w:t>
      </w:r>
    </w:p>
    <w:p>
      <w:pPr>
        <w:pStyle w:val="Style21"/>
        <w:keepNext w:val="0"/>
        <w:keepLines w:val="0"/>
        <w:widowControl w:val="0"/>
        <w:shd w:val="clear" w:color="auto" w:fill="auto"/>
        <w:tabs>
          <w:tab w:pos="873" w:val="left"/>
        </w:tabs>
        <w:bidi w:val="0"/>
        <w:spacing w:before="0" w:after="0" w:line="314" w:lineRule="exact"/>
        <w:ind w:left="0" w:right="0" w:firstLine="36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对管理层使用持续经营假设的恰当性得出结论。同时，根据获取的审计证据，就可能导致对建科院集团持续经营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基于截至审计报告日可获得的信息。然而，未来的事项或情况可能导致建科院集团不能持续经营。</w:t>
      </w:r>
    </w:p>
    <w:p>
      <w:pPr>
        <w:pStyle w:val="Style21"/>
        <w:keepNext w:val="0"/>
        <w:keepLines w:val="0"/>
        <w:widowControl w:val="0"/>
        <w:shd w:val="clear" w:color="auto" w:fill="auto"/>
        <w:tabs>
          <w:tab w:pos="777" w:val="left"/>
        </w:tabs>
        <w:bidi w:val="0"/>
        <w:spacing w:before="0" w:after="0" w:line="314" w:lineRule="exact"/>
        <w:ind w:left="0" w:right="0" w:firstLine="36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评价财务报表的总体列报、结构和内容（包括披露），并评价财务报表是否公允反映相关交易和事项。</w:t>
      </w:r>
    </w:p>
    <w:p>
      <w:pPr>
        <w:pStyle w:val="Style21"/>
        <w:keepNext w:val="0"/>
        <w:keepLines w:val="0"/>
        <w:widowControl w:val="0"/>
        <w:shd w:val="clear" w:color="auto" w:fill="auto"/>
        <w:tabs>
          <w:tab w:pos="873" w:val="left"/>
        </w:tabs>
        <w:bidi w:val="0"/>
        <w:spacing w:before="0" w:after="0" w:line="314" w:lineRule="exact"/>
        <w:ind w:left="0" w:right="0" w:firstLine="36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就建科院集团中实体或业务活动的财务信息获取充分、适当的审计证据，以对财务报表发表审计意见。我们负责 指导、监督和执行集团审计，并对审计意见承担全部责任。</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1"/>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21"/>
        <w:keepNext w:val="0"/>
        <w:keepLines w:val="0"/>
        <w:widowControl w:val="0"/>
        <w:shd w:val="clear" w:color="auto" w:fill="auto"/>
        <w:bidi w:val="0"/>
        <w:spacing w:before="0" w:after="0" w:line="314" w:lineRule="exact"/>
        <w:ind w:left="0" w:right="0" w:firstLine="360"/>
        <w:jc w:val="both"/>
        <w:sectPr>
          <w:headerReference w:type="default" r:id="rId163"/>
          <w:footerReference w:type="default" r:id="rId164"/>
          <w:headerReference w:type="even" r:id="rId165"/>
          <w:footerReference w:type="even" r:id="rId166"/>
          <w:footnotePr>
            <w:pos w:val="pageBottom"/>
            <w:numFmt w:val="decimal"/>
            <w:numRestart w:val="continuous"/>
          </w:footnotePr>
          <w:pgSz w:w="11900" w:h="16840"/>
          <w:pgMar w:top="855" w:right="890" w:bottom="1543" w:left="1074" w:header="427" w:footer="3" w:gutter="0"/>
          <w:cols w:space="720"/>
          <w:noEndnote/>
          <w:rtlGutter w:val="0"/>
          <w:docGrid w:linePitch="360"/>
        </w:sectPr>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826" w:right="0" w:bottom="1062" w:left="0" w:header="0" w:footer="3" w:gutter="0"/>
          <w:cols w:space="720"/>
          <w:noEndnote/>
          <w:rtlGutter w:val="0"/>
          <w:docGrid w:linePitch="360"/>
        </w:sectPr>
      </w:pPr>
    </w:p>
    <w:p>
      <w:pPr>
        <w:pStyle w:val="Style21"/>
        <w:keepNext w:val="0"/>
        <w:keepLines w:val="0"/>
        <w:framePr w:w="3461" w:h="235" w:wrap="none" w:vAnchor="text" w:hAnchor="page" w:x="1601" w:y="21"/>
        <w:widowControl w:val="0"/>
        <w:shd w:val="clear" w:color="auto" w:fill="auto"/>
        <w:bidi w:val="0"/>
        <w:spacing w:before="0" w:after="0" w:line="240" w:lineRule="auto"/>
        <w:ind w:left="0" w:right="0" w:firstLine="0"/>
        <w:jc w:val="left"/>
      </w:pPr>
      <w:r>
        <w:rPr>
          <w:color w:val="000000"/>
          <w:spacing w:val="0"/>
          <w:w w:val="100"/>
          <w:position w:val="0"/>
        </w:rPr>
        <w:t>毕马威华振会计师事务所（特殊普通合伙）</w:t>
      </w:r>
    </w:p>
    <w:p>
      <w:pPr>
        <w:pStyle w:val="Style21"/>
        <w:keepNext w:val="0"/>
        <w:keepLines w:val="0"/>
        <w:framePr w:w="1286" w:h="230" w:wrap="none" w:vAnchor="text" w:hAnchor="page" w:x="7476" w:y="21"/>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widowControl w:val="0"/>
        <w:spacing w:after="234" w:line="1" w:lineRule="exact"/>
      </w:pPr>
    </w:p>
    <w:p>
      <w:pPr>
        <w:widowControl w:val="0"/>
        <w:spacing w:line="1" w:lineRule="exact"/>
        <w:sectPr>
          <w:footnotePr>
            <w:pos w:val="pageBottom"/>
            <w:numFmt w:val="decimal"/>
            <w:numRestart w:val="continuous"/>
          </w:footnotePr>
          <w:type w:val="continuous"/>
          <w:pgSz w:w="11900" w:h="16840"/>
          <w:pgMar w:top="826" w:right="1023" w:bottom="1062" w:left="1099" w:header="0" w:footer="3" w:gutter="0"/>
          <w:cols w:space="720"/>
          <w:noEndnote/>
          <w:rtlGutter w:val="0"/>
          <w:docGrid w:linePitch="360"/>
        </w:sectPr>
      </w:pPr>
    </w:p>
    <w:p>
      <w:pPr>
        <w:widowControl w:val="0"/>
        <w:spacing w:line="142" w:lineRule="exact"/>
        <w:rPr>
          <w:sz w:val="11"/>
          <w:szCs w:val="11"/>
        </w:rPr>
      </w:pPr>
    </w:p>
    <w:p>
      <w:pPr>
        <w:widowControl w:val="0"/>
        <w:spacing w:line="1" w:lineRule="exact"/>
        <w:sectPr>
          <w:footnotePr>
            <w:pos w:val="pageBottom"/>
            <w:numFmt w:val="decimal"/>
            <w:numRestart w:val="continuous"/>
          </w:footnotePr>
          <w:type w:val="continuous"/>
          <w:pgSz w:w="11900" w:h="16840"/>
          <w:pgMar w:top="1453" w:right="0" w:bottom="1653" w:left="0" w:header="0" w:footer="3" w:gutter="0"/>
          <w:cols w:space="720"/>
          <w:noEndnote/>
          <w:rtlGutter w:val="0"/>
          <w:docGrid w:linePitch="360"/>
        </w:sectPr>
      </w:pPr>
    </w:p>
    <w:p>
      <w:pPr>
        <w:pStyle w:val="Style21"/>
        <w:keepNext w:val="0"/>
        <w:keepLines w:val="0"/>
        <w:widowControl w:val="0"/>
        <w:shd w:val="clear" w:color="auto" w:fill="auto"/>
        <w:bidi w:val="0"/>
        <w:spacing w:before="0" w:after="120" w:line="240" w:lineRule="auto"/>
        <w:ind w:left="5060" w:right="0" w:firstLine="0"/>
        <w:jc w:val="left"/>
      </w:pPr>
      <w:r>
        <w:rPr>
          <w:color w:val="000000"/>
          <w:spacing w:val="0"/>
          <w:w w:val="100"/>
          <w:position w:val="0"/>
        </w:rPr>
        <w:t>陈泳意（项目合伙人）</w:t>
      </w:r>
    </w:p>
    <w:p>
      <w:pPr>
        <w:pStyle w:val="Style21"/>
        <w:keepNext w:val="0"/>
        <w:keepLines w:val="0"/>
        <w:widowControl w:val="0"/>
        <w:shd w:val="clear" w:color="auto" w:fill="auto"/>
        <w:bidi w:val="0"/>
        <w:spacing w:before="0" w:after="420" w:line="240" w:lineRule="auto"/>
        <w:ind w:left="5060" w:right="0" w:firstLine="0"/>
        <w:jc w:val="left"/>
      </w:pPr>
      <w:r>
        <mc:AlternateContent>
          <mc:Choice Requires="wps">
            <w:drawing>
              <wp:anchor distT="0" distB="0" distL="0" distR="0" simplePos="0" relativeHeight="125829396" behindDoc="0" locked="0" layoutInCell="1" allowOverlap="1">
                <wp:simplePos x="0" y="0"/>
                <wp:positionH relativeFrom="page">
                  <wp:posOffset>1024890</wp:posOffset>
                </wp:positionH>
                <wp:positionV relativeFrom="paragraph">
                  <wp:posOffset>0</wp:posOffset>
                </wp:positionV>
                <wp:extent cx="499745" cy="149225"/>
                <wp:wrapSquare wrapText="bothSides"/>
                <wp:docPr id="424" name="Shape 424"/>
                <a:graphic xmlns:a="http://schemas.openxmlformats.org/drawingml/2006/main">
                  <a:graphicData uri="http://schemas.microsoft.com/office/word/2010/wordprocessingShape">
                    <wps:wsp>
                      <wps:cNvSpPr txBox="1"/>
                      <wps:spPr>
                        <a:xfrm>
                          <a:ext cx="49974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450" type="#_x0000_t202" style="position:absolute;margin-left:80.700000000000003pt;margin-top:0;width:39.350000000000001pt;height:11.75pt;z-index:-125829357;mso-wrap-distance-left:0;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anchorx="page"/>
              </v:shape>
            </w:pict>
          </mc:Fallback>
        </mc:AlternateContent>
      </w:r>
      <w:r>
        <w:rPr>
          <w:color w:val="000000"/>
          <w:spacing w:val="0"/>
          <w:w w:val="100"/>
          <w:position w:val="0"/>
        </w:rPr>
        <w:t>刘琬婷</w:t>
      </w:r>
    </w:p>
    <w:p>
      <w:pPr>
        <w:pStyle w:val="Style39"/>
        <w:keepNext w:val="0"/>
        <w:keepLines w:val="0"/>
        <w:widowControl w:val="0"/>
        <w:shd w:val="clear" w:color="auto" w:fill="auto"/>
        <w:bidi w:val="0"/>
        <w:spacing w:before="0" w:after="260" w:line="240" w:lineRule="auto"/>
        <w:ind w:left="5060" w:right="0" w:firstLine="0"/>
        <w:jc w:val="left"/>
        <w:rPr>
          <w:sz w:val="17"/>
          <w:szCs w:val="17"/>
        </w:rPr>
        <w:sectPr>
          <w:footnotePr>
            <w:pos w:val="pageBottom"/>
            <w:numFmt w:val="decimal"/>
            <w:numRestart w:val="continuous"/>
          </w:footnotePr>
          <w:type w:val="continuous"/>
          <w:pgSz w:w="11900" w:h="16840"/>
          <w:pgMar w:top="1453" w:right="2034" w:bottom="1653" w:left="1342" w:header="0" w:footer="3" w:gutter="0"/>
          <w:cols w:space="720"/>
          <w:noEndnote/>
          <w:rtlGutter w:val="0"/>
          <w:docGrid w:linePitch="360"/>
        </w:sect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p>
      <w:pPr>
        <w:pStyle w:val="Style30"/>
        <w:keepNext/>
        <w:keepLines/>
        <w:widowControl w:val="0"/>
        <w:shd w:val="clear" w:color="auto" w:fill="auto"/>
        <w:bidi w:val="0"/>
        <w:spacing w:before="0" w:after="380" w:line="240" w:lineRule="auto"/>
        <w:ind w:left="0" w:right="0" w:firstLine="0"/>
        <w:jc w:val="left"/>
      </w:pPr>
      <w:bookmarkStart w:id="717" w:name="bookmark717"/>
      <w:bookmarkStart w:id="718" w:name="bookmark718"/>
      <w:bookmarkStart w:id="719" w:name="bookmark719"/>
      <w:bookmarkStart w:id="720" w:name="bookmark720"/>
      <w:r>
        <w:rPr>
          <w:color w:val="000000"/>
          <w:spacing w:val="0"/>
          <w:w w:val="100"/>
          <w:position w:val="0"/>
        </w:rPr>
        <w:t>二</w:t>
      </w:r>
      <w:bookmarkEnd w:id="719"/>
      <w:r>
        <w:rPr>
          <w:color w:val="000000"/>
          <w:spacing w:val="0"/>
          <w:w w:val="100"/>
          <w:position w:val="0"/>
        </w:rPr>
        <w:t>、财务报表</w:t>
      </w:r>
      <w:bookmarkEnd w:id="717"/>
      <w:bookmarkEnd w:id="718"/>
      <w:bookmarkEnd w:id="72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widowControl w:val="0"/>
        <w:shd w:val="clear" w:color="auto" w:fill="auto"/>
        <w:bidi w:val="0"/>
        <w:spacing w:before="0" w:after="380" w:line="240" w:lineRule="auto"/>
        <w:ind w:left="0" w:right="0" w:firstLine="0"/>
        <w:jc w:val="left"/>
      </w:pPr>
      <w:bookmarkStart w:id="721" w:name="bookmark721"/>
      <w:bookmarkStart w:id="722" w:name="bookmark722"/>
      <w:bookmarkStart w:id="723" w:name="bookmark72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21"/>
      <w:bookmarkEnd w:id="722"/>
      <w:bookmarkEnd w:id="723"/>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编制单位：深圳市建筑科学研究院股份有限公司</w:t>
      </w:r>
    </w:p>
    <w:p>
      <w:pPr>
        <w:pStyle w:val="Style39"/>
        <w:keepNext w:val="0"/>
        <w:keepLines w:val="0"/>
        <w:widowControl w:val="0"/>
        <w:shd w:val="clear" w:color="auto" w:fill="auto"/>
        <w:bidi w:val="0"/>
        <w:spacing w:before="0" w:after="48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37"/>
        <w:keepNext w:val="0"/>
        <w:keepLines w:val="0"/>
        <w:widowControl w:val="0"/>
        <w:shd w:val="clear" w:color="auto" w:fill="auto"/>
        <w:bidi w:val="0"/>
        <w:spacing w:before="0" w:after="0" w:line="240" w:lineRule="auto"/>
        <w:ind w:left="7512" w:right="0" w:firstLine="0"/>
        <w:jc w:val="left"/>
      </w:pPr>
      <w:r>
        <w:rPr>
          <w:color w:val="000000"/>
          <w:spacing w:val="0"/>
          <w:w w:val="100"/>
          <w:position w:val="0"/>
        </w:rPr>
        <w:t>单位：元</w:t>
      </w:r>
    </w:p>
    <w:tbl>
      <w:tblPr>
        <w:tblOverlap w:val="never"/>
        <w:jc w:val="center"/>
        <w:tblLayout w:type="fixed"/>
      </w:tblPr>
      <w:tblGrid>
        <w:gridCol w:w="4301"/>
        <w:gridCol w:w="1982"/>
        <w:gridCol w:w="2021"/>
      </w:tblGrid>
      <w:tr>
        <w:trPr>
          <w:trHeight w:val="4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291,165,712.09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210, 860, </w:t>
            </w:r>
            <w:r>
              <w:rPr>
                <w:color w:val="000000"/>
                <w:spacing w:val="0"/>
                <w:w w:val="100"/>
                <w:position w:val="0"/>
                <w:sz w:val="16"/>
                <w:szCs w:val="16"/>
              </w:rPr>
              <w:t xml:space="preserve">381. </w:t>
            </w:r>
            <w:r>
              <w:rPr>
                <w:color w:val="000000"/>
                <w:spacing w:val="0"/>
                <w:w w:val="100"/>
                <w:position w:val="0"/>
                <w:sz w:val="16"/>
                <w:szCs w:val="16"/>
              </w:rPr>
              <w:t>95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43,779, </w:t>
            </w:r>
            <w:r>
              <w:rPr>
                <w:color w:val="000000"/>
                <w:spacing w:val="0"/>
                <w:w w:val="100"/>
                <w:position w:val="0"/>
                <w:sz w:val="16"/>
                <w:szCs w:val="16"/>
              </w:rPr>
              <w:t>895.89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10,579,339.38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25,015,120.80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322, </w:t>
            </w:r>
            <w:r>
              <w:rPr>
                <w:color w:val="000000"/>
                <w:spacing w:val="0"/>
                <w:w w:val="100"/>
                <w:position w:val="0"/>
                <w:sz w:val="16"/>
                <w:szCs w:val="16"/>
              </w:rPr>
              <w:t xml:space="preserve">491,461.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288, </w:t>
            </w:r>
            <w:r>
              <w:rPr>
                <w:color w:val="000000"/>
                <w:spacing w:val="0"/>
                <w:w w:val="100"/>
                <w:position w:val="0"/>
                <w:sz w:val="16"/>
                <w:szCs w:val="16"/>
              </w:rPr>
              <w:t>851,268.48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6,766, </w:t>
            </w:r>
            <w:r>
              <w:rPr>
                <w:color w:val="000000"/>
                <w:spacing w:val="0"/>
                <w:w w:val="100"/>
                <w:position w:val="0"/>
                <w:sz w:val="16"/>
                <w:szCs w:val="16"/>
              </w:rPr>
              <w:t xml:space="preserve">408.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2,613, </w:t>
            </w:r>
            <w:r>
              <w:rPr>
                <w:color w:val="000000"/>
                <w:spacing w:val="0"/>
                <w:w w:val="100"/>
                <w:position w:val="0"/>
                <w:sz w:val="16"/>
                <w:szCs w:val="16"/>
              </w:rPr>
              <w:t>173.29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11,590, </w:t>
            </w:r>
            <w:r>
              <w:rPr>
                <w:color w:val="000000"/>
                <w:spacing w:val="0"/>
                <w:w w:val="100"/>
                <w:position w:val="0"/>
                <w:sz w:val="16"/>
                <w:szCs w:val="16"/>
              </w:rPr>
              <w:t>145.53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12,941,186.75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102,552.40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70,916. </w:t>
            </w:r>
            <w:r>
              <w:rPr>
                <w:color w:val="000000"/>
                <w:spacing w:val="0"/>
                <w:w w:val="100"/>
                <w:position w:val="0"/>
                <w:sz w:val="16"/>
                <w:szCs w:val="16"/>
              </w:rPr>
              <w:t>15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72,479, </w:t>
            </w:r>
            <w:r>
              <w:rPr>
                <w:color w:val="000000"/>
                <w:spacing w:val="0"/>
                <w:w w:val="100"/>
                <w:position w:val="0"/>
                <w:sz w:val="16"/>
                <w:szCs w:val="16"/>
              </w:rPr>
              <w:t>031.74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137,036.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9, </w:t>
            </w:r>
            <w:r>
              <w:rPr>
                <w:color w:val="000000"/>
                <w:spacing w:val="0"/>
                <w:w w:val="100"/>
                <w:position w:val="0"/>
                <w:sz w:val="16"/>
                <w:szCs w:val="16"/>
              </w:rPr>
              <w:t>301,951.65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728,321,687.77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593,433,894. </w:t>
            </w:r>
            <w:r>
              <w:rPr>
                <w:color w:val="000000"/>
                <w:spacing w:val="0"/>
                <w:w w:val="100"/>
                <w:position w:val="0"/>
                <w:sz w:val="16"/>
                <w:szCs w:val="16"/>
              </w:rPr>
              <w:t>96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3,610, </w:t>
            </w:r>
            <w:r>
              <w:rPr>
                <w:color w:val="000000"/>
                <w:spacing w:val="0"/>
                <w:w w:val="100"/>
                <w:position w:val="0"/>
                <w:sz w:val="16"/>
                <w:szCs w:val="16"/>
              </w:rPr>
              <w:t xml:space="preserve">696.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3,737,477.72</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109, 460, </w:t>
            </w:r>
            <w:r>
              <w:rPr>
                <w:color w:val="000000"/>
                <w:spacing w:val="0"/>
                <w:w w:val="100"/>
                <w:position w:val="0"/>
                <w:sz w:val="16"/>
                <w:szCs w:val="16"/>
              </w:rPr>
              <w:t xml:space="preserve">063.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127,414. </w:t>
            </w:r>
            <w:r>
              <w:rPr>
                <w:color w:val="000000"/>
                <w:spacing w:val="0"/>
                <w:w w:val="100"/>
                <w:position w:val="0"/>
                <w:sz w:val="16"/>
                <w:szCs w:val="16"/>
              </w:rPr>
              <w:t>24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331, 186, </w:t>
            </w:r>
            <w:r>
              <w:rPr>
                <w:color w:val="000000"/>
                <w:spacing w:val="0"/>
                <w:w w:val="100"/>
                <w:position w:val="0"/>
                <w:sz w:val="16"/>
                <w:szCs w:val="16"/>
              </w:rPr>
              <w:t xml:space="preserve">836.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197, 099, </w:t>
            </w:r>
            <w:r>
              <w:rPr>
                <w:color w:val="000000"/>
                <w:spacing w:val="0"/>
                <w:w w:val="100"/>
                <w:position w:val="0"/>
                <w:sz w:val="16"/>
                <w:szCs w:val="16"/>
              </w:rPr>
              <w:t xml:space="preserve">469. </w:t>
            </w:r>
            <w:r>
              <w:rPr>
                <w:color w:val="000000"/>
                <w:spacing w:val="0"/>
                <w:w w:val="100"/>
                <w:position w:val="0"/>
                <w:sz w:val="16"/>
                <w:szCs w:val="16"/>
              </w:rPr>
              <w:t>04</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91, 136, </w:t>
            </w:r>
            <w:r>
              <w:rPr>
                <w:color w:val="000000"/>
                <w:spacing w:val="0"/>
                <w:w w:val="100"/>
                <w:position w:val="0"/>
                <w:sz w:val="16"/>
                <w:szCs w:val="16"/>
              </w:rPr>
              <w:t>825.05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89, 994, </w:t>
            </w:r>
            <w:r>
              <w:rPr>
                <w:color w:val="000000"/>
                <w:spacing w:val="0"/>
                <w:w w:val="100"/>
                <w:position w:val="0"/>
                <w:sz w:val="16"/>
                <w:szCs w:val="16"/>
              </w:rPr>
              <w:t>859.41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3,605,710.96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21,569,514.26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32,016,285.77</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21,259,522.57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18, 124, </w:t>
            </w:r>
            <w:r>
              <w:rPr>
                <w:color w:val="000000"/>
                <w:spacing w:val="0"/>
                <w:w w:val="100"/>
                <w:position w:val="0"/>
                <w:sz w:val="16"/>
                <w:szCs w:val="16"/>
              </w:rPr>
              <w:t xml:space="preserve">624. </w:t>
            </w:r>
            <w:r>
              <w:rPr>
                <w:color w:val="000000"/>
                <w:spacing w:val="0"/>
                <w:w w:val="100"/>
                <w:position w:val="0"/>
                <w:sz w:val="16"/>
                <w:szCs w:val="16"/>
              </w:rPr>
              <w:t>38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3,417, </w:t>
            </w:r>
            <w:r>
              <w:rPr>
                <w:color w:val="000000"/>
                <w:spacing w:val="0"/>
                <w:w w:val="100"/>
                <w:position w:val="0"/>
                <w:sz w:val="16"/>
                <w:szCs w:val="16"/>
              </w:rPr>
              <w:t xml:space="preserve">486.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3,320, </w:t>
            </w:r>
            <w:r>
              <w:rPr>
                <w:color w:val="000000"/>
                <w:spacing w:val="0"/>
                <w:w w:val="100"/>
                <w:position w:val="0"/>
                <w:sz w:val="16"/>
                <w:szCs w:val="16"/>
              </w:rPr>
              <w:t xml:space="preserve">745. </w:t>
            </w:r>
            <w:r>
              <w:rPr>
                <w:color w:val="000000"/>
                <w:spacing w:val="0"/>
                <w:w w:val="100"/>
                <w:position w:val="0"/>
                <w:sz w:val="16"/>
                <w:szCs w:val="16"/>
              </w:rPr>
              <w:t>71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581, 640, </w:t>
            </w:r>
            <w:r>
              <w:rPr>
                <w:color w:val="000000"/>
                <w:spacing w:val="0"/>
                <w:w w:val="100"/>
                <w:position w:val="0"/>
                <w:sz w:val="16"/>
                <w:szCs w:val="16"/>
              </w:rPr>
              <w:t xml:space="preserve">945.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464, 026, </w:t>
            </w:r>
            <w:r>
              <w:rPr>
                <w:color w:val="000000"/>
                <w:spacing w:val="0"/>
                <w:w w:val="100"/>
                <w:position w:val="0"/>
                <w:sz w:val="16"/>
                <w:szCs w:val="16"/>
              </w:rPr>
              <w:t xml:space="preserve">587. </w:t>
            </w:r>
            <w:r>
              <w:rPr>
                <w:color w:val="000000"/>
                <w:spacing w:val="0"/>
                <w:w w:val="100"/>
                <w:position w:val="0"/>
                <w:sz w:val="16"/>
                <w:szCs w:val="16"/>
              </w:rPr>
              <w:t>23</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1,309, 962, </w:t>
            </w:r>
            <w:r>
              <w:rPr>
                <w:color w:val="000000"/>
                <w:spacing w:val="0"/>
                <w:w w:val="100"/>
                <w:position w:val="0"/>
                <w:sz w:val="16"/>
                <w:szCs w:val="16"/>
              </w:rPr>
              <w:t xml:space="preserve">633. </w:t>
            </w:r>
            <w:r>
              <w:rPr>
                <w:color w:val="000000"/>
                <w:spacing w:val="0"/>
                <w:w w:val="100"/>
                <w:position w:val="0"/>
                <w:sz w:val="16"/>
                <w:szCs w:val="16"/>
              </w:rPr>
              <w:t>16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1,057,460, </w:t>
            </w:r>
            <w:r>
              <w:rPr>
                <w:color w:val="000000"/>
                <w:spacing w:val="0"/>
                <w:w w:val="100"/>
                <w:position w:val="0"/>
                <w:sz w:val="16"/>
                <w:szCs w:val="16"/>
              </w:rPr>
              <w:t xml:space="preserve">482. </w:t>
            </w:r>
            <w:r>
              <w:rPr>
                <w:color w:val="000000"/>
                <w:spacing w:val="0"/>
                <w:w w:val="100"/>
                <w:position w:val="0"/>
                <w:sz w:val="16"/>
                <w:szCs w:val="16"/>
              </w:rPr>
              <w:t>19</w:t>
            </w:r>
          </w:p>
        </w:tc>
      </w:tr>
    </w:tbl>
    <w:p>
      <w:pPr>
        <w:widowControl w:val="0"/>
        <w:spacing w:line="1" w:lineRule="exact"/>
      </w:pPr>
      <w:r>
        <w:br w:type="page"/>
      </w:r>
    </w:p>
    <w:p>
      <w:pPr>
        <w:widowControl w:val="0"/>
        <w:spacing w:line="1" w:lineRule="exact"/>
      </w:pPr>
      <w:r>
        <mc:AlternateContent>
          <mc:Choice Requires="wps">
            <w:drawing>
              <wp:anchor distT="368300" distB="0" distL="114300" distR="4406265" simplePos="0" relativeHeight="125829398" behindDoc="0" locked="0" layoutInCell="1" allowOverlap="1">
                <wp:simplePos x="0" y="0"/>
                <wp:positionH relativeFrom="page">
                  <wp:posOffset>925195</wp:posOffset>
                </wp:positionH>
                <wp:positionV relativeFrom="margin">
                  <wp:posOffset>6203315</wp:posOffset>
                </wp:positionV>
                <wp:extent cx="938530" cy="149225"/>
                <wp:wrapTopAndBottom/>
                <wp:docPr id="426" name="Shape 42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法定代表人：叶青</w:t>
                            </w:r>
                          </w:p>
                        </w:txbxContent>
                      </wps:txbx>
                      <wps:bodyPr wrap="none" lIns="0" tIns="0" rIns="0" bIns="0">
                        <a:noAutoFit/>
                      </wps:bodyPr>
                    </wps:wsp>
                  </a:graphicData>
                </a:graphic>
              </wp:anchor>
            </w:drawing>
          </mc:Choice>
          <mc:Fallback>
            <w:pict>
              <v:shape id="_x0000_s1452" type="#_x0000_t202" style="position:absolute;margin-left:72.850000000000009pt;margin-top:488.44999999999999pt;width:73.900000000000006pt;height:11.75pt;z-index:-125829355;mso-wrap-distance-left:9.pt;mso-wrap-distance-top:29.pt;mso-wrap-distance-right:346.9499999999999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法定代表人：叶青</w:t>
                      </w:r>
                    </w:p>
                  </w:txbxContent>
                </v:textbox>
                <w10:wrap type="topAndBottom" anchorx="page" anchory="margin"/>
              </v:shape>
            </w:pict>
          </mc:Fallback>
        </mc:AlternateContent>
      </w:r>
      <w:r>
        <mc:AlternateContent>
          <mc:Choice Requires="wps">
            <w:drawing>
              <wp:anchor distT="368300" distB="3175" distL="1836420" distR="2117090" simplePos="0" relativeHeight="125829400" behindDoc="0" locked="0" layoutInCell="1" allowOverlap="1">
                <wp:simplePos x="0" y="0"/>
                <wp:positionH relativeFrom="page">
                  <wp:posOffset>2647315</wp:posOffset>
                </wp:positionH>
                <wp:positionV relativeFrom="margin">
                  <wp:posOffset>6203315</wp:posOffset>
                </wp:positionV>
                <wp:extent cx="1505585" cy="146050"/>
                <wp:wrapTopAndBottom/>
                <wp:docPr id="428" name="Shape 428"/>
                <a:graphic xmlns:a="http://schemas.openxmlformats.org/drawingml/2006/main">
                  <a:graphicData uri="http://schemas.microsoft.com/office/word/2010/wordprocessingShape">
                    <wps:wsp>
                      <wps:cNvSpPr txBox="1"/>
                      <wps:spPr>
                        <a:xfrm>
                          <a:ext cx="1505585" cy="14605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主管会计工作负责人：叶小平</w:t>
                            </w:r>
                          </w:p>
                        </w:txbxContent>
                      </wps:txbx>
                      <wps:bodyPr wrap="none" lIns="0" tIns="0" rIns="0" bIns="0">
                        <a:noAutoFit/>
                      </wps:bodyPr>
                    </wps:wsp>
                  </a:graphicData>
                </a:graphic>
              </wp:anchor>
            </w:drawing>
          </mc:Choice>
          <mc:Fallback>
            <w:pict>
              <v:shape id="_x0000_s1454" type="#_x0000_t202" style="position:absolute;margin-left:208.45000000000002pt;margin-top:488.44999999999999pt;width:118.55pt;height:11.5pt;z-index:-125829353;mso-wrap-distance-left:144.59999999999999pt;mso-wrap-distance-top:29.pt;mso-wrap-distance-right:166.70000000000002pt;mso-wrap-distance-bottom:0.25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主管会计工作负责人：叶小平</w:t>
                      </w:r>
                    </w:p>
                  </w:txbxContent>
                </v:textbox>
                <w10:wrap type="topAndBottom" anchorx="page" anchory="margin"/>
              </v:shape>
            </w:pict>
          </mc:Fallback>
        </mc:AlternateContent>
      </w:r>
      <w:r>
        <mc:AlternateContent>
          <mc:Choice Requires="wps">
            <w:drawing>
              <wp:anchor distT="368300" distB="0" distL="4174490" distR="114300" simplePos="0" relativeHeight="125829402" behindDoc="0" locked="0" layoutInCell="1" allowOverlap="1">
                <wp:simplePos x="0" y="0"/>
                <wp:positionH relativeFrom="page">
                  <wp:posOffset>4985385</wp:posOffset>
                </wp:positionH>
                <wp:positionV relativeFrom="margin">
                  <wp:posOffset>6203315</wp:posOffset>
                </wp:positionV>
                <wp:extent cx="1170305" cy="149225"/>
                <wp:wrapTopAndBottom/>
                <wp:docPr id="430" name="Shape 430"/>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会计机构负责人：涂晨</w:t>
                            </w:r>
                          </w:p>
                        </w:txbxContent>
                      </wps:txbx>
                      <wps:bodyPr wrap="none" lIns="0" tIns="0" rIns="0" bIns="0">
                        <a:noAutoFit/>
                      </wps:bodyPr>
                    </wps:wsp>
                  </a:graphicData>
                </a:graphic>
              </wp:anchor>
            </w:drawing>
          </mc:Choice>
          <mc:Fallback>
            <w:pict>
              <v:shape id="_x0000_s1456" type="#_x0000_t202" style="position:absolute;margin-left:392.55000000000001pt;margin-top:488.44999999999999pt;width:92.150000000000006pt;height:11.75pt;z-index:-125829351;mso-wrap-distance-left:328.69999999999999pt;mso-wrap-distance-top:29.pt;mso-wrap-distance-right:9.pt;mso-position-horizontal-relative:page;mso-position-vertical-relative:margin"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会计机构负责人：涂晨</w:t>
                      </w:r>
                    </w:p>
                  </w:txbxContent>
                </v:textbox>
                <w10:wrap type="topAndBottom" anchorx="page" anchory="margin"/>
              </v:shape>
            </w:pict>
          </mc:Fallback>
        </mc:AlternateContent>
      </w:r>
    </w:p>
    <w:tbl>
      <w:tblPr>
        <w:tblOverlap w:val="never"/>
        <w:jc w:val="center"/>
        <w:tblLayout w:type="fixed"/>
      </w:tblPr>
      <w:tblGrid>
        <w:gridCol w:w="4301"/>
        <w:gridCol w:w="1982"/>
        <w:gridCol w:w="2069"/>
      </w:tblGrid>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负债和股东权益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110, 099, </w:t>
            </w:r>
            <w:r>
              <w:rPr>
                <w:color w:val="000000"/>
                <w:spacing w:val="0"/>
                <w:w w:val="100"/>
                <w:position w:val="0"/>
                <w:sz w:val="16"/>
                <w:szCs w:val="16"/>
              </w:rPr>
              <w:t xml:space="preserve">944. </w:t>
            </w:r>
            <w:r>
              <w:rPr>
                <w:color w:val="000000"/>
                <w:spacing w:val="0"/>
                <w:w w:val="100"/>
                <w:position w:val="0"/>
                <w:sz w:val="16"/>
                <w:szCs w:val="16"/>
              </w:rPr>
              <w:t>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100, 146, </w:t>
            </w:r>
            <w:r>
              <w:rPr>
                <w:color w:val="000000"/>
                <w:spacing w:val="0"/>
                <w:w w:val="100"/>
                <w:position w:val="0"/>
                <w:sz w:val="16"/>
                <w:szCs w:val="16"/>
              </w:rPr>
              <w:t xml:space="preserve">875.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214,364, </w:t>
            </w:r>
            <w:r>
              <w:rPr>
                <w:color w:val="000000"/>
                <w:spacing w:val="0"/>
                <w:w w:val="100"/>
                <w:position w:val="0"/>
                <w:sz w:val="16"/>
                <w:szCs w:val="16"/>
              </w:rPr>
              <w:t xml:space="preserve">677. </w:t>
            </w:r>
            <w:r>
              <w:rPr>
                <w:color w:val="000000"/>
                <w:spacing w:val="0"/>
                <w:w w:val="100"/>
                <w:position w:val="0"/>
                <w:sz w:val="16"/>
                <w:szCs w:val="16"/>
              </w:rPr>
              <w:t>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158, 167, </w:t>
            </w:r>
            <w:r>
              <w:rPr>
                <w:color w:val="000000"/>
                <w:spacing w:val="0"/>
                <w:w w:val="100"/>
                <w:position w:val="0"/>
                <w:sz w:val="16"/>
                <w:szCs w:val="16"/>
              </w:rPr>
              <w:t xml:space="preserve">897. </w:t>
            </w:r>
            <w:r>
              <w:rPr>
                <w:color w:val="000000"/>
                <w:spacing w:val="0"/>
                <w:w w:val="100"/>
                <w:position w:val="0"/>
                <w:sz w:val="16"/>
                <w:szCs w:val="16"/>
              </w:rPr>
              <w:t>71</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2, 448, </w:t>
            </w:r>
            <w:r>
              <w:rPr>
                <w:color w:val="000000"/>
                <w:spacing w:val="0"/>
                <w:w w:val="100"/>
                <w:position w:val="0"/>
                <w:sz w:val="16"/>
                <w:szCs w:val="16"/>
              </w:rPr>
              <w:t xml:space="preserve">493. </w:t>
            </w:r>
            <w:r>
              <w:rPr>
                <w:color w:val="000000"/>
                <w:spacing w:val="0"/>
                <w:w w:val="100"/>
                <w:position w:val="0"/>
                <w:sz w:val="16"/>
                <w:szCs w:val="16"/>
              </w:rPr>
              <w:t>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17,636,555.95</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23,250, </w:t>
            </w:r>
            <w:r>
              <w:rPr>
                <w:color w:val="000000"/>
                <w:spacing w:val="0"/>
                <w:w w:val="100"/>
                <w:position w:val="0"/>
                <w:sz w:val="16"/>
                <w:szCs w:val="16"/>
              </w:rPr>
              <w:t xml:space="preserve">047. </w:t>
            </w:r>
            <w:r>
              <w:rPr>
                <w:color w:val="000000"/>
                <w:spacing w:val="0"/>
                <w:w w:val="100"/>
                <w:position w:val="0"/>
                <w:sz w:val="16"/>
                <w:szCs w:val="16"/>
              </w:rPr>
              <w:t>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80" w:firstLine="0"/>
              <w:jc w:val="right"/>
              <w:rPr>
                <w:sz w:val="16"/>
                <w:szCs w:val="16"/>
              </w:rPr>
            </w:pPr>
            <w:r>
              <w:rPr>
                <w:color w:val="000000"/>
                <w:spacing w:val="0"/>
                <w:w w:val="100"/>
                <w:position w:val="0"/>
                <w:sz w:val="16"/>
                <w:szCs w:val="16"/>
              </w:rPr>
              <w:t>-</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49,255,825.02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40,162,932.20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13, </w:t>
            </w:r>
            <w:r>
              <w:rPr>
                <w:color w:val="000000"/>
                <w:spacing w:val="0"/>
                <w:w w:val="100"/>
                <w:position w:val="0"/>
                <w:sz w:val="16"/>
                <w:szCs w:val="16"/>
              </w:rPr>
              <w:t>169,228.51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16,239, </w:t>
            </w:r>
            <w:r>
              <w:rPr>
                <w:color w:val="000000"/>
                <w:spacing w:val="0"/>
                <w:w w:val="100"/>
                <w:position w:val="0"/>
                <w:sz w:val="16"/>
                <w:szCs w:val="16"/>
              </w:rPr>
              <w:t xml:space="preserve">474. </w:t>
            </w:r>
            <w:r>
              <w:rPr>
                <w:color w:val="000000"/>
                <w:spacing w:val="0"/>
                <w:w w:val="100"/>
                <w:position w:val="0"/>
                <w:sz w:val="16"/>
                <w:szCs w:val="16"/>
              </w:rPr>
              <w:t>55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66,269,232.78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24, 449, </w:t>
            </w:r>
            <w:r>
              <w:rPr>
                <w:color w:val="000000"/>
                <w:spacing w:val="0"/>
                <w:w w:val="100"/>
                <w:position w:val="0"/>
                <w:sz w:val="16"/>
                <w:szCs w:val="16"/>
              </w:rPr>
              <w:t xml:space="preserve">884. </w:t>
            </w:r>
            <w:r>
              <w:rPr>
                <w:color w:val="000000"/>
                <w:spacing w:val="0"/>
                <w:w w:val="100"/>
                <w:position w:val="0"/>
                <w:sz w:val="16"/>
                <w:szCs w:val="16"/>
              </w:rPr>
              <w:t>85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294, </w:t>
            </w:r>
            <w:r>
              <w:rPr>
                <w:color w:val="000000"/>
                <w:spacing w:val="0"/>
                <w:w w:val="100"/>
                <w:position w:val="0"/>
                <w:sz w:val="16"/>
                <w:szCs w:val="16"/>
              </w:rPr>
              <w:t xml:space="preserve">027. </w:t>
            </w:r>
            <w:r>
              <w:rPr>
                <w:color w:val="000000"/>
                <w:spacing w:val="0"/>
                <w:w w:val="100"/>
                <w:position w:val="0"/>
                <w:sz w:val="16"/>
                <w:szCs w:val="16"/>
              </w:rPr>
              <w:t>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203,333.33</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22, 490, </w:t>
            </w:r>
            <w:r>
              <w:rPr>
                <w:color w:val="000000"/>
                <w:spacing w:val="0"/>
                <w:w w:val="100"/>
                <w:position w:val="0"/>
                <w:sz w:val="16"/>
                <w:szCs w:val="16"/>
              </w:rPr>
              <w:t xml:space="preserve">942. </w:t>
            </w:r>
            <w:r>
              <w:rPr>
                <w:color w:val="000000"/>
                <w:spacing w:val="0"/>
                <w:w w:val="100"/>
                <w:position w:val="0"/>
                <w:sz w:val="16"/>
                <w:szCs w:val="16"/>
              </w:rPr>
              <w:t>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14, 118, </w:t>
            </w:r>
            <w:r>
              <w:rPr>
                <w:color w:val="000000"/>
                <w:spacing w:val="0"/>
                <w:w w:val="100"/>
                <w:position w:val="0"/>
                <w:sz w:val="16"/>
                <w:szCs w:val="16"/>
              </w:rPr>
              <w:t xml:space="preserve">832. </w:t>
            </w:r>
            <w:r>
              <w:rPr>
                <w:color w:val="000000"/>
                <w:spacing w:val="0"/>
                <w:w w:val="100"/>
                <w:position w:val="0"/>
                <w:sz w:val="16"/>
                <w:szCs w:val="16"/>
              </w:rPr>
              <w:t>08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501,642,419.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371,125,785.67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228, 000,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53,201,555.40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46,270,283.31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321,952.36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366, </w:t>
            </w:r>
            <w:r>
              <w:rPr>
                <w:color w:val="000000"/>
                <w:spacing w:val="0"/>
                <w:w w:val="100"/>
                <w:position w:val="0"/>
                <w:sz w:val="16"/>
                <w:szCs w:val="16"/>
              </w:rPr>
              <w:t xml:space="preserve">145. </w:t>
            </w:r>
            <w:r>
              <w:rPr>
                <w:color w:val="000000"/>
                <w:spacing w:val="0"/>
                <w:w w:val="100"/>
                <w:position w:val="0"/>
                <w:sz w:val="16"/>
                <w:szCs w:val="16"/>
              </w:rPr>
              <w:t>77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281,523,507.76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196, 636, </w:t>
            </w:r>
            <w:r>
              <w:rPr>
                <w:color w:val="000000"/>
                <w:spacing w:val="0"/>
                <w:w w:val="100"/>
                <w:position w:val="0"/>
                <w:sz w:val="16"/>
                <w:szCs w:val="16"/>
              </w:rPr>
              <w:t xml:space="preserve">429. </w:t>
            </w:r>
            <w:r>
              <w:rPr>
                <w:color w:val="000000"/>
                <w:spacing w:val="0"/>
                <w:w w:val="100"/>
                <w:position w:val="0"/>
                <w:sz w:val="16"/>
                <w:szCs w:val="16"/>
              </w:rPr>
              <w:t>08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783, 165, </w:t>
            </w:r>
            <w:r>
              <w:rPr>
                <w:color w:val="000000"/>
                <w:spacing w:val="0"/>
                <w:w w:val="100"/>
                <w:position w:val="0"/>
                <w:sz w:val="16"/>
                <w:szCs w:val="16"/>
              </w:rPr>
              <w:t xml:space="preserve">927. </w:t>
            </w:r>
            <w:r>
              <w:rPr>
                <w:color w:val="000000"/>
                <w:spacing w:val="0"/>
                <w:w w:val="100"/>
                <w:position w:val="0"/>
                <w:sz w:val="16"/>
                <w:szCs w:val="16"/>
              </w:rPr>
              <w:t>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567,762,214.75</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127, </w:t>
            </w:r>
            <w:r>
              <w:rPr>
                <w:color w:val="000000"/>
                <w:spacing w:val="0"/>
                <w:w w:val="100"/>
                <w:position w:val="0"/>
                <w:sz w:val="16"/>
                <w:szCs w:val="16"/>
              </w:rPr>
              <w:t>541,353.92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127, </w:t>
            </w:r>
            <w:r>
              <w:rPr>
                <w:color w:val="000000"/>
                <w:spacing w:val="0"/>
                <w:w w:val="100"/>
                <w:position w:val="0"/>
                <w:sz w:val="16"/>
                <w:szCs w:val="16"/>
              </w:rPr>
              <w:t>541,353.92</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18, 896, </w:t>
            </w:r>
            <w:r>
              <w:rPr>
                <w:color w:val="000000"/>
                <w:spacing w:val="0"/>
                <w:w w:val="100"/>
                <w:position w:val="0"/>
                <w:sz w:val="16"/>
                <w:szCs w:val="16"/>
              </w:rPr>
              <w:t>111.68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16,395,079.97</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210, 437, </w:t>
            </w:r>
            <w:r>
              <w:rPr>
                <w:color w:val="000000"/>
                <w:spacing w:val="0"/>
                <w:w w:val="100"/>
                <w:position w:val="0"/>
                <w:sz w:val="16"/>
                <w:szCs w:val="16"/>
              </w:rPr>
              <w:t xml:space="preserve">746.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179, </w:t>
            </w:r>
            <w:r>
              <w:rPr>
                <w:color w:val="000000"/>
                <w:spacing w:val="0"/>
                <w:w w:val="100"/>
                <w:position w:val="0"/>
                <w:sz w:val="16"/>
                <w:szCs w:val="16"/>
              </w:rPr>
              <w:t xml:space="preserve">021,444. </w:t>
            </w:r>
            <w:r>
              <w:rPr>
                <w:color w:val="000000"/>
                <w:spacing w:val="0"/>
                <w:w w:val="100"/>
                <w:position w:val="0"/>
                <w:sz w:val="16"/>
                <w:szCs w:val="16"/>
              </w:rPr>
              <w:t>99</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归属于母公司股东权益合计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503, </w:t>
            </w:r>
            <w:r>
              <w:rPr>
                <w:color w:val="000000"/>
                <w:spacing w:val="0"/>
                <w:w w:val="100"/>
                <w:position w:val="0"/>
                <w:sz w:val="16"/>
                <w:szCs w:val="16"/>
              </w:rPr>
              <w:t>541,912.51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469, 624, </w:t>
            </w:r>
            <w:r>
              <w:rPr>
                <w:color w:val="000000"/>
                <w:spacing w:val="0"/>
                <w:w w:val="100"/>
                <w:position w:val="0"/>
                <w:sz w:val="16"/>
                <w:szCs w:val="16"/>
              </w:rPr>
              <w:t xml:space="preserve">578. </w:t>
            </w:r>
            <w:r>
              <w:rPr>
                <w:color w:val="000000"/>
                <w:spacing w:val="0"/>
                <w:w w:val="100"/>
                <w:position w:val="0"/>
                <w:sz w:val="16"/>
                <w:szCs w:val="16"/>
              </w:rPr>
              <w:t>88</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23,254,793.09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20, 073, </w:t>
            </w:r>
            <w:r>
              <w:rPr>
                <w:color w:val="000000"/>
                <w:spacing w:val="0"/>
                <w:w w:val="100"/>
                <w:position w:val="0"/>
                <w:sz w:val="16"/>
                <w:szCs w:val="16"/>
              </w:rPr>
              <w:t xml:space="preserve">688. </w:t>
            </w:r>
            <w:r>
              <w:rPr>
                <w:color w:val="000000"/>
                <w:spacing w:val="0"/>
                <w:w w:val="100"/>
                <w:position w:val="0"/>
                <w:sz w:val="16"/>
                <w:szCs w:val="16"/>
              </w:rPr>
              <w:t>56</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526,796,705.60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489, 698, </w:t>
            </w:r>
            <w:r>
              <w:rPr>
                <w:color w:val="000000"/>
                <w:spacing w:val="0"/>
                <w:w w:val="100"/>
                <w:position w:val="0"/>
                <w:sz w:val="16"/>
                <w:szCs w:val="16"/>
              </w:rPr>
              <w:t xml:space="preserve">267. </w:t>
            </w:r>
            <w:r>
              <w:rPr>
                <w:color w:val="000000"/>
                <w:spacing w:val="0"/>
                <w:w w:val="100"/>
                <w:position w:val="0"/>
                <w:sz w:val="16"/>
                <w:szCs w:val="16"/>
              </w:rPr>
              <w:t>44</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1,309, 962, </w:t>
            </w:r>
            <w:r>
              <w:rPr>
                <w:color w:val="000000"/>
                <w:spacing w:val="0"/>
                <w:w w:val="100"/>
                <w:position w:val="0"/>
                <w:sz w:val="16"/>
                <w:szCs w:val="16"/>
              </w:rPr>
              <w:t xml:space="preserve">633. </w:t>
            </w:r>
            <w:r>
              <w:rPr>
                <w:color w:val="000000"/>
                <w:spacing w:val="0"/>
                <w:w w:val="100"/>
                <w:position w:val="0"/>
                <w:sz w:val="16"/>
                <w:szCs w:val="16"/>
              </w:rPr>
              <w:t>16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6"/>
                <w:szCs w:val="16"/>
              </w:rPr>
            </w:pPr>
            <w:r>
              <w:rPr>
                <w:color w:val="000000"/>
                <w:spacing w:val="0"/>
                <w:w w:val="100"/>
                <w:position w:val="0"/>
                <w:sz w:val="16"/>
                <w:szCs w:val="16"/>
              </w:rPr>
              <w:t xml:space="preserve">1,057, 460, </w:t>
            </w:r>
            <w:r>
              <w:rPr>
                <w:color w:val="000000"/>
                <w:spacing w:val="0"/>
                <w:w w:val="100"/>
                <w:position w:val="0"/>
                <w:sz w:val="16"/>
                <w:szCs w:val="16"/>
              </w:rPr>
              <w:t xml:space="preserve">482. </w:t>
            </w:r>
            <w:r>
              <w:rPr>
                <w:color w:val="000000"/>
                <w:spacing w:val="0"/>
                <w:w w:val="100"/>
                <w:position w:val="0"/>
                <w:sz w:val="16"/>
                <w:szCs w:val="16"/>
              </w:rPr>
              <w:t>19</w:t>
            </w:r>
          </w:p>
        </w:tc>
      </w:tr>
    </w:tbl>
    <w:p>
      <w:pPr>
        <w:sectPr>
          <w:headerReference w:type="default" r:id="rId167"/>
          <w:footerReference w:type="default" r:id="rId168"/>
          <w:headerReference w:type="even" r:id="rId169"/>
          <w:footerReference w:type="even" r:id="rId170"/>
          <w:headerReference w:type="first" r:id="rId171"/>
          <w:footerReference w:type="first" r:id="rId172"/>
          <w:footnotePr>
            <w:pos w:val="pageBottom"/>
            <w:numFmt w:val="decimal"/>
            <w:numRestart w:val="continuous"/>
          </w:footnotePr>
          <w:pgSz w:w="11900" w:h="16840"/>
          <w:pgMar w:top="1453" w:right="2034" w:bottom="1653" w:left="1342" w:header="0" w:footer="3" w:gutter="0"/>
          <w:cols w:space="720"/>
          <w:noEndnote/>
          <w:titlePg/>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724" w:name="bookmark724"/>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2</w:t>
      </w:r>
      <w:bookmarkEnd w:id="726"/>
      <w:r>
        <w:rPr>
          <w:color w:val="000000"/>
          <w:spacing w:val="0"/>
          <w:w w:val="100"/>
          <w:position w:val="0"/>
        </w:rPr>
        <w:t>、母公司资产负债表</w:t>
      </w:r>
      <w:bookmarkEnd w:id="724"/>
      <w:bookmarkEnd w:id="725"/>
      <w:bookmarkEnd w:id="727"/>
    </w:p>
    <w:p>
      <w:pPr>
        <w:pStyle w:val="Style37"/>
        <w:keepNext w:val="0"/>
        <w:keepLines w:val="0"/>
        <w:widowControl w:val="0"/>
        <w:shd w:val="clear" w:color="auto" w:fill="auto"/>
        <w:bidi w:val="0"/>
        <w:spacing w:before="0" w:after="0" w:line="240" w:lineRule="auto"/>
        <w:ind w:left="7416" w:right="0" w:firstLine="0"/>
        <w:jc w:val="left"/>
      </w:pPr>
      <w:r>
        <w:rPr>
          <w:color w:val="000000"/>
          <w:spacing w:val="0"/>
          <w:w w:val="100"/>
          <w:position w:val="0"/>
        </w:rPr>
        <w:t>单位：元</w:t>
      </w:r>
    </w:p>
    <w:tbl>
      <w:tblPr>
        <w:tblOverlap w:val="never"/>
        <w:jc w:val="center"/>
        <w:tblLayout w:type="fixed"/>
      </w:tblPr>
      <w:tblGrid>
        <w:gridCol w:w="4301"/>
        <w:gridCol w:w="1982"/>
        <w:gridCol w:w="2016"/>
      </w:tblGrid>
      <w:tr>
        <w:trPr>
          <w:trHeight w:val="42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206, </w:t>
            </w:r>
            <w:r>
              <w:rPr>
                <w:color w:val="000000"/>
                <w:spacing w:val="0"/>
                <w:w w:val="100"/>
                <w:position w:val="0"/>
                <w:sz w:val="16"/>
                <w:szCs w:val="16"/>
              </w:rPr>
              <w:t xml:space="preserve">987,328.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146, 527, </w:t>
            </w:r>
            <w:r>
              <w:rPr>
                <w:color w:val="000000"/>
                <w:spacing w:val="0"/>
                <w:w w:val="100"/>
                <w:position w:val="0"/>
                <w:sz w:val="16"/>
                <w:szCs w:val="16"/>
              </w:rPr>
              <w:t xml:space="preserve">438. </w:t>
            </w:r>
            <w:r>
              <w:rPr>
                <w:color w:val="000000"/>
                <w:spacing w:val="0"/>
                <w:w w:val="100"/>
                <w:position w:val="0"/>
                <w:sz w:val="16"/>
                <w:szCs w:val="16"/>
              </w:rPr>
              <w:t>81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43, 779, </w:t>
            </w:r>
            <w:r>
              <w:rPr>
                <w:color w:val="000000"/>
                <w:spacing w:val="0"/>
                <w:w w:val="100"/>
                <w:position w:val="0"/>
                <w:sz w:val="16"/>
                <w:szCs w:val="16"/>
              </w:rPr>
              <w:t xml:space="preserve">895. </w:t>
            </w:r>
            <w:r>
              <w:rPr>
                <w:color w:val="000000"/>
                <w:spacing w:val="0"/>
                <w:w w:val="100"/>
                <w:position w:val="0"/>
                <w:sz w:val="16"/>
                <w:szCs w:val="16"/>
              </w:rPr>
              <w:t>89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8, 902, </w:t>
            </w:r>
            <w:r>
              <w:rPr>
                <w:color w:val="000000"/>
                <w:spacing w:val="0"/>
                <w:w w:val="100"/>
                <w:position w:val="0"/>
                <w:sz w:val="16"/>
                <w:szCs w:val="16"/>
              </w:rPr>
              <w:t xml:space="preserve">831.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25,015,120.80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328, 025, </w:t>
            </w:r>
            <w:r>
              <w:rPr>
                <w:color w:val="000000"/>
                <w:spacing w:val="0"/>
                <w:w w:val="100"/>
                <w:position w:val="0"/>
                <w:sz w:val="16"/>
                <w:szCs w:val="16"/>
              </w:rPr>
              <w:t xml:space="preserve">837.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236,516, </w:t>
            </w:r>
            <w:r>
              <w:rPr>
                <w:color w:val="000000"/>
                <w:spacing w:val="0"/>
                <w:w w:val="100"/>
                <w:position w:val="0"/>
                <w:sz w:val="16"/>
                <w:szCs w:val="16"/>
              </w:rPr>
              <w:t xml:space="preserve">622. </w:t>
            </w:r>
            <w:r>
              <w:rPr>
                <w:color w:val="000000"/>
                <w:spacing w:val="0"/>
                <w:w w:val="100"/>
                <w:position w:val="0"/>
                <w:sz w:val="16"/>
                <w:szCs w:val="16"/>
              </w:rPr>
              <w:t>22</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w:t>
            </w:r>
            <w:r>
              <w:rPr>
                <w:color w:val="000000"/>
                <w:spacing w:val="0"/>
                <w:w w:val="100"/>
                <w:position w:val="0"/>
                <w:sz w:val="16"/>
                <w:szCs w:val="16"/>
              </w:rPr>
              <w:t>690,563.01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1,598, </w:t>
            </w:r>
            <w:r>
              <w:rPr>
                <w:color w:val="000000"/>
                <w:spacing w:val="0"/>
                <w:w w:val="100"/>
                <w:position w:val="0"/>
                <w:sz w:val="16"/>
                <w:szCs w:val="16"/>
              </w:rPr>
              <w:t xml:space="preserve">240.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12,282,630.54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49,173,849.04</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存货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300.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70, 465, </w:t>
            </w:r>
            <w:r>
              <w:rPr>
                <w:color w:val="000000"/>
                <w:spacing w:val="0"/>
                <w:w w:val="100"/>
                <w:position w:val="0"/>
                <w:sz w:val="16"/>
                <w:szCs w:val="16"/>
              </w:rPr>
              <w:t xml:space="preserve">974.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10, 473, </w:t>
            </w:r>
            <w:r>
              <w:rPr>
                <w:color w:val="000000"/>
                <w:spacing w:val="0"/>
                <w:w w:val="100"/>
                <w:position w:val="0"/>
                <w:sz w:val="16"/>
                <w:szCs w:val="16"/>
              </w:rPr>
              <w:t xml:space="preserve">839.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 </w:t>
            </w:r>
            <w:r>
              <w:rPr>
                <w:color w:val="000000"/>
                <w:spacing w:val="0"/>
                <w:w w:val="100"/>
                <w:position w:val="0"/>
                <w:sz w:val="16"/>
                <w:szCs w:val="16"/>
              </w:rPr>
              <w:t>957,752.30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641, 838, </w:t>
            </w:r>
            <w:r>
              <w:rPr>
                <w:color w:val="000000"/>
                <w:spacing w:val="0"/>
                <w:w w:val="100"/>
                <w:position w:val="0"/>
                <w:sz w:val="16"/>
                <w:szCs w:val="16"/>
              </w:rPr>
              <w:t xml:space="preserve">304.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509,578,219. </w:t>
            </w:r>
            <w:r>
              <w:rPr>
                <w:color w:val="000000"/>
                <w:spacing w:val="0"/>
                <w:w w:val="100"/>
                <w:position w:val="0"/>
                <w:sz w:val="16"/>
                <w:szCs w:val="16"/>
              </w:rPr>
              <w:t>06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69, 180, </w:t>
            </w:r>
            <w:r>
              <w:rPr>
                <w:color w:val="000000"/>
                <w:spacing w:val="0"/>
                <w:w w:val="100"/>
                <w:position w:val="0"/>
                <w:sz w:val="16"/>
                <w:szCs w:val="16"/>
              </w:rPr>
              <w:t>178.06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54, 783, </w:t>
            </w:r>
            <w:r>
              <w:rPr>
                <w:color w:val="000000"/>
                <w:spacing w:val="0"/>
                <w:w w:val="100"/>
                <w:position w:val="0"/>
                <w:sz w:val="16"/>
                <w:szCs w:val="16"/>
              </w:rPr>
              <w:t xml:space="preserve">090. </w:t>
            </w:r>
            <w:r>
              <w:rPr>
                <w:color w:val="000000"/>
                <w:spacing w:val="0"/>
                <w:w w:val="100"/>
                <w:position w:val="0"/>
                <w:sz w:val="16"/>
                <w:szCs w:val="16"/>
              </w:rPr>
              <w:t>92</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68,711,682.68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77,345,262. </w:t>
            </w:r>
            <w:r>
              <w:rPr>
                <w:color w:val="000000"/>
                <w:spacing w:val="0"/>
                <w:w w:val="100"/>
                <w:position w:val="0"/>
                <w:sz w:val="16"/>
                <w:szCs w:val="16"/>
              </w:rPr>
              <w:t>13</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331,783,910.61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197,321,254.52</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83,019, </w:t>
            </w:r>
            <w:r>
              <w:rPr>
                <w:color w:val="000000"/>
                <w:spacing w:val="0"/>
                <w:w w:val="100"/>
                <w:position w:val="0"/>
                <w:sz w:val="16"/>
                <w:szCs w:val="16"/>
              </w:rPr>
              <w:t>153.37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83, 677, </w:t>
            </w:r>
            <w:r>
              <w:rPr>
                <w:color w:val="000000"/>
                <w:spacing w:val="0"/>
                <w:w w:val="100"/>
                <w:position w:val="0"/>
                <w:sz w:val="16"/>
                <w:szCs w:val="16"/>
              </w:rPr>
              <w:t xml:space="preserve">948. </w:t>
            </w:r>
            <w:r>
              <w:rPr>
                <w:color w:val="000000"/>
                <w:spacing w:val="0"/>
                <w:w w:val="100"/>
                <w:position w:val="0"/>
                <w:sz w:val="16"/>
                <w:szCs w:val="16"/>
              </w:rPr>
              <w:t>78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3,605,710. </w:t>
            </w:r>
            <w:r>
              <w:rPr>
                <w:color w:val="000000"/>
                <w:spacing w:val="0"/>
                <w:w w:val="100"/>
                <w:position w:val="0"/>
                <w:sz w:val="16"/>
                <w:szCs w:val="16"/>
              </w:rPr>
              <w:t>96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18, </w:t>
            </w:r>
            <w:r>
              <w:rPr>
                <w:color w:val="000000"/>
                <w:spacing w:val="0"/>
                <w:w w:val="100"/>
                <w:position w:val="0"/>
                <w:sz w:val="16"/>
                <w:szCs w:val="16"/>
              </w:rPr>
              <w:t xml:space="preserve">831,455.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27,073,426.77</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17,338, </w:t>
            </w:r>
            <w:r>
              <w:rPr>
                <w:color w:val="000000"/>
                <w:spacing w:val="0"/>
                <w:w w:val="100"/>
                <w:position w:val="0"/>
                <w:sz w:val="16"/>
                <w:szCs w:val="16"/>
              </w:rPr>
              <w:t>695.72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15,115,890.34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780, </w:t>
            </w:r>
            <w:r>
              <w:rPr>
                <w:color w:val="000000"/>
                <w:spacing w:val="0"/>
                <w:w w:val="100"/>
                <w:position w:val="0"/>
                <w:sz w:val="16"/>
                <w:szCs w:val="16"/>
              </w:rPr>
              <w:t xml:space="preserve">542.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1, 156, </w:t>
            </w:r>
            <w:r>
              <w:rPr>
                <w:color w:val="000000"/>
                <w:spacing w:val="0"/>
                <w:w w:val="100"/>
                <w:position w:val="0"/>
                <w:sz w:val="16"/>
                <w:szCs w:val="16"/>
              </w:rPr>
              <w:t xml:space="preserve">048. </w:t>
            </w:r>
            <w:r>
              <w:rPr>
                <w:color w:val="000000"/>
                <w:spacing w:val="0"/>
                <w:w w:val="100"/>
                <w:position w:val="0"/>
                <w:sz w:val="16"/>
                <w:szCs w:val="16"/>
              </w:rPr>
              <w:t>28</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589, 645, </w:t>
            </w:r>
            <w:r>
              <w:rPr>
                <w:color w:val="000000"/>
                <w:spacing w:val="0"/>
                <w:w w:val="100"/>
                <w:position w:val="0"/>
                <w:sz w:val="16"/>
                <w:szCs w:val="16"/>
              </w:rPr>
              <w:t xml:space="preserve">618.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460, 078, </w:t>
            </w:r>
            <w:r>
              <w:rPr>
                <w:color w:val="000000"/>
                <w:spacing w:val="0"/>
                <w:w w:val="100"/>
                <w:position w:val="0"/>
                <w:sz w:val="16"/>
                <w:szCs w:val="16"/>
              </w:rPr>
              <w:t xml:space="preserve">632. </w:t>
            </w:r>
            <w:r>
              <w:rPr>
                <w:color w:val="000000"/>
                <w:spacing w:val="0"/>
                <w:w w:val="100"/>
                <w:position w:val="0"/>
                <w:sz w:val="16"/>
                <w:szCs w:val="16"/>
              </w:rPr>
              <w:t>70</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1,231,483, </w:t>
            </w:r>
            <w:r>
              <w:rPr>
                <w:color w:val="000000"/>
                <w:spacing w:val="0"/>
                <w:w w:val="100"/>
                <w:position w:val="0"/>
                <w:sz w:val="16"/>
                <w:szCs w:val="16"/>
              </w:rPr>
              <w:t xml:space="preserve">922.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969, 656, </w:t>
            </w:r>
            <w:r>
              <w:rPr>
                <w:color w:val="000000"/>
                <w:spacing w:val="0"/>
                <w:w w:val="100"/>
                <w:position w:val="0"/>
                <w:sz w:val="16"/>
                <w:szCs w:val="16"/>
              </w:rPr>
              <w:t xml:space="preserve">851. </w:t>
            </w:r>
            <w:r>
              <w:rPr>
                <w:color w:val="000000"/>
                <w:spacing w:val="0"/>
                <w:w w:val="100"/>
                <w:position w:val="0"/>
                <w:sz w:val="16"/>
                <w:szCs w:val="16"/>
              </w:rPr>
              <w:t>76</w:t>
            </w:r>
          </w:p>
        </w:tc>
      </w:tr>
    </w:tbl>
    <w:p>
      <w:pPr>
        <w:widowControl w:val="0"/>
        <w:spacing w:line="1" w:lineRule="exact"/>
      </w:pPr>
      <w:r>
        <w:br w:type="page"/>
      </w:r>
    </w:p>
    <w:tbl>
      <w:tblPr>
        <w:tblOverlap w:val="never"/>
        <w:jc w:val="center"/>
        <w:tblLayout w:type="fixed"/>
      </w:tblPr>
      <w:tblGrid>
        <w:gridCol w:w="4301"/>
        <w:gridCol w:w="1982"/>
        <w:gridCol w:w="2016"/>
      </w:tblGrid>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负债和股东权益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100, 099, </w:t>
            </w:r>
            <w:r>
              <w:rPr>
                <w:color w:val="000000"/>
                <w:spacing w:val="0"/>
                <w:w w:val="100"/>
                <w:position w:val="0"/>
                <w:sz w:val="16"/>
                <w:szCs w:val="16"/>
              </w:rPr>
              <w:t xml:space="preserve">944.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100, 146, </w:t>
            </w:r>
            <w:r>
              <w:rPr>
                <w:color w:val="000000"/>
                <w:spacing w:val="0"/>
                <w:w w:val="100"/>
                <w:position w:val="0"/>
                <w:sz w:val="16"/>
                <w:szCs w:val="16"/>
              </w:rPr>
              <w:t xml:space="preserve">875.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229, </w:t>
            </w:r>
            <w:r>
              <w:rPr>
                <w:color w:val="000000"/>
                <w:spacing w:val="0"/>
                <w:w w:val="100"/>
                <w:position w:val="0"/>
                <w:sz w:val="16"/>
                <w:szCs w:val="16"/>
              </w:rPr>
              <w:t>965,752.78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157,568, </w:t>
            </w:r>
            <w:r>
              <w:rPr>
                <w:color w:val="000000"/>
                <w:spacing w:val="0"/>
                <w:w w:val="100"/>
                <w:position w:val="0"/>
                <w:sz w:val="16"/>
                <w:szCs w:val="16"/>
              </w:rPr>
              <w:t xml:space="preserve">495. </w:t>
            </w:r>
            <w:r>
              <w:rPr>
                <w:color w:val="000000"/>
                <w:spacing w:val="0"/>
                <w:w w:val="100"/>
                <w:position w:val="0"/>
                <w:sz w:val="16"/>
                <w:szCs w:val="16"/>
              </w:rPr>
              <w:t>21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274, </w:t>
            </w:r>
            <w:r>
              <w:rPr>
                <w:color w:val="000000"/>
                <w:spacing w:val="0"/>
                <w:w w:val="100"/>
                <w:position w:val="0"/>
                <w:sz w:val="16"/>
                <w:szCs w:val="16"/>
              </w:rPr>
              <w:t xml:space="preserve">203.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9,298,516.70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9, 629, </w:t>
            </w:r>
            <w:r>
              <w:rPr>
                <w:color w:val="000000"/>
                <w:spacing w:val="0"/>
                <w:w w:val="100"/>
                <w:position w:val="0"/>
                <w:sz w:val="16"/>
                <w:szCs w:val="16"/>
              </w:rPr>
              <w:t xml:space="preserve">977.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30, 490, </w:t>
            </w:r>
            <w:r>
              <w:rPr>
                <w:color w:val="000000"/>
                <w:spacing w:val="0"/>
                <w:w w:val="100"/>
                <w:position w:val="0"/>
                <w:sz w:val="16"/>
                <w:szCs w:val="16"/>
              </w:rPr>
              <w:t>422.49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29,501,761.52</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7,712,103.02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10,416, </w:t>
            </w:r>
            <w:r>
              <w:rPr>
                <w:color w:val="000000"/>
                <w:spacing w:val="0"/>
                <w:w w:val="100"/>
                <w:position w:val="0"/>
                <w:sz w:val="16"/>
                <w:szCs w:val="16"/>
              </w:rPr>
              <w:t xml:space="preserve">061. </w:t>
            </w:r>
            <w:r>
              <w:rPr>
                <w:color w:val="000000"/>
                <w:spacing w:val="0"/>
                <w:w w:val="100"/>
                <w:position w:val="0"/>
                <w:sz w:val="16"/>
                <w:szCs w:val="16"/>
              </w:rPr>
              <w:t>87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124, 402, </w:t>
            </w:r>
            <w:r>
              <w:rPr>
                <w:color w:val="000000"/>
                <w:spacing w:val="0"/>
                <w:w w:val="100"/>
                <w:position w:val="0"/>
                <w:sz w:val="16"/>
                <w:szCs w:val="16"/>
              </w:rPr>
              <w:t xml:space="preserve">672.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39, 030, </w:t>
            </w:r>
            <w:r>
              <w:rPr>
                <w:color w:val="000000"/>
                <w:spacing w:val="0"/>
                <w:w w:val="100"/>
                <w:position w:val="0"/>
                <w:sz w:val="16"/>
                <w:szCs w:val="16"/>
              </w:rPr>
              <w:t xml:space="preserve">069. </w:t>
            </w:r>
            <w:r>
              <w:rPr>
                <w:color w:val="000000"/>
                <w:spacing w:val="0"/>
                <w:w w:val="100"/>
                <w:position w:val="0"/>
                <w:sz w:val="16"/>
                <w:szCs w:val="16"/>
              </w:rPr>
              <w:t>48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294, </w:t>
            </w:r>
            <w:r>
              <w:rPr>
                <w:color w:val="000000"/>
                <w:spacing w:val="0"/>
                <w:w w:val="100"/>
                <w:position w:val="0"/>
                <w:sz w:val="16"/>
                <w:szCs w:val="16"/>
              </w:rPr>
              <w:t xml:space="preserve">027.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203,333.33</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17,666, </w:t>
            </w:r>
            <w:r>
              <w:rPr>
                <w:color w:val="000000"/>
                <w:spacing w:val="0"/>
                <w:w w:val="100"/>
                <w:position w:val="0"/>
                <w:sz w:val="16"/>
                <w:szCs w:val="16"/>
              </w:rPr>
              <w:t>123.24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12,012,265.71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520,535,226.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358, </w:t>
            </w:r>
            <w:r>
              <w:rPr>
                <w:color w:val="000000"/>
                <w:spacing w:val="0"/>
                <w:w w:val="100"/>
                <w:position w:val="0"/>
                <w:sz w:val="16"/>
                <w:szCs w:val="16"/>
              </w:rPr>
              <w:t xml:space="preserve">177,378. </w:t>
            </w:r>
            <w:r>
              <w:rPr>
                <w:color w:val="000000"/>
                <w:spacing w:val="0"/>
                <w:w w:val="100"/>
                <w:position w:val="0"/>
                <w:sz w:val="16"/>
                <w:szCs w:val="16"/>
              </w:rPr>
              <w:t>82</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228, 000,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46,795,587.25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39, 336, </w:t>
            </w:r>
            <w:r>
              <w:rPr>
                <w:color w:val="000000"/>
                <w:spacing w:val="0"/>
                <w:w w:val="100"/>
                <w:position w:val="0"/>
                <w:sz w:val="16"/>
                <w:szCs w:val="16"/>
              </w:rPr>
              <w:t xml:space="preserve">679. </w:t>
            </w:r>
            <w:r>
              <w:rPr>
                <w:color w:val="000000"/>
                <w:spacing w:val="0"/>
                <w:w w:val="100"/>
                <w:position w:val="0"/>
                <w:sz w:val="16"/>
                <w:szCs w:val="16"/>
              </w:rPr>
              <w:t>16</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274,795,587.25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189, 336, </w:t>
            </w:r>
            <w:r>
              <w:rPr>
                <w:color w:val="000000"/>
                <w:spacing w:val="0"/>
                <w:w w:val="100"/>
                <w:position w:val="0"/>
                <w:sz w:val="16"/>
                <w:szCs w:val="16"/>
              </w:rPr>
              <w:t xml:space="preserve">679. </w:t>
            </w:r>
            <w:r>
              <w:rPr>
                <w:color w:val="000000"/>
                <w:spacing w:val="0"/>
                <w:w w:val="100"/>
                <w:position w:val="0"/>
                <w:sz w:val="16"/>
                <w:szCs w:val="16"/>
              </w:rPr>
              <w:t>16</w:t>
            </w: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795,330,814.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547,514, </w:t>
            </w:r>
            <w:r>
              <w:rPr>
                <w:color w:val="000000"/>
                <w:spacing w:val="0"/>
                <w:w w:val="100"/>
                <w:position w:val="0"/>
                <w:sz w:val="16"/>
                <w:szCs w:val="16"/>
              </w:rPr>
              <w:t xml:space="preserve">057. </w:t>
            </w:r>
            <w:r>
              <w:rPr>
                <w:color w:val="000000"/>
                <w:spacing w:val="0"/>
                <w:w w:val="100"/>
                <w:position w:val="0"/>
                <w:sz w:val="16"/>
                <w:szCs w:val="16"/>
              </w:rPr>
              <w:t>98</w:t>
            </w: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128, </w:t>
            </w:r>
            <w:r>
              <w:rPr>
                <w:color w:val="000000"/>
                <w:spacing w:val="0"/>
                <w:w w:val="100"/>
                <w:position w:val="0"/>
                <w:sz w:val="16"/>
                <w:szCs w:val="16"/>
              </w:rPr>
              <w:t>053,280.71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128, </w:t>
            </w:r>
            <w:r>
              <w:rPr>
                <w:color w:val="000000"/>
                <w:spacing w:val="0"/>
                <w:w w:val="100"/>
                <w:position w:val="0"/>
                <w:sz w:val="16"/>
                <w:szCs w:val="16"/>
              </w:rPr>
              <w:t>053,280.71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18, 842, </w:t>
            </w:r>
            <w:r>
              <w:rPr>
                <w:color w:val="000000"/>
                <w:spacing w:val="0"/>
                <w:w w:val="100"/>
                <w:position w:val="0"/>
                <w:sz w:val="16"/>
                <w:szCs w:val="16"/>
              </w:rPr>
              <w:t xml:space="preserve">607.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16, </w:t>
            </w:r>
            <w:r>
              <w:rPr>
                <w:color w:val="000000"/>
                <w:spacing w:val="0"/>
                <w:w w:val="100"/>
                <w:position w:val="0"/>
                <w:sz w:val="16"/>
                <w:szCs w:val="16"/>
              </w:rPr>
              <w:t>341,575.30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142, 590, </w:t>
            </w:r>
            <w:r>
              <w:rPr>
                <w:color w:val="000000"/>
                <w:spacing w:val="0"/>
                <w:w w:val="100"/>
                <w:position w:val="0"/>
                <w:sz w:val="16"/>
                <w:szCs w:val="16"/>
              </w:rPr>
              <w:t xml:space="preserve">520.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131,081,237.77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436, 153, </w:t>
            </w:r>
            <w:r>
              <w:rPr>
                <w:color w:val="000000"/>
                <w:spacing w:val="0"/>
                <w:w w:val="100"/>
                <w:position w:val="0"/>
                <w:sz w:val="16"/>
                <w:szCs w:val="16"/>
              </w:rPr>
              <w:t xml:space="preserve">108.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422, </w:t>
            </w:r>
            <w:r>
              <w:rPr>
                <w:color w:val="000000"/>
                <w:spacing w:val="0"/>
                <w:w w:val="100"/>
                <w:position w:val="0"/>
                <w:sz w:val="16"/>
                <w:szCs w:val="16"/>
              </w:rPr>
              <w:t>142,793.78</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color w:val="000000"/>
                <w:spacing w:val="0"/>
                <w:w w:val="100"/>
                <w:position w:val="0"/>
                <w:sz w:val="16"/>
                <w:szCs w:val="16"/>
              </w:rPr>
              <w:t xml:space="preserve">1,231,483, </w:t>
            </w:r>
            <w:r>
              <w:rPr>
                <w:color w:val="000000"/>
                <w:spacing w:val="0"/>
                <w:w w:val="100"/>
                <w:position w:val="0"/>
                <w:sz w:val="16"/>
                <w:szCs w:val="16"/>
              </w:rPr>
              <w:t xml:space="preserve">922. </w:t>
            </w: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969, 656, </w:t>
            </w:r>
            <w:r>
              <w:rPr>
                <w:color w:val="000000"/>
                <w:spacing w:val="0"/>
                <w:w w:val="100"/>
                <w:position w:val="0"/>
                <w:sz w:val="16"/>
                <w:szCs w:val="16"/>
              </w:rPr>
              <w:t xml:space="preserve">851. </w:t>
            </w:r>
            <w:r>
              <w:rPr>
                <w:color w:val="000000"/>
                <w:spacing w:val="0"/>
                <w:w w:val="100"/>
                <w:position w:val="0"/>
                <w:sz w:val="16"/>
                <w:szCs w:val="16"/>
              </w:rPr>
              <w:t>76</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3</w:t>
      </w:r>
      <w:bookmarkEnd w:id="730"/>
      <w:r>
        <w:rPr>
          <w:color w:val="000000"/>
          <w:spacing w:val="0"/>
          <w:w w:val="100"/>
          <w:position w:val="0"/>
        </w:rPr>
        <w:t>、合并利润表</w:t>
      </w:r>
      <w:bookmarkEnd w:id="728"/>
      <w:bookmarkEnd w:id="729"/>
      <w:bookmarkEnd w:id="731"/>
    </w:p>
    <w:p>
      <w:pPr>
        <w:widowControl w:val="0"/>
        <w:spacing w:line="1" w:lineRule="exact"/>
      </w:pPr>
      <w:r>
        <mc:AlternateContent>
          <mc:Choice Requires="wps">
            <w:drawing>
              <wp:anchor distT="368300" distB="0" distL="0" distR="0" simplePos="0" relativeHeight="125829404" behindDoc="0" locked="0" layoutInCell="1" allowOverlap="1">
                <wp:simplePos x="0" y="0"/>
                <wp:positionH relativeFrom="page">
                  <wp:posOffset>926465</wp:posOffset>
                </wp:positionH>
                <wp:positionV relativeFrom="paragraph">
                  <wp:posOffset>368300</wp:posOffset>
                </wp:positionV>
                <wp:extent cx="938530" cy="149225"/>
                <wp:wrapTopAndBottom/>
                <wp:docPr id="453" name="Shape 453"/>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法定代表人：叶青</w:t>
                            </w:r>
                          </w:p>
                        </w:txbxContent>
                      </wps:txbx>
                      <wps:bodyPr wrap="none" lIns="0" tIns="0" rIns="0" bIns="0">
                        <a:noAutoFit/>
                      </wps:bodyPr>
                    </wps:wsp>
                  </a:graphicData>
                </a:graphic>
              </wp:anchor>
            </w:drawing>
          </mc:Choice>
          <mc:Fallback>
            <w:pict>
              <v:shape id="_x0000_s1479" type="#_x0000_t202" style="position:absolute;margin-left:72.950000000000003pt;margin-top:29.pt;width:73.900000000000006pt;height:11.75pt;z-index:-125829349;mso-wrap-distance-left:0;mso-wrap-distance-top:29.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法定代表人：叶青</w:t>
                      </w:r>
                    </w:p>
                  </w:txbxContent>
                </v:textbox>
                <w10:wrap type="topAndBottom" anchorx="page"/>
              </v:shape>
            </w:pict>
          </mc:Fallback>
        </mc:AlternateContent>
      </w:r>
      <w:r>
        <mc:AlternateContent>
          <mc:Choice Requires="wps">
            <w:drawing>
              <wp:anchor distT="368300" distB="5715" distL="0" distR="0" simplePos="0" relativeHeight="125829406" behindDoc="0" locked="0" layoutInCell="1" allowOverlap="1">
                <wp:simplePos x="0" y="0"/>
                <wp:positionH relativeFrom="page">
                  <wp:posOffset>2761615</wp:posOffset>
                </wp:positionH>
                <wp:positionV relativeFrom="paragraph">
                  <wp:posOffset>368300</wp:posOffset>
                </wp:positionV>
                <wp:extent cx="1508760" cy="143510"/>
                <wp:wrapTopAndBottom/>
                <wp:docPr id="455" name="Shape 455"/>
                <a:graphic xmlns:a="http://schemas.openxmlformats.org/drawingml/2006/main">
                  <a:graphicData uri="http://schemas.microsoft.com/office/word/2010/wordprocessingShape">
                    <wps:wsp>
                      <wps:cNvSpPr txBox="1"/>
                      <wps:spPr>
                        <a:xfrm>
                          <a:ext cx="1508760" cy="143510"/>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主管会计工作负责人：叶小平</w:t>
                            </w:r>
                          </w:p>
                        </w:txbxContent>
                      </wps:txbx>
                      <wps:bodyPr wrap="none" lIns="0" tIns="0" rIns="0" bIns="0">
                        <a:noAutoFit/>
                      </wps:bodyPr>
                    </wps:wsp>
                  </a:graphicData>
                </a:graphic>
              </wp:anchor>
            </w:drawing>
          </mc:Choice>
          <mc:Fallback>
            <w:pict>
              <v:shape id="_x0000_s1481" type="#_x0000_t202" style="position:absolute;margin-left:217.45000000000002pt;margin-top:29.pt;width:118.8pt;height:11.300000000000001pt;z-index:-125829347;mso-wrap-distance-left:0;mso-wrap-distance-top:29.pt;mso-wrap-distance-right:0;mso-wrap-distance-bottom:0.45000000000000001pt;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主管会计工作负责人：叶小平</w:t>
                      </w:r>
                    </w:p>
                  </w:txbxContent>
                </v:textbox>
                <w10:wrap type="topAndBottom" anchorx="page"/>
              </v:shape>
            </w:pict>
          </mc:Fallback>
        </mc:AlternateContent>
      </w:r>
      <w:r>
        <mc:AlternateContent>
          <mc:Choice Requires="wps">
            <w:drawing>
              <wp:anchor distT="368300" distB="0" distL="0" distR="0" simplePos="0" relativeHeight="125829408" behindDoc="0" locked="0" layoutInCell="1" allowOverlap="1">
                <wp:simplePos x="0" y="0"/>
                <wp:positionH relativeFrom="page">
                  <wp:posOffset>4986655</wp:posOffset>
                </wp:positionH>
                <wp:positionV relativeFrom="paragraph">
                  <wp:posOffset>368300</wp:posOffset>
                </wp:positionV>
                <wp:extent cx="1170305" cy="149225"/>
                <wp:wrapTopAndBottom/>
                <wp:docPr id="457" name="Shape 45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会计机构负责人：涂晨</w:t>
                            </w:r>
                          </w:p>
                        </w:txbxContent>
                      </wps:txbx>
                      <wps:bodyPr wrap="none" lIns="0" tIns="0" rIns="0" bIns="0">
                        <a:noAutoFit/>
                      </wps:bodyPr>
                    </wps:wsp>
                  </a:graphicData>
                </a:graphic>
              </wp:anchor>
            </w:drawing>
          </mc:Choice>
          <mc:Fallback>
            <w:pict>
              <v:shape id="_x0000_s1483" type="#_x0000_t202" style="position:absolute;margin-left:392.65000000000003pt;margin-top:29.pt;width:92.150000000000006pt;height:11.75pt;z-index:-125829345;mso-wrap-distance-left:0;mso-wrap-distance-top:29.pt;mso-wrap-distance-right:0;mso-position-horizontal-relative:page" filled="f" stroked="f">
                <v:textbox inset="0,0,0,0">
                  <w:txbxContent>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会计机构负责人：涂晨</w:t>
                      </w:r>
                    </w:p>
                  </w:txbxContent>
                </v:textbox>
                <w10:wrap type="topAndBottom" anchorx="page"/>
              </v:shape>
            </w:pict>
          </mc:Fallback>
        </mc:AlternateContent>
      </w:r>
    </w:p>
    <w:p>
      <w:pPr>
        <w:pStyle w:val="Style37"/>
        <w:keepNext w:val="0"/>
        <w:keepLines w:val="0"/>
        <w:widowControl w:val="0"/>
        <w:shd w:val="clear" w:color="auto" w:fill="auto"/>
        <w:bidi w:val="0"/>
        <w:spacing w:before="0" w:after="0" w:line="240" w:lineRule="auto"/>
        <w:ind w:left="7469" w:right="0" w:firstLine="0"/>
        <w:jc w:val="left"/>
      </w:pPr>
      <w:r>
        <w:rPr>
          <w:color w:val="000000"/>
          <w:spacing w:val="0"/>
          <w:w w:val="100"/>
          <w:position w:val="0"/>
        </w:rPr>
        <w:t>单位：元</w:t>
      </w:r>
    </w:p>
    <w:tbl>
      <w:tblPr>
        <w:tblOverlap w:val="never"/>
        <w:jc w:val="center"/>
        <w:tblLayout w:type="fixed"/>
      </w:tblPr>
      <w:tblGrid>
        <w:gridCol w:w="4637"/>
        <w:gridCol w:w="1838"/>
        <w:gridCol w:w="1872"/>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6"/>
                <w:szCs w:val="16"/>
              </w:rPr>
              <w:t xml:space="preserve">2019 </w:t>
            </w:r>
            <w:r>
              <w:rPr>
                <w:color w:val="000000"/>
                <w:spacing w:val="0"/>
                <w:w w:val="100"/>
                <w:position w:val="0"/>
              </w:rPr>
              <w:t>年</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506, </w:t>
            </w:r>
            <w:r>
              <w:rPr>
                <w:color w:val="000000"/>
                <w:spacing w:val="0"/>
                <w:w w:val="100"/>
                <w:position w:val="0"/>
                <w:sz w:val="16"/>
                <w:szCs w:val="16"/>
              </w:rPr>
              <w:t>457,668.54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467, 972, </w:t>
            </w:r>
            <w:r>
              <w:rPr>
                <w:color w:val="000000"/>
                <w:spacing w:val="0"/>
                <w:w w:val="100"/>
                <w:position w:val="0"/>
                <w:sz w:val="16"/>
                <w:szCs w:val="16"/>
              </w:rPr>
              <w:t>060.</w:t>
            </w:r>
            <w:r>
              <w:rPr>
                <w:color w:val="000000"/>
                <w:spacing w:val="0"/>
                <w:w w:val="100"/>
                <w:position w:val="0"/>
                <w:sz w:val="16"/>
                <w:szCs w:val="16"/>
              </w:rPr>
              <w:t>82</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330, </w:t>
            </w:r>
            <w:r>
              <w:rPr>
                <w:color w:val="000000"/>
                <w:spacing w:val="0"/>
                <w:w w:val="100"/>
                <w:position w:val="0"/>
                <w:sz w:val="16"/>
                <w:szCs w:val="16"/>
              </w:rPr>
              <w:t>897,581.35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305,442,226. </w:t>
            </w:r>
            <w:r>
              <w:rPr>
                <w:color w:val="000000"/>
                <w:spacing w:val="0"/>
                <w:w w:val="100"/>
                <w:position w:val="0"/>
                <w:sz w:val="16"/>
                <w:szCs w:val="16"/>
              </w:rPr>
              <w:t>16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1,946, </w:t>
            </w:r>
            <w:r>
              <w:rPr>
                <w:color w:val="000000"/>
                <w:spacing w:val="0"/>
                <w:w w:val="100"/>
                <w:position w:val="0"/>
                <w:sz w:val="16"/>
                <w:szCs w:val="16"/>
              </w:rPr>
              <w:t xml:space="preserve">780.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2, 058, </w:t>
            </w:r>
            <w:r>
              <w:rPr>
                <w:color w:val="000000"/>
                <w:spacing w:val="0"/>
                <w:w w:val="100"/>
                <w:position w:val="0"/>
                <w:sz w:val="16"/>
                <w:szCs w:val="16"/>
              </w:rPr>
              <w:t xml:space="preserve">593. </w:t>
            </w:r>
            <w:r>
              <w:rPr>
                <w:color w:val="000000"/>
                <w:spacing w:val="0"/>
                <w:w w:val="100"/>
                <w:position w:val="0"/>
                <w:sz w:val="16"/>
                <w:szCs w:val="16"/>
              </w:rPr>
              <w:t>55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45,796,399.22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59,577,973.30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52,317,467.02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46,564,216. </w:t>
            </w:r>
            <w:r>
              <w:rPr>
                <w:color w:val="000000"/>
                <w:spacing w:val="0"/>
                <w:w w:val="100"/>
                <w:position w:val="0"/>
                <w:sz w:val="16"/>
                <w:szCs w:val="16"/>
              </w:rPr>
              <w:t>17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35, 648, </w:t>
            </w:r>
            <w:r>
              <w:rPr>
                <w:color w:val="000000"/>
                <w:spacing w:val="0"/>
                <w:w w:val="100"/>
                <w:position w:val="0"/>
                <w:sz w:val="16"/>
                <w:szCs w:val="16"/>
              </w:rPr>
              <w:t xml:space="preserve">650.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37,387,758.04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240, </w:t>
            </w:r>
            <w:r>
              <w:rPr>
                <w:color w:val="000000"/>
                <w:spacing w:val="0"/>
                <w:w w:val="100"/>
                <w:position w:val="0"/>
                <w:sz w:val="16"/>
                <w:szCs w:val="16"/>
              </w:rPr>
              <w:t xml:space="preserve">991.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3, 430, </w:t>
            </w:r>
            <w:r>
              <w:rPr>
                <w:color w:val="000000"/>
                <w:spacing w:val="0"/>
                <w:w w:val="100"/>
                <w:position w:val="0"/>
                <w:sz w:val="16"/>
                <w:szCs w:val="16"/>
              </w:rPr>
              <w:t xml:space="preserve">553. </w:t>
            </w:r>
            <w:r>
              <w:rPr>
                <w:color w:val="000000"/>
                <w:spacing w:val="0"/>
                <w:w w:val="100"/>
                <w:position w:val="0"/>
                <w:sz w:val="16"/>
                <w:szCs w:val="16"/>
              </w:rPr>
              <w:t>35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1,011,550.33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005,815. </w:t>
            </w:r>
            <w:r>
              <w:rPr>
                <w:color w:val="000000"/>
                <w:spacing w:val="0"/>
                <w:w w:val="100"/>
                <w:position w:val="0"/>
                <w:sz w:val="16"/>
                <w:szCs w:val="16"/>
              </w:rPr>
              <w:t>18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918, </w:t>
            </w:r>
            <w:r>
              <w:rPr>
                <w:color w:val="000000"/>
                <w:spacing w:val="0"/>
                <w:w w:val="100"/>
                <w:position w:val="0"/>
                <w:sz w:val="16"/>
                <w:szCs w:val="16"/>
              </w:rPr>
              <w:t xml:space="preserve">544.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715,393.98</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22,088, </w:t>
            </w:r>
            <w:r>
              <w:rPr>
                <w:color w:val="000000"/>
                <w:spacing w:val="0"/>
                <w:w w:val="100"/>
                <w:position w:val="0"/>
                <w:sz w:val="16"/>
                <w:szCs w:val="16"/>
              </w:rPr>
              <w:t xml:space="preserve">247.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29, 041, </w:t>
            </w:r>
            <w:r>
              <w:rPr>
                <w:color w:val="000000"/>
                <w:spacing w:val="0"/>
                <w:w w:val="100"/>
                <w:position w:val="0"/>
                <w:sz w:val="16"/>
                <w:szCs w:val="16"/>
              </w:rPr>
              <w:t xml:space="preserve">643. </w:t>
            </w:r>
            <w:r>
              <w:rPr>
                <w:color w:val="000000"/>
                <w:spacing w:val="0"/>
                <w:w w:val="100"/>
                <w:position w:val="0"/>
                <w:sz w:val="16"/>
                <w:szCs w:val="16"/>
              </w:rPr>
              <w:t>74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326,217.72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1,643,630.20</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1540" w:right="0" w:hanging="720"/>
              <w:jc w:val="left"/>
            </w:pPr>
            <w:r>
              <w:rPr>
                <w:color w:val="000000"/>
                <w:spacing w:val="0"/>
                <w:w w:val="100"/>
                <w:position w:val="0"/>
              </w:rPr>
              <w:t>其中：对联营企业和合营企业的 投资损失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(126,780.92)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(589, </w:t>
            </w:r>
            <w:r>
              <w:rPr>
                <w:color w:val="000000"/>
                <w:spacing w:val="0"/>
                <w:w w:val="100"/>
                <w:position w:val="0"/>
                <w:sz w:val="16"/>
                <w:szCs w:val="16"/>
              </w:rPr>
              <w:t xml:space="preserve">024. </w:t>
            </w:r>
            <w:r>
              <w:rPr>
                <w:color w:val="000000"/>
                <w:spacing w:val="0"/>
                <w:w w:val="100"/>
                <w:position w:val="0"/>
                <w:sz w:val="16"/>
                <w:szCs w:val="16"/>
              </w:rPr>
              <w:t>14)</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w:t>
            </w:r>
          </w:p>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（损失以“（）”号填列）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715,804. </w:t>
            </w:r>
            <w:r>
              <w:rPr>
                <w:color w:val="000000"/>
                <w:spacing w:val="0"/>
                <w:w w:val="100"/>
                <w:position w:val="0"/>
                <w:sz w:val="16"/>
                <w:szCs w:val="16"/>
              </w:rPr>
              <w:t>10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(10, 249, </w:t>
            </w:r>
            <w:r>
              <w:rPr>
                <w:color w:val="000000"/>
                <w:spacing w:val="0"/>
                <w:w w:val="100"/>
                <w:position w:val="0"/>
                <w:sz w:val="16"/>
                <w:szCs w:val="16"/>
              </w:rPr>
              <w:t>893.</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(6, 940, </w:t>
            </w:r>
            <w:r>
              <w:rPr>
                <w:color w:val="000000"/>
                <w:spacing w:val="0"/>
                <w:w w:val="100"/>
                <w:position w:val="0"/>
                <w:sz w:val="16"/>
                <w:szCs w:val="16"/>
              </w:rPr>
              <w:t xml:space="preserve">749. </w:t>
            </w:r>
            <w:r>
              <w:rPr>
                <w:color w:val="000000"/>
                <w:spacing w:val="0"/>
                <w:w w:val="100"/>
                <w:position w:val="0"/>
                <w:sz w:val="16"/>
                <w:szCs w:val="16"/>
              </w:rPr>
              <w:t>39)</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(1,597,261.30)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资产处置损失（损失以“（）”号填列）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(99, </w:t>
            </w:r>
            <w:r>
              <w:rPr>
                <w:color w:val="000000"/>
                <w:spacing w:val="0"/>
                <w:w w:val="100"/>
                <w:position w:val="0"/>
                <w:sz w:val="16"/>
                <w:szCs w:val="16"/>
              </w:rPr>
              <w:t>622.</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(7,641.55)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二、营业利润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50, </w:t>
            </w:r>
            <w:r>
              <w:rPr>
                <w:color w:val="000000"/>
                <w:spacing w:val="0"/>
                <w:w w:val="100"/>
                <w:position w:val="0"/>
                <w:sz w:val="16"/>
                <w:szCs w:val="16"/>
              </w:rPr>
              <w:t xml:space="preserve">077,487.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37,963,427.35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2,313,089.47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5,407, </w:t>
            </w:r>
            <w:r>
              <w:rPr>
                <w:color w:val="000000"/>
                <w:spacing w:val="0"/>
                <w:w w:val="100"/>
                <w:position w:val="0"/>
                <w:sz w:val="16"/>
                <w:szCs w:val="16"/>
              </w:rPr>
              <w:t xml:space="preserve">110. </w:t>
            </w:r>
            <w:r>
              <w:rPr>
                <w:color w:val="000000"/>
                <w:spacing w:val="0"/>
                <w:w w:val="100"/>
                <w:position w:val="0"/>
                <w:sz w:val="16"/>
                <w:szCs w:val="16"/>
              </w:rPr>
              <w:t>52</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2,001.39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114. </w:t>
            </w:r>
            <w:r>
              <w:rPr>
                <w:color w:val="000000"/>
                <w:spacing w:val="0"/>
                <w:w w:val="100"/>
                <w:position w:val="0"/>
                <w:sz w:val="16"/>
                <w:szCs w:val="16"/>
              </w:rPr>
              <w:t>26</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三、利润总额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52,388,575.47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43,367,423.61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5, 340, </w:t>
            </w:r>
            <w:r>
              <w:rPr>
                <w:color w:val="000000"/>
                <w:spacing w:val="0"/>
                <w:w w:val="100"/>
                <w:position w:val="0"/>
                <w:sz w:val="16"/>
                <w:szCs w:val="16"/>
              </w:rPr>
              <w:t xml:space="preserve">882. </w:t>
            </w:r>
            <w:r>
              <w:rPr>
                <w:color w:val="000000"/>
                <w:spacing w:val="0"/>
                <w:w w:val="100"/>
                <w:position w:val="0"/>
                <w:sz w:val="16"/>
                <w:szCs w:val="16"/>
              </w:rPr>
              <w:t>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6, 114, </w:t>
            </w:r>
            <w:r>
              <w:rPr>
                <w:color w:val="000000"/>
                <w:spacing w:val="0"/>
                <w:w w:val="100"/>
                <w:position w:val="0"/>
                <w:sz w:val="16"/>
                <w:szCs w:val="16"/>
              </w:rPr>
              <w:t xml:space="preserve">167. </w:t>
            </w:r>
            <w:r>
              <w:rPr>
                <w:color w:val="000000"/>
                <w:spacing w:val="0"/>
                <w:w w:val="100"/>
                <w:position w:val="0"/>
                <w:sz w:val="16"/>
                <w:szCs w:val="16"/>
              </w:rPr>
              <w:t>30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四、净利润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47,047,692.75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37,253,256.31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持续经营净利润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47,047,692.75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37,253,256.31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6"/>
                <w:szCs w:val="16"/>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43,866,588.22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36, 620, </w:t>
            </w:r>
            <w:r>
              <w:rPr>
                <w:color w:val="000000"/>
                <w:spacing w:val="0"/>
                <w:w w:val="100"/>
                <w:position w:val="0"/>
                <w:sz w:val="16"/>
                <w:szCs w:val="16"/>
              </w:rPr>
              <w:t xml:space="preserve">943. </w:t>
            </w:r>
            <w:r>
              <w:rPr>
                <w:color w:val="000000"/>
                <w:spacing w:val="0"/>
                <w:w w:val="100"/>
                <w:position w:val="0"/>
                <w:sz w:val="16"/>
                <w:szCs w:val="16"/>
              </w:rPr>
              <w:t>28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16"/>
                <w:szCs w:val="16"/>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3, 181, </w:t>
            </w:r>
            <w:r>
              <w:rPr>
                <w:color w:val="000000"/>
                <w:spacing w:val="0"/>
                <w:w w:val="100"/>
                <w:position w:val="0"/>
                <w:sz w:val="16"/>
                <w:szCs w:val="16"/>
              </w:rPr>
              <w:t xml:space="preserve">104.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632,313.03</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五、综合收益总额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47,047,692.75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37,253,256.31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（一）归属于母公司股东的综合收益总额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43,866,588.22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36, 620, </w:t>
            </w:r>
            <w:r>
              <w:rPr>
                <w:color w:val="000000"/>
                <w:spacing w:val="0"/>
                <w:w w:val="100"/>
                <w:position w:val="0"/>
                <w:sz w:val="16"/>
                <w:szCs w:val="16"/>
              </w:rPr>
              <w:t xml:space="preserve">943. </w:t>
            </w:r>
            <w:r>
              <w:rPr>
                <w:color w:val="000000"/>
                <w:spacing w:val="0"/>
                <w:w w:val="100"/>
                <w:position w:val="0"/>
                <w:sz w:val="16"/>
                <w:szCs w:val="16"/>
              </w:rPr>
              <w:t>28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（二）归属于少数股东的综合收益总额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3, 181, </w:t>
            </w:r>
            <w:r>
              <w:rPr>
                <w:color w:val="000000"/>
                <w:spacing w:val="0"/>
                <w:w w:val="100"/>
                <w:position w:val="0"/>
                <w:sz w:val="16"/>
                <w:szCs w:val="16"/>
              </w:rPr>
              <w:t xml:space="preserve">104.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632,313.03</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六、每股收益：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（一）基本每股收益（元/股）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2991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2497</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2991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2497</w:t>
            </w:r>
          </w:p>
        </w:tc>
      </w:tr>
    </w:tbl>
    <w:p>
      <w:pPr>
        <w:sectPr>
          <w:headerReference w:type="default" r:id="rId173"/>
          <w:footerReference w:type="default" r:id="rId174"/>
          <w:headerReference w:type="even" r:id="rId175"/>
          <w:footerReference w:type="even" r:id="rId176"/>
          <w:headerReference w:type="first" r:id="rId177"/>
          <w:footerReference w:type="first" r:id="rId178"/>
          <w:footnotePr>
            <w:pos w:val="pageBottom"/>
            <w:numFmt w:val="decimal"/>
            <w:numRestart w:val="continuous"/>
          </w:footnotePr>
          <w:pgSz w:w="11900" w:h="16840"/>
          <w:pgMar w:top="1453" w:right="2034" w:bottom="1653" w:left="1342" w:header="0" w:footer="3" w:gutter="0"/>
          <w:cols w:space="720"/>
          <w:noEndnote/>
          <w:titlePg/>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732" w:name="bookmark732"/>
      <w:bookmarkStart w:id="733" w:name="bookmark733"/>
      <w:bookmarkStart w:id="734" w:name="bookmark734"/>
      <w:bookmarkStart w:id="735" w:name="bookmark735"/>
      <w:r>
        <w:rPr>
          <w:rFonts w:ascii="Times New Roman" w:eastAsia="Times New Roman" w:hAnsi="Times New Roman" w:cs="Times New Roman"/>
          <w:color w:val="000000"/>
          <w:spacing w:val="0"/>
          <w:w w:val="100"/>
          <w:position w:val="0"/>
        </w:rPr>
        <w:t>4</w:t>
      </w:r>
      <w:bookmarkEnd w:id="734"/>
      <w:r>
        <w:rPr>
          <w:color w:val="000000"/>
          <w:spacing w:val="0"/>
          <w:w w:val="100"/>
          <w:position w:val="0"/>
        </w:rPr>
        <w:t>、母公司利润表</w:t>
      </w:r>
      <w:bookmarkEnd w:id="732"/>
      <w:bookmarkEnd w:id="733"/>
      <w:bookmarkEnd w:id="735"/>
    </w:p>
    <w:p>
      <w:pPr>
        <w:pStyle w:val="Style37"/>
        <w:keepNext w:val="0"/>
        <w:keepLines w:val="0"/>
        <w:widowControl w:val="0"/>
        <w:shd w:val="clear" w:color="auto" w:fill="auto"/>
        <w:bidi w:val="0"/>
        <w:spacing w:before="0" w:after="0" w:line="240" w:lineRule="auto"/>
        <w:ind w:left="7469" w:right="0" w:firstLine="0"/>
        <w:jc w:val="left"/>
      </w:pPr>
      <w:r>
        <w:rPr>
          <w:color w:val="000000"/>
          <w:spacing w:val="0"/>
          <w:w w:val="100"/>
          <w:position w:val="0"/>
        </w:rPr>
        <w:t>单位：元</w:t>
      </w:r>
    </w:p>
    <w:tbl>
      <w:tblPr>
        <w:tblOverlap w:val="never"/>
        <w:jc w:val="center"/>
        <w:tblLayout w:type="fixed"/>
      </w:tblPr>
      <w:tblGrid>
        <w:gridCol w:w="4613"/>
        <w:gridCol w:w="1824"/>
        <w:gridCol w:w="1858"/>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6"/>
                <w:szCs w:val="16"/>
              </w:rPr>
              <w:t xml:space="preserve">2019 </w:t>
            </w:r>
            <w:r>
              <w:rPr>
                <w:color w:val="000000"/>
                <w:spacing w:val="0"/>
                <w:w w:val="100"/>
                <w:position w:val="0"/>
              </w:rPr>
              <w:t>年</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356,721,195.28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344, </w:t>
            </w:r>
            <w:r>
              <w:rPr>
                <w:color w:val="000000"/>
                <w:spacing w:val="0"/>
                <w:w w:val="100"/>
                <w:position w:val="0"/>
                <w:sz w:val="16"/>
                <w:szCs w:val="16"/>
              </w:rPr>
              <w:t>091,278.38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238,590,371.29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6"/>
                <w:szCs w:val="16"/>
              </w:rPr>
            </w:pPr>
            <w:r>
              <w:rPr>
                <w:color w:val="000000"/>
                <w:spacing w:val="0"/>
                <w:w w:val="100"/>
                <w:position w:val="0"/>
                <w:sz w:val="16"/>
                <w:szCs w:val="16"/>
              </w:rPr>
              <w:t xml:space="preserve">222, </w:t>
            </w:r>
            <w:r>
              <w:rPr>
                <w:color w:val="000000"/>
                <w:spacing w:val="0"/>
                <w:w w:val="100"/>
                <w:position w:val="0"/>
                <w:sz w:val="16"/>
                <w:szCs w:val="16"/>
              </w:rPr>
              <w:t>678,730.61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1,066,277.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1, 240, </w:t>
            </w:r>
            <w:r>
              <w:rPr>
                <w:color w:val="000000"/>
                <w:spacing w:val="0"/>
                <w:w w:val="100"/>
                <w:position w:val="0"/>
                <w:sz w:val="16"/>
                <w:szCs w:val="16"/>
              </w:rPr>
              <w:t xml:space="preserve">979. </w:t>
            </w:r>
            <w:r>
              <w:rPr>
                <w:color w:val="000000"/>
                <w:spacing w:val="0"/>
                <w:w w:val="100"/>
                <w:position w:val="0"/>
                <w:sz w:val="16"/>
                <w:szCs w:val="16"/>
              </w:rPr>
              <w:t>44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37, </w:t>
            </w:r>
            <w:r>
              <w:rPr>
                <w:color w:val="000000"/>
                <w:spacing w:val="0"/>
                <w:w w:val="100"/>
                <w:position w:val="0"/>
                <w:sz w:val="16"/>
                <w:szCs w:val="16"/>
              </w:rPr>
              <w:t>150,572.40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48,180,011.67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38,734,358.38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38, </w:t>
            </w:r>
            <w:r>
              <w:rPr>
                <w:color w:val="000000"/>
                <w:spacing w:val="0"/>
                <w:w w:val="100"/>
                <w:position w:val="0"/>
                <w:sz w:val="16"/>
                <w:szCs w:val="16"/>
              </w:rPr>
              <w:t>835,779.26</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25,766,385.83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28,462,651.44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347,217.48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3,562,015.95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1,011,550.33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005,815. </w:t>
            </w:r>
            <w:r>
              <w:rPr>
                <w:color w:val="000000"/>
                <w:spacing w:val="0"/>
                <w:w w:val="100"/>
                <w:position w:val="0"/>
                <w:sz w:val="16"/>
                <w:szCs w:val="16"/>
              </w:rPr>
              <w:t>18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160.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481,355.07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17,720,431.49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26, </w:t>
            </w:r>
            <w:r>
              <w:rPr>
                <w:color w:val="000000"/>
                <w:spacing w:val="0"/>
                <w:w w:val="100"/>
                <w:position w:val="0"/>
                <w:sz w:val="16"/>
                <w:szCs w:val="16"/>
              </w:rPr>
              <w:t>082,014.73</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326,217.72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1, 609, </w:t>
            </w:r>
            <w:r>
              <w:rPr>
                <w:color w:val="000000"/>
                <w:spacing w:val="0"/>
                <w:w w:val="100"/>
                <w:position w:val="0"/>
                <w:sz w:val="16"/>
                <w:szCs w:val="16"/>
              </w:rPr>
              <w:t xml:space="preserve">487. </w:t>
            </w:r>
            <w:r>
              <w:rPr>
                <w:color w:val="000000"/>
                <w:spacing w:val="0"/>
                <w:w w:val="100"/>
                <w:position w:val="0"/>
                <w:sz w:val="16"/>
                <w:szCs w:val="16"/>
              </w:rPr>
              <w:t>73</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1540" w:right="0" w:hanging="720"/>
              <w:jc w:val="left"/>
            </w:pPr>
            <w:r>
              <w:rPr>
                <w:color w:val="000000"/>
                <w:spacing w:val="0"/>
                <w:w w:val="100"/>
                <w:position w:val="0"/>
              </w:rPr>
              <w:t>其中：对联营企业和合营企业的 投资损失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(126,780.92)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(589, </w:t>
            </w:r>
            <w:r>
              <w:rPr>
                <w:color w:val="000000"/>
                <w:spacing w:val="0"/>
                <w:w w:val="100"/>
                <w:position w:val="0"/>
                <w:sz w:val="16"/>
                <w:szCs w:val="16"/>
              </w:rPr>
              <w:t xml:space="preserve">024. </w:t>
            </w:r>
            <w:r>
              <w:rPr>
                <w:color w:val="000000"/>
                <w:spacing w:val="0"/>
                <w:w w:val="100"/>
                <w:position w:val="0"/>
                <w:sz w:val="16"/>
                <w:szCs w:val="16"/>
              </w:rPr>
              <w:t>14)</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公允价值变动收益</w:t>
            </w:r>
          </w:p>
          <w:p>
            <w:pPr>
              <w:pStyle w:val="Style27"/>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(损失以“()”号填列)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6"/>
                <w:szCs w:val="16"/>
              </w:rPr>
            </w:pPr>
            <w:r>
              <w:rPr>
                <w:color w:val="000000"/>
                <w:spacing w:val="0"/>
                <w:w w:val="100"/>
                <w:position w:val="0"/>
                <w:sz w:val="16"/>
                <w:szCs w:val="16"/>
              </w:rPr>
              <w:t xml:space="preserve">715, </w:t>
            </w:r>
            <w:r>
              <w:rPr>
                <w:color w:val="000000"/>
                <w:spacing w:val="0"/>
                <w:w w:val="100"/>
                <w:position w:val="0"/>
                <w:sz w:val="16"/>
                <w:szCs w:val="16"/>
              </w:rPr>
              <w:t xml:space="preserve">804. </w:t>
            </w:r>
            <w:r>
              <w:rPr>
                <w:color w:val="000000"/>
                <w:spacing w:val="0"/>
                <w:w w:val="100"/>
                <w:position w:val="0"/>
                <w:sz w:val="16"/>
                <w:szCs w:val="16"/>
              </w:rPr>
              <w:t>10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(4, </w:t>
            </w:r>
            <w:r>
              <w:rPr>
                <w:color w:val="000000"/>
                <w:spacing w:val="0"/>
                <w:w w:val="100"/>
                <w:position w:val="0"/>
                <w:sz w:val="16"/>
                <w:szCs w:val="16"/>
              </w:rPr>
              <w:t>246,511.01)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117,484. </w:t>
            </w:r>
            <w:r>
              <w:rPr>
                <w:color w:val="000000"/>
                <w:spacing w:val="0"/>
                <w:w w:val="100"/>
                <w:position w:val="0"/>
                <w:sz w:val="16"/>
                <w:szCs w:val="16"/>
              </w:rPr>
              <w:t>13)</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(2,013,163.56)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(8,316,173.30)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资产处置损失(损失以“()”号填列)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120.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(7,641.55)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二、营业利润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26, 854, </w:t>
            </w:r>
            <w:r>
              <w:rPr>
                <w:color w:val="000000"/>
                <w:spacing w:val="0"/>
                <w:w w:val="100"/>
                <w:position w:val="0"/>
                <w:sz w:val="16"/>
                <w:szCs w:val="16"/>
              </w:rPr>
              <w:t>107.42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13,097,117.59</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1, 505, </w:t>
            </w:r>
            <w:r>
              <w:rPr>
                <w:color w:val="000000"/>
                <w:spacing w:val="0"/>
                <w:w w:val="100"/>
                <w:position w:val="0"/>
                <w:sz w:val="16"/>
                <w:szCs w:val="16"/>
              </w:rPr>
              <w:t xml:space="preserve">304.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4, 023, </w:t>
            </w:r>
            <w:r>
              <w:rPr>
                <w:color w:val="000000"/>
                <w:spacing w:val="0"/>
                <w:w w:val="100"/>
                <w:position w:val="0"/>
                <w:sz w:val="16"/>
                <w:szCs w:val="16"/>
              </w:rPr>
              <w:t xml:space="preserve">893. </w:t>
            </w:r>
            <w:r>
              <w:rPr>
                <w:color w:val="000000"/>
                <w:spacing w:val="0"/>
                <w:w w:val="100"/>
                <w:position w:val="0"/>
                <w:sz w:val="16"/>
                <w:szCs w:val="16"/>
              </w:rPr>
              <w:t>62</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114. </w:t>
            </w:r>
            <w:r>
              <w:rPr>
                <w:color w:val="000000"/>
                <w:spacing w:val="0"/>
                <w:w w:val="100"/>
                <w:position w:val="0"/>
                <w:sz w:val="16"/>
                <w:szCs w:val="16"/>
              </w:rPr>
              <w:t>26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三、利润总额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28,359,412.31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17,117,896.95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3,601,614.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2,641,951.05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四、净利润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24,757,798.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 </w:t>
            </w:r>
            <w:r>
              <w:rPr>
                <w:color w:val="000000"/>
                <w:spacing w:val="0"/>
                <w:w w:val="100"/>
                <w:position w:val="0"/>
                <w:sz w:val="16"/>
                <w:szCs w:val="16"/>
              </w:rPr>
              <w:t>475,945.90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持续经营净利润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24,757,798.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 </w:t>
            </w:r>
            <w:r>
              <w:rPr>
                <w:color w:val="000000"/>
                <w:spacing w:val="0"/>
                <w:w w:val="100"/>
                <w:position w:val="0"/>
                <w:sz w:val="16"/>
                <w:szCs w:val="16"/>
              </w:rPr>
              <w:t>475,945.90</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五、综合收益总额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24,757,798.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14, </w:t>
            </w:r>
            <w:r>
              <w:rPr>
                <w:color w:val="000000"/>
                <w:spacing w:val="0"/>
                <w:w w:val="100"/>
                <w:position w:val="0"/>
                <w:sz w:val="16"/>
                <w:szCs w:val="16"/>
              </w:rPr>
              <w:t>475,945.90</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5</w:t>
      </w:r>
      <w:bookmarkEnd w:id="738"/>
      <w:r>
        <w:rPr>
          <w:color w:val="000000"/>
          <w:spacing w:val="0"/>
          <w:w w:val="100"/>
          <w:position w:val="0"/>
        </w:rPr>
        <w:t>、合并现金流量表</w:t>
      </w:r>
      <w:bookmarkEnd w:id="736"/>
      <w:bookmarkEnd w:id="737"/>
      <w:bookmarkEnd w:id="739"/>
    </w:p>
    <w:p>
      <w:pPr>
        <w:pStyle w:val="Style37"/>
        <w:keepNext w:val="0"/>
        <w:keepLines w:val="0"/>
        <w:widowControl w:val="0"/>
        <w:shd w:val="clear" w:color="auto" w:fill="auto"/>
        <w:bidi w:val="0"/>
        <w:spacing w:before="0" w:after="0" w:line="240" w:lineRule="auto"/>
        <w:ind w:left="7334" w:right="0" w:firstLine="0"/>
        <w:jc w:val="left"/>
      </w:pPr>
      <w:r>
        <w:rPr>
          <w:color w:val="000000"/>
          <w:spacing w:val="0"/>
          <w:w w:val="100"/>
          <w:position w:val="0"/>
        </w:rPr>
        <w:t>单位：元</w:t>
      </w:r>
    </w:p>
    <w:tbl>
      <w:tblPr>
        <w:tblOverlap w:val="never"/>
        <w:jc w:val="center"/>
        <w:tblLayout w:type="fixed"/>
      </w:tblPr>
      <w:tblGrid>
        <w:gridCol w:w="4186"/>
        <w:gridCol w:w="1982"/>
        <w:gridCol w:w="2021"/>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437, 575, </w:t>
            </w:r>
            <w:r>
              <w:rPr>
                <w:color w:val="000000"/>
                <w:spacing w:val="0"/>
                <w:w w:val="100"/>
                <w:position w:val="0"/>
                <w:sz w:val="16"/>
                <w:szCs w:val="16"/>
              </w:rPr>
              <w:t xml:space="preserve">957.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442, 808, </w:t>
            </w:r>
            <w:r>
              <w:rPr>
                <w:color w:val="000000"/>
                <w:spacing w:val="0"/>
                <w:w w:val="100"/>
                <w:position w:val="0"/>
                <w:sz w:val="16"/>
                <w:szCs w:val="16"/>
              </w:rPr>
              <w:t xml:space="preserve">634. </w:t>
            </w:r>
            <w:r>
              <w:rPr>
                <w:color w:val="000000"/>
                <w:spacing w:val="0"/>
                <w:w w:val="100"/>
                <w:position w:val="0"/>
                <w:sz w:val="16"/>
                <w:szCs w:val="16"/>
              </w:rPr>
              <w:t>82</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67,793,752.61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23,283,046.73</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505,369,710.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466, </w:t>
            </w:r>
            <w:r>
              <w:rPr>
                <w:color w:val="000000"/>
                <w:spacing w:val="0"/>
                <w:w w:val="100"/>
                <w:position w:val="0"/>
                <w:sz w:val="16"/>
                <w:szCs w:val="16"/>
              </w:rPr>
              <w:t>091,681.55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163,779, </w:t>
            </w:r>
            <w:r>
              <w:rPr>
                <w:color w:val="000000"/>
                <w:spacing w:val="0"/>
                <w:w w:val="100"/>
                <w:position w:val="0"/>
                <w:sz w:val="16"/>
                <w:szCs w:val="16"/>
              </w:rPr>
              <w:t xml:space="preserve">493.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130, 770, </w:t>
            </w:r>
            <w:r>
              <w:rPr>
                <w:color w:val="000000"/>
                <w:spacing w:val="0"/>
                <w:w w:val="100"/>
                <w:position w:val="0"/>
                <w:sz w:val="16"/>
                <w:szCs w:val="16"/>
              </w:rPr>
              <w:t xml:space="preserve">484. </w:t>
            </w:r>
            <w:r>
              <w:rPr>
                <w:color w:val="000000"/>
                <w:spacing w:val="0"/>
                <w:w w:val="100"/>
                <w:position w:val="0"/>
                <w:sz w:val="16"/>
                <w:szCs w:val="16"/>
              </w:rPr>
              <w:t>01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213,084, </w:t>
            </w:r>
            <w:r>
              <w:rPr>
                <w:color w:val="000000"/>
                <w:spacing w:val="0"/>
                <w:w w:val="100"/>
                <w:position w:val="0"/>
                <w:sz w:val="16"/>
                <w:szCs w:val="16"/>
              </w:rPr>
              <w:t xml:space="preserve">404.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205,014, </w:t>
            </w:r>
            <w:r>
              <w:rPr>
                <w:color w:val="000000"/>
                <w:spacing w:val="0"/>
                <w:w w:val="100"/>
                <w:position w:val="0"/>
                <w:sz w:val="16"/>
                <w:szCs w:val="16"/>
              </w:rPr>
              <w:t xml:space="preserve">114. </w:t>
            </w:r>
            <w:r>
              <w:rPr>
                <w:color w:val="000000"/>
                <w:spacing w:val="0"/>
                <w:w w:val="100"/>
                <w:position w:val="0"/>
                <w:sz w:val="16"/>
                <w:szCs w:val="16"/>
              </w:rPr>
              <w:t>85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22,941,499.09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16,780, </w:t>
            </w:r>
            <w:r>
              <w:rPr>
                <w:color w:val="000000"/>
                <w:spacing w:val="0"/>
                <w:w w:val="100"/>
                <w:position w:val="0"/>
                <w:sz w:val="16"/>
                <w:szCs w:val="16"/>
              </w:rPr>
              <w:t>975.86</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39,910, </w:t>
            </w:r>
            <w:r>
              <w:rPr>
                <w:color w:val="000000"/>
                <w:spacing w:val="0"/>
                <w:w w:val="100"/>
                <w:position w:val="0"/>
                <w:sz w:val="16"/>
                <w:szCs w:val="16"/>
              </w:rPr>
              <w:t>992.02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50,012,393.36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439,716, </w:t>
            </w:r>
            <w:r>
              <w:rPr>
                <w:color w:val="000000"/>
                <w:spacing w:val="0"/>
                <w:w w:val="100"/>
                <w:position w:val="0"/>
                <w:sz w:val="16"/>
                <w:szCs w:val="16"/>
              </w:rPr>
              <w:t xml:space="preserve">388.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402,577,</w:t>
            </w:r>
            <w:r>
              <w:rPr>
                <w:color w:val="000000"/>
                <w:spacing w:val="0"/>
                <w:w w:val="100"/>
                <w:position w:val="0"/>
                <w:sz w:val="16"/>
                <w:szCs w:val="16"/>
              </w:rPr>
              <w:t>968.</w:t>
            </w:r>
            <w:r>
              <w:rPr>
                <w:color w:val="000000"/>
                <w:spacing w:val="0"/>
                <w:w w:val="100"/>
                <w:position w:val="0"/>
                <w:sz w:val="16"/>
                <w:szCs w:val="16"/>
              </w:rPr>
              <w:t>08</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65,653,321.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63,513,713.47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107, 000,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1, 232, </w:t>
            </w:r>
            <w:r>
              <w:rPr>
                <w:color w:val="000000"/>
                <w:spacing w:val="0"/>
                <w:w w:val="100"/>
                <w:position w:val="0"/>
                <w:sz w:val="16"/>
                <w:szCs w:val="16"/>
              </w:rPr>
              <w:t xml:space="preserve">894.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2, 232, </w:t>
            </w:r>
            <w:r>
              <w:rPr>
                <w:color w:val="000000"/>
                <w:spacing w:val="0"/>
                <w:w w:val="100"/>
                <w:position w:val="0"/>
                <w:sz w:val="16"/>
                <w:szCs w:val="16"/>
              </w:rPr>
              <w:t xml:space="preserve">654. </w:t>
            </w:r>
            <w:r>
              <w:rPr>
                <w:color w:val="000000"/>
                <w:spacing w:val="0"/>
                <w:w w:val="100"/>
                <w:position w:val="0"/>
                <w:sz w:val="16"/>
                <w:szCs w:val="16"/>
              </w:rPr>
              <w:t>34</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840" w:right="0" w:hanging="22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43,422.00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283, </w:t>
            </w:r>
            <w:r>
              <w:rPr>
                <w:color w:val="000000"/>
                <w:spacing w:val="0"/>
                <w:w w:val="100"/>
                <w:position w:val="0"/>
                <w:sz w:val="16"/>
                <w:szCs w:val="16"/>
              </w:rPr>
              <w:t xml:space="preserve">956. </w:t>
            </w:r>
            <w:r>
              <w:rPr>
                <w:color w:val="000000"/>
                <w:spacing w:val="0"/>
                <w:w w:val="100"/>
                <w:position w:val="0"/>
                <w:sz w:val="16"/>
                <w:szCs w:val="16"/>
              </w:rPr>
              <w:t>88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44,276,316.53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109,516,611.22</w:t>
            </w:r>
          </w:p>
        </w:tc>
      </w:tr>
      <w:tr>
        <w:trPr>
          <w:trHeight w:val="230"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购建固定资产、无形资产和</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135,375, </w:t>
            </w:r>
            <w:r>
              <w:rPr>
                <w:color w:val="000000"/>
                <w:spacing w:val="0"/>
                <w:w w:val="100"/>
                <w:position w:val="0"/>
                <w:sz w:val="16"/>
                <w:szCs w:val="16"/>
              </w:rPr>
              <w:t xml:space="preserve">118. </w:t>
            </w:r>
            <w:r>
              <w:rPr>
                <w:color w:val="000000"/>
                <w:spacing w:val="0"/>
                <w:w w:val="100"/>
                <w:position w:val="0"/>
                <w:sz w:val="16"/>
                <w:szCs w:val="16"/>
              </w:rPr>
              <w:t>89</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135,086, </w:t>
            </w:r>
            <w:r>
              <w:rPr>
                <w:color w:val="000000"/>
                <w:spacing w:val="0"/>
                <w:w w:val="100"/>
                <w:position w:val="0"/>
                <w:sz w:val="16"/>
                <w:szCs w:val="16"/>
              </w:rPr>
              <w:t xml:space="preserve">623. </w:t>
            </w:r>
            <w:r>
              <w:rPr>
                <w:color w:val="000000"/>
                <w:spacing w:val="0"/>
                <w:w w:val="100"/>
                <w:position w:val="0"/>
                <w:sz w:val="16"/>
                <w:szCs w:val="16"/>
              </w:rPr>
              <w:t>62</w:t>
            </w:r>
          </w:p>
        </w:tc>
      </w:tr>
      <w:tr>
        <w:trPr>
          <w:trHeight w:val="326" w:hRule="exact"/>
        </w:trPr>
        <w:tc>
          <w:tcPr>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其他长期资产支付的现金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840" w:right="0" w:hanging="2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7,316, </w:t>
            </w:r>
            <w:r>
              <w:rPr>
                <w:color w:val="000000"/>
                <w:spacing w:val="0"/>
                <w:w w:val="100"/>
                <w:position w:val="0"/>
                <w:sz w:val="16"/>
                <w:szCs w:val="16"/>
              </w:rPr>
              <w:t xml:space="preserve">595. </w:t>
            </w:r>
            <w:r>
              <w:rPr>
                <w:color w:val="000000"/>
                <w:spacing w:val="0"/>
                <w:w w:val="100"/>
                <w:position w:val="0"/>
                <w:sz w:val="16"/>
                <w:szCs w:val="16"/>
              </w:rPr>
              <w:t>09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135,385, </w:t>
            </w:r>
            <w:r>
              <w:rPr>
                <w:color w:val="000000"/>
                <w:spacing w:val="0"/>
                <w:w w:val="100"/>
                <w:position w:val="0"/>
                <w:sz w:val="16"/>
                <w:szCs w:val="16"/>
              </w:rPr>
              <w:t xml:space="preserve">118.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178, </w:t>
            </w:r>
            <w:r>
              <w:rPr>
                <w:color w:val="000000"/>
                <w:spacing w:val="0"/>
                <w:w w:val="100"/>
                <w:position w:val="0"/>
                <w:sz w:val="16"/>
                <w:szCs w:val="16"/>
              </w:rPr>
              <w:t>403,218.71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(91, 108, </w:t>
            </w:r>
            <w:r>
              <w:rPr>
                <w:color w:val="000000"/>
                <w:spacing w:val="0"/>
                <w:w w:val="100"/>
                <w:position w:val="0"/>
                <w:sz w:val="16"/>
                <w:szCs w:val="16"/>
              </w:rPr>
              <w:t xml:space="preserve">802. </w:t>
            </w:r>
            <w:r>
              <w:rPr>
                <w:color w:val="000000"/>
                <w:spacing w:val="0"/>
                <w:w w:val="100"/>
                <w:position w:val="0"/>
                <w:sz w:val="16"/>
                <w:szCs w:val="16"/>
              </w:rPr>
              <w:t>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(68, 886, </w:t>
            </w:r>
            <w:r>
              <w:rPr>
                <w:color w:val="000000"/>
                <w:spacing w:val="0"/>
                <w:w w:val="100"/>
                <w:position w:val="0"/>
                <w:sz w:val="16"/>
                <w:szCs w:val="16"/>
              </w:rPr>
              <w:t>607.</w:t>
            </w:r>
            <w:r>
              <w:rPr>
                <w:color w:val="000000"/>
                <w:spacing w:val="0"/>
                <w:w w:val="100"/>
                <w:position w:val="0"/>
                <w:sz w:val="16"/>
                <w:szCs w:val="16"/>
              </w:rPr>
              <w:t>49)</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190, 000,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190, 000,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21,969,333.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19,427,066.99</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123,969, </w:t>
            </w:r>
            <w:r>
              <w:rPr>
                <w:color w:val="000000"/>
                <w:spacing w:val="0"/>
                <w:w w:val="100"/>
                <w:position w:val="0"/>
                <w:sz w:val="16"/>
                <w:szCs w:val="16"/>
              </w:rPr>
              <w:t xml:space="preserve">333.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149, 427, </w:t>
            </w:r>
            <w:r>
              <w:rPr>
                <w:color w:val="000000"/>
                <w:spacing w:val="0"/>
                <w:w w:val="100"/>
                <w:position w:val="0"/>
                <w:sz w:val="16"/>
                <w:szCs w:val="16"/>
              </w:rPr>
              <w:t xml:space="preserve">066. </w:t>
            </w:r>
            <w:r>
              <w:rPr>
                <w:color w:val="000000"/>
                <w:spacing w:val="0"/>
                <w:w w:val="100"/>
                <w:position w:val="0"/>
                <w:sz w:val="16"/>
                <w:szCs w:val="16"/>
              </w:rPr>
              <w:t>99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66, 030, </w:t>
            </w:r>
            <w:r>
              <w:rPr>
                <w:color w:val="000000"/>
                <w:spacing w:val="0"/>
                <w:w w:val="100"/>
                <w:position w:val="0"/>
                <w:sz w:val="16"/>
                <w:szCs w:val="16"/>
              </w:rPr>
              <w:t xml:space="preserve">666.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60,572,933.01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40,575,185.64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55,200, </w:t>
            </w:r>
            <w:r>
              <w:rPr>
                <w:color w:val="000000"/>
                <w:spacing w:val="0"/>
                <w:w w:val="100"/>
                <w:position w:val="0"/>
                <w:sz w:val="16"/>
                <w:szCs w:val="16"/>
              </w:rPr>
              <w:t>038.99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加：年初现金及现金等价物余额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785,027.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145, 584, </w:t>
            </w:r>
            <w:r>
              <w:rPr>
                <w:color w:val="000000"/>
                <w:spacing w:val="0"/>
                <w:w w:val="100"/>
                <w:position w:val="0"/>
                <w:sz w:val="16"/>
                <w:szCs w:val="16"/>
              </w:rPr>
              <w:t xml:space="preserve">988. </w:t>
            </w:r>
            <w:r>
              <w:rPr>
                <w:color w:val="000000"/>
                <w:spacing w:val="0"/>
                <w:w w:val="100"/>
                <w:position w:val="0"/>
                <w:sz w:val="16"/>
                <w:szCs w:val="16"/>
              </w:rPr>
              <w:t>20</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六、年末现金及现金等价物余额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241,360,212.83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785,027. </w:t>
            </w:r>
            <w:r>
              <w:rPr>
                <w:color w:val="000000"/>
                <w:spacing w:val="0"/>
                <w:w w:val="100"/>
                <w:position w:val="0"/>
                <w:sz w:val="16"/>
                <w:szCs w:val="16"/>
              </w:rPr>
              <w:t>19</w:t>
            </w:r>
          </w:p>
        </w:tc>
      </w:tr>
    </w:tbl>
    <w:p>
      <w:pPr>
        <w:sectPr>
          <w:headerReference w:type="default" r:id="rId179"/>
          <w:footerReference w:type="default" r:id="rId180"/>
          <w:headerReference w:type="even" r:id="rId181"/>
          <w:footerReference w:type="even" r:id="rId182"/>
          <w:headerReference w:type="first" r:id="rId183"/>
          <w:footerReference w:type="first" r:id="rId184"/>
          <w:footnotePr>
            <w:pos w:val="pageBottom"/>
            <w:numFmt w:val="decimal"/>
            <w:numRestart w:val="continuous"/>
          </w:footnotePr>
          <w:pgSz w:w="11900" w:h="16840"/>
          <w:pgMar w:top="1453" w:right="2034" w:bottom="1653" w:left="1342" w:header="0" w:footer="3" w:gutter="0"/>
          <w:cols w:space="720"/>
          <w:noEndnote/>
          <w:titlePg/>
          <w:rtlGutter w:val="0"/>
          <w:docGrid w:linePitch="360"/>
        </w:sectPr>
      </w:pPr>
    </w:p>
    <w:p>
      <w:pPr>
        <w:pStyle w:val="Style34"/>
        <w:keepNext/>
        <w:keepLines/>
        <w:widowControl w:val="0"/>
        <w:shd w:val="clear" w:color="auto" w:fill="auto"/>
        <w:bidi w:val="0"/>
        <w:spacing w:before="0" w:line="240" w:lineRule="auto"/>
        <w:ind w:left="0" w:right="0" w:firstLine="0"/>
        <w:jc w:val="left"/>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6</w:t>
      </w:r>
      <w:bookmarkEnd w:id="742"/>
      <w:r>
        <w:rPr>
          <w:color w:val="000000"/>
          <w:spacing w:val="0"/>
          <w:w w:val="100"/>
          <w:position w:val="0"/>
        </w:rPr>
        <w:t>、母公司现金流量表</w:t>
      </w:r>
      <w:bookmarkEnd w:id="740"/>
      <w:bookmarkEnd w:id="741"/>
      <w:bookmarkEnd w:id="743"/>
    </w:p>
    <w:p>
      <w:pPr>
        <w:pStyle w:val="Style37"/>
        <w:keepNext w:val="0"/>
        <w:keepLines w:val="0"/>
        <w:widowControl w:val="0"/>
        <w:shd w:val="clear" w:color="auto" w:fill="auto"/>
        <w:bidi w:val="0"/>
        <w:spacing w:before="0" w:after="0" w:line="240" w:lineRule="auto"/>
        <w:ind w:left="7421" w:right="0" w:firstLine="0"/>
        <w:jc w:val="left"/>
      </w:pPr>
      <w:r>
        <w:rPr>
          <w:color w:val="000000"/>
          <w:spacing w:val="0"/>
          <w:w w:val="100"/>
          <w:position w:val="0"/>
        </w:rPr>
        <w:t>单位：元</w:t>
      </w:r>
    </w:p>
    <w:tbl>
      <w:tblPr>
        <w:tblOverlap w:val="never"/>
        <w:jc w:val="center"/>
        <w:tblLayout w:type="fixed"/>
      </w:tblPr>
      <w:tblGrid>
        <w:gridCol w:w="4301"/>
        <w:gridCol w:w="1982"/>
        <w:gridCol w:w="2016"/>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266, 866, </w:t>
            </w:r>
            <w:r>
              <w:rPr>
                <w:color w:val="000000"/>
                <w:spacing w:val="0"/>
                <w:w w:val="100"/>
                <w:position w:val="0"/>
                <w:sz w:val="16"/>
                <w:szCs w:val="16"/>
              </w:rPr>
              <w:t xml:space="preserve">308.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288, 692, </w:t>
            </w:r>
            <w:r>
              <w:rPr>
                <w:color w:val="000000"/>
                <w:spacing w:val="0"/>
                <w:w w:val="100"/>
                <w:position w:val="0"/>
                <w:sz w:val="16"/>
                <w:szCs w:val="16"/>
              </w:rPr>
              <w:t xml:space="preserve">905. </w:t>
            </w:r>
            <w:r>
              <w:rPr>
                <w:color w:val="000000"/>
                <w:spacing w:val="0"/>
                <w:w w:val="100"/>
                <w:position w:val="0"/>
                <w:sz w:val="16"/>
                <w:szCs w:val="16"/>
              </w:rPr>
              <w:t>27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110, 876, </w:t>
            </w:r>
            <w:r>
              <w:rPr>
                <w:color w:val="000000"/>
                <w:spacing w:val="0"/>
                <w:w w:val="100"/>
                <w:position w:val="0"/>
                <w:sz w:val="16"/>
                <w:szCs w:val="16"/>
              </w:rPr>
              <w:t xml:space="preserve">234.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30, 827, </w:t>
            </w:r>
            <w:r>
              <w:rPr>
                <w:color w:val="000000"/>
                <w:spacing w:val="0"/>
                <w:w w:val="100"/>
                <w:position w:val="0"/>
                <w:sz w:val="16"/>
                <w:szCs w:val="16"/>
              </w:rPr>
              <w:t xml:space="preserve">874. </w:t>
            </w:r>
            <w:r>
              <w:rPr>
                <w:color w:val="000000"/>
                <w:spacing w:val="0"/>
                <w:w w:val="100"/>
                <w:position w:val="0"/>
                <w:sz w:val="16"/>
                <w:szCs w:val="16"/>
              </w:rPr>
              <w:t>94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377, 742, </w:t>
            </w:r>
            <w:r>
              <w:rPr>
                <w:color w:val="000000"/>
                <w:spacing w:val="0"/>
                <w:w w:val="100"/>
                <w:position w:val="0"/>
                <w:sz w:val="16"/>
                <w:szCs w:val="16"/>
              </w:rPr>
              <w:t xml:space="preserve">542.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319,520,780.21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153, 696, </w:t>
            </w:r>
            <w:r>
              <w:rPr>
                <w:color w:val="000000"/>
                <w:spacing w:val="0"/>
                <w:w w:val="100"/>
                <w:position w:val="0"/>
                <w:sz w:val="16"/>
                <w:szCs w:val="16"/>
              </w:rPr>
              <w:t xml:space="preserve">638.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111,976, </w:t>
            </w:r>
            <w:r>
              <w:rPr>
                <w:color w:val="000000"/>
                <w:spacing w:val="0"/>
                <w:w w:val="100"/>
                <w:position w:val="0"/>
                <w:sz w:val="16"/>
                <w:szCs w:val="16"/>
              </w:rPr>
              <w:t xml:space="preserve">952. </w:t>
            </w:r>
            <w:r>
              <w:rPr>
                <w:color w:val="000000"/>
                <w:spacing w:val="0"/>
                <w:w w:val="100"/>
                <w:position w:val="0"/>
                <w:sz w:val="16"/>
                <w:szCs w:val="16"/>
              </w:rPr>
              <w:t>48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127,220, </w:t>
            </w:r>
            <w:r>
              <w:rPr>
                <w:color w:val="000000"/>
                <w:spacing w:val="0"/>
                <w:w w:val="100"/>
                <w:position w:val="0"/>
                <w:sz w:val="16"/>
                <w:szCs w:val="16"/>
              </w:rPr>
              <w:t xml:space="preserve">853.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124,578,382.08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13, </w:t>
            </w:r>
            <w:r>
              <w:rPr>
                <w:color w:val="000000"/>
                <w:spacing w:val="0"/>
                <w:w w:val="100"/>
                <w:position w:val="0"/>
                <w:sz w:val="16"/>
                <w:szCs w:val="16"/>
              </w:rPr>
              <w:t>157,891.44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7, 682, </w:t>
            </w:r>
            <w:r>
              <w:rPr>
                <w:color w:val="000000"/>
                <w:spacing w:val="0"/>
                <w:w w:val="100"/>
                <w:position w:val="0"/>
                <w:sz w:val="16"/>
                <w:szCs w:val="16"/>
              </w:rPr>
              <w:t xml:space="preserve">924. </w:t>
            </w:r>
            <w:r>
              <w:rPr>
                <w:color w:val="000000"/>
                <w:spacing w:val="0"/>
                <w:w w:val="100"/>
                <w:position w:val="0"/>
                <w:sz w:val="16"/>
                <w:szCs w:val="16"/>
              </w:rPr>
              <w:t>93</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31,300,712.97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39, 344, </w:t>
            </w:r>
            <w:r>
              <w:rPr>
                <w:color w:val="000000"/>
                <w:spacing w:val="0"/>
                <w:w w:val="100"/>
                <w:position w:val="0"/>
                <w:sz w:val="16"/>
                <w:szCs w:val="16"/>
              </w:rPr>
              <w:t xml:space="preserve">808. </w:t>
            </w:r>
            <w:r>
              <w:rPr>
                <w:color w:val="000000"/>
                <w:spacing w:val="0"/>
                <w:w w:val="100"/>
                <w:position w:val="0"/>
                <w:sz w:val="16"/>
                <w:szCs w:val="16"/>
              </w:rPr>
              <w:t>06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325,376, </w:t>
            </w:r>
            <w:r>
              <w:rPr>
                <w:color w:val="000000"/>
                <w:spacing w:val="0"/>
                <w:w w:val="100"/>
                <w:position w:val="0"/>
                <w:sz w:val="16"/>
                <w:szCs w:val="16"/>
              </w:rPr>
              <w:t xml:space="preserve">096.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283, 583, </w:t>
            </w:r>
            <w:r>
              <w:rPr>
                <w:color w:val="000000"/>
                <w:spacing w:val="0"/>
                <w:w w:val="100"/>
                <w:position w:val="0"/>
                <w:sz w:val="16"/>
                <w:szCs w:val="16"/>
              </w:rPr>
              <w:t xml:space="preserve">067. </w:t>
            </w:r>
            <w:r>
              <w:rPr>
                <w:color w:val="000000"/>
                <w:spacing w:val="0"/>
                <w:w w:val="100"/>
                <w:position w:val="0"/>
                <w:sz w:val="16"/>
                <w:szCs w:val="16"/>
              </w:rPr>
              <w:t>55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52, 366, </w:t>
            </w:r>
            <w:r>
              <w:rPr>
                <w:color w:val="000000"/>
                <w:spacing w:val="0"/>
                <w:w w:val="100"/>
                <w:position w:val="0"/>
                <w:sz w:val="16"/>
                <w:szCs w:val="16"/>
              </w:rPr>
              <w:t xml:space="preserve">445.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35,937,712.66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1,232, </w:t>
            </w:r>
            <w:r>
              <w:rPr>
                <w:color w:val="000000"/>
                <w:spacing w:val="0"/>
                <w:w w:val="100"/>
                <w:position w:val="0"/>
                <w:sz w:val="16"/>
                <w:szCs w:val="16"/>
              </w:rPr>
              <w:t xml:space="preserve">894.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2,198,511.87</w:t>
            </w:r>
          </w:p>
        </w:tc>
      </w:tr>
      <w:tr>
        <w:trPr>
          <w:trHeight w:val="274"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处置固定资产、无形资产和其他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1, </w:t>
            </w:r>
            <w:r>
              <w:rPr>
                <w:color w:val="000000"/>
                <w:spacing w:val="0"/>
                <w:w w:val="100"/>
                <w:position w:val="0"/>
                <w:sz w:val="16"/>
                <w:szCs w:val="16"/>
              </w:rPr>
              <w:t xml:space="preserve">120. </w:t>
            </w:r>
            <w:r>
              <w:rPr>
                <w:color w:val="000000"/>
                <w:spacing w:val="0"/>
                <w:w w:val="100"/>
                <w:position w:val="0"/>
                <w:sz w:val="16"/>
                <w:szCs w:val="16"/>
              </w:rPr>
              <w:t>00</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both"/>
              <w:rPr>
                <w:sz w:val="16"/>
                <w:szCs w:val="16"/>
              </w:rPr>
            </w:pPr>
            <w:r>
              <w:rPr>
                <w:color w:val="000000"/>
                <w:spacing w:val="0"/>
                <w:w w:val="100"/>
                <w:position w:val="0"/>
                <w:sz w:val="16"/>
                <w:szCs w:val="16"/>
              </w:rPr>
              <w:t xml:space="preserve">9, </w:t>
            </w:r>
            <w:r>
              <w:rPr>
                <w:color w:val="000000"/>
                <w:spacing w:val="0"/>
                <w:w w:val="100"/>
                <w:position w:val="0"/>
                <w:sz w:val="16"/>
                <w:szCs w:val="16"/>
              </w:rPr>
              <w:t xml:space="preserve">820. </w:t>
            </w:r>
            <w:r>
              <w:rPr>
                <w:color w:val="000000"/>
                <w:spacing w:val="0"/>
                <w:w w:val="100"/>
                <w:position w:val="0"/>
                <w:sz w:val="16"/>
                <w:szCs w:val="16"/>
              </w:rPr>
              <w:t>00</w:t>
            </w:r>
          </w:p>
        </w:tc>
      </w:tr>
      <w:tr>
        <w:trPr>
          <w:trHeight w:val="283"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长期资产收回的现金净额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44,234,014.53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107,208,331.87</w:t>
            </w:r>
          </w:p>
        </w:tc>
      </w:tr>
      <w:tr>
        <w:trPr>
          <w:trHeight w:val="283" w:hRule="exact"/>
        </w:trPr>
        <w:tc>
          <w:tcPr>
            <w:tcBorders>
              <w:top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620"/>
              <w:jc w:val="both"/>
            </w:pPr>
            <w:r>
              <w:rPr>
                <w:color w:val="000000"/>
                <w:spacing w:val="0"/>
                <w:w w:val="100"/>
                <w:position w:val="0"/>
              </w:rPr>
              <w:t>购建固定资产、无形资产和其他</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114, 964, </w:t>
            </w:r>
            <w:r>
              <w:rPr>
                <w:color w:val="000000"/>
                <w:spacing w:val="0"/>
                <w:w w:val="100"/>
                <w:position w:val="0"/>
                <w:sz w:val="16"/>
                <w:szCs w:val="16"/>
              </w:rPr>
              <w:t>901.47</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119, </w:t>
            </w:r>
            <w:r>
              <w:rPr>
                <w:color w:val="000000"/>
                <w:spacing w:val="0"/>
                <w:w w:val="100"/>
                <w:position w:val="0"/>
                <w:sz w:val="16"/>
                <w:szCs w:val="16"/>
              </w:rPr>
              <w:t xml:space="preserve">164,251. </w:t>
            </w:r>
            <w:r>
              <w:rPr>
                <w:color w:val="000000"/>
                <w:spacing w:val="0"/>
                <w:w w:val="100"/>
                <w:position w:val="0"/>
                <w:sz w:val="16"/>
                <w:szCs w:val="16"/>
              </w:rPr>
              <w:t>17</w:t>
            </w:r>
          </w:p>
        </w:tc>
      </w:tr>
      <w:tr>
        <w:trPr>
          <w:trHeight w:val="274" w:hRule="exact"/>
        </w:trPr>
        <w:tc>
          <w:tcPr>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长期资产支付的现金</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15, 000,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36, 000, </w:t>
            </w:r>
            <w:r>
              <w:rPr>
                <w:color w:val="000000"/>
                <w:spacing w:val="0"/>
                <w:w w:val="100"/>
                <w:position w:val="0"/>
                <w:sz w:val="16"/>
                <w:szCs w:val="16"/>
              </w:rPr>
              <w:t xml:space="preserve">000. </w:t>
            </w:r>
            <w:r>
              <w:rPr>
                <w:color w:val="000000"/>
                <w:spacing w:val="0"/>
                <w:w w:val="100"/>
                <w:position w:val="0"/>
                <w:sz w:val="16"/>
                <w:szCs w:val="16"/>
              </w:rPr>
              <w:t>00</w:t>
            </w:r>
          </w:p>
        </w:tc>
      </w:tr>
      <w:tr>
        <w:trPr>
          <w:trHeight w:val="55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16" w:lineRule="exact"/>
              <w:ind w:left="840" w:right="0" w:hanging="220"/>
              <w:jc w:val="left"/>
            </w:pPr>
            <w:r>
              <w:rPr>
                <w:color w:val="000000"/>
                <w:spacing w:val="0"/>
                <w:w w:val="100"/>
                <w:position w:val="0"/>
              </w:rPr>
              <w:t>取得子公司及其他营业单位支付的 现金净额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12,415,400.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129, 964, </w:t>
            </w:r>
            <w:r>
              <w:rPr>
                <w:color w:val="000000"/>
                <w:spacing w:val="0"/>
                <w:w w:val="100"/>
                <w:position w:val="0"/>
                <w:sz w:val="16"/>
                <w:szCs w:val="16"/>
              </w:rPr>
              <w:t>901.47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167,579, </w:t>
            </w:r>
            <w:r>
              <w:rPr>
                <w:color w:val="000000"/>
                <w:spacing w:val="0"/>
                <w:w w:val="100"/>
                <w:position w:val="0"/>
                <w:sz w:val="16"/>
                <w:szCs w:val="16"/>
              </w:rPr>
              <w:t xml:space="preserve">651. </w:t>
            </w:r>
            <w:r>
              <w:rPr>
                <w:color w:val="000000"/>
                <w:spacing w:val="0"/>
                <w:w w:val="100"/>
                <w:position w:val="0"/>
                <w:sz w:val="16"/>
                <w:szCs w:val="16"/>
              </w:rPr>
              <w:t>17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(85, 730, </w:t>
            </w:r>
            <w:r>
              <w:rPr>
                <w:color w:val="000000"/>
                <w:spacing w:val="0"/>
                <w:w w:val="100"/>
                <w:position w:val="0"/>
                <w:sz w:val="16"/>
                <w:szCs w:val="16"/>
              </w:rPr>
              <w:t xml:space="preserve">886.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(60,371,319.30)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180, 000,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210, 000,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102, 000,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130, 000, </w:t>
            </w:r>
            <w:r>
              <w:rPr>
                <w:color w:val="000000"/>
                <w:spacing w:val="0"/>
                <w:w w:val="100"/>
                <w:position w:val="0"/>
                <w:sz w:val="16"/>
                <w:szCs w:val="16"/>
              </w:rPr>
              <w:t xml:space="preserve">000.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分配股利或偿付利息支付的现金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21,969,333.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19, 427, </w:t>
            </w:r>
            <w:r>
              <w:rPr>
                <w:color w:val="000000"/>
                <w:spacing w:val="0"/>
                <w:w w:val="100"/>
                <w:position w:val="0"/>
                <w:sz w:val="16"/>
                <w:szCs w:val="16"/>
              </w:rPr>
              <w:t xml:space="preserve">066. </w:t>
            </w:r>
            <w:r>
              <w:rPr>
                <w:color w:val="000000"/>
                <w:spacing w:val="0"/>
                <w:w w:val="100"/>
                <w:position w:val="0"/>
                <w:sz w:val="16"/>
                <w:szCs w:val="16"/>
              </w:rPr>
              <w:t>99</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123, </w:t>
            </w:r>
            <w:r>
              <w:rPr>
                <w:color w:val="000000"/>
                <w:spacing w:val="0"/>
                <w:w w:val="100"/>
                <w:position w:val="0"/>
                <w:sz w:val="16"/>
                <w:szCs w:val="16"/>
              </w:rPr>
              <w:t xml:space="preserve">969,333.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149, 427, </w:t>
            </w:r>
            <w:r>
              <w:rPr>
                <w:color w:val="000000"/>
                <w:spacing w:val="0"/>
                <w:w w:val="100"/>
                <w:position w:val="0"/>
                <w:sz w:val="16"/>
                <w:szCs w:val="16"/>
              </w:rPr>
              <w:t xml:space="preserve">066. </w:t>
            </w:r>
            <w:r>
              <w:rPr>
                <w:color w:val="000000"/>
                <w:spacing w:val="0"/>
                <w:w w:val="100"/>
                <w:position w:val="0"/>
                <w:sz w:val="16"/>
                <w:szCs w:val="16"/>
              </w:rPr>
              <w:t>99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56, 030, </w:t>
            </w:r>
            <w:r>
              <w:rPr>
                <w:color w:val="000000"/>
                <w:spacing w:val="0"/>
                <w:w w:val="100"/>
                <w:position w:val="0"/>
                <w:sz w:val="16"/>
                <w:szCs w:val="16"/>
              </w:rPr>
              <w:t xml:space="preserve">666.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60,572,933.01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0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22,666,225.49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36,139,326.37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pPr>
            <w:r>
              <w:rPr>
                <w:color w:val="000000"/>
                <w:spacing w:val="0"/>
                <w:w w:val="100"/>
                <w:position w:val="0"/>
              </w:rPr>
              <w:t>加：年初现金及现金等价物余额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136,813,572.05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100, 674, </w:t>
            </w:r>
            <w:r>
              <w:rPr>
                <w:color w:val="000000"/>
                <w:spacing w:val="0"/>
                <w:w w:val="100"/>
                <w:position w:val="0"/>
                <w:sz w:val="16"/>
                <w:szCs w:val="16"/>
              </w:rPr>
              <w:t xml:space="preserve">245. </w:t>
            </w:r>
            <w:r>
              <w:rPr>
                <w:color w:val="000000"/>
                <w:spacing w:val="0"/>
                <w:w w:val="100"/>
                <w:position w:val="0"/>
                <w:sz w:val="16"/>
                <w:szCs w:val="16"/>
              </w:rPr>
              <w:t>68</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六、年末现金及现金等价物余额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159, 479, </w:t>
            </w:r>
            <w:r>
              <w:rPr>
                <w:color w:val="000000"/>
                <w:spacing w:val="0"/>
                <w:w w:val="100"/>
                <w:position w:val="0"/>
                <w:sz w:val="16"/>
                <w:szCs w:val="16"/>
              </w:rPr>
              <w:t xml:space="preserve">797.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136,813,572.05</w:t>
            </w:r>
          </w:p>
        </w:tc>
      </w:tr>
    </w:tbl>
    <w:p>
      <w:pPr>
        <w:sectPr>
          <w:headerReference w:type="default" r:id="rId185"/>
          <w:footerReference w:type="default" r:id="rId186"/>
          <w:headerReference w:type="even" r:id="rId187"/>
          <w:footerReference w:type="even" r:id="rId188"/>
          <w:footnotePr>
            <w:pos w:val="pageBottom"/>
            <w:numFmt w:val="decimal"/>
            <w:numRestart w:val="continuous"/>
          </w:footnotePr>
          <w:pgSz w:w="11900" w:h="16840"/>
          <w:pgMar w:top="1453" w:right="2034" w:bottom="1653" w:left="1342"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7</w:t>
      </w:r>
      <w:bookmarkEnd w:id="746"/>
      <w:r>
        <w:rPr>
          <w:color w:val="000000"/>
          <w:spacing w:val="0"/>
          <w:w w:val="100"/>
          <w:position w:val="0"/>
        </w:rPr>
        <w:t>、合并所有者权益变动表</w:t>
      </w:r>
      <w:bookmarkEnd w:id="744"/>
      <w:bookmarkEnd w:id="745"/>
      <w:bookmarkEnd w:id="747"/>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1"/>
        <w:keepNext w:val="0"/>
        <w:keepLines w:val="0"/>
        <w:widowControl w:val="0"/>
        <w:pBdr>
          <w:bottom w:val="single" w:sz="4" w:space="0" w:color="auto"/>
        </w:pBdr>
        <w:shd w:val="clear" w:color="auto" w:fill="auto"/>
        <w:bidi w:val="0"/>
        <w:spacing w:before="0" w:after="160" w:line="240" w:lineRule="auto"/>
        <w:ind w:left="0" w:right="0" w:firstLine="0"/>
        <w:jc w:val="right"/>
      </w:pPr>
      <w:r>
        <w:rPr>
          <w:color w:val="000000"/>
          <w:spacing w:val="0"/>
          <w:w w:val="100"/>
          <w:position w:val="0"/>
        </w:rPr>
        <w:t>单位：元</w:t>
      </w:r>
    </w:p>
    <w:p>
      <w:pPr>
        <w:pStyle w:val="Style37"/>
        <w:keepNext w:val="0"/>
        <w:keepLines w:val="0"/>
        <w:widowControl w:val="0"/>
        <w:shd w:val="clear" w:color="auto" w:fill="auto"/>
        <w:bidi w:val="0"/>
        <w:spacing w:before="0" w:after="0" w:line="240" w:lineRule="auto"/>
        <w:ind w:left="6245"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bl>
      <w:tblPr>
        <w:tblOverlap w:val="never"/>
        <w:jc w:val="center"/>
        <w:tblLayout w:type="fixed"/>
      </w:tblPr>
      <w:tblGrid>
        <w:gridCol w:w="2770"/>
        <w:gridCol w:w="1498"/>
        <w:gridCol w:w="1512"/>
        <w:gridCol w:w="1512"/>
        <w:gridCol w:w="1517"/>
        <w:gridCol w:w="1517"/>
        <w:gridCol w:w="1512"/>
        <w:gridCol w:w="1546"/>
      </w:tblGrid>
      <w:tr>
        <w:trPr>
          <w:trHeight w:val="322"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归属于母公司股东权益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少数股东权益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股东权益合计</w:t>
            </w:r>
          </w:p>
        </w:tc>
      </w:tr>
      <w:tr>
        <w:trPr>
          <w:trHeight w:val="62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666,700.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127,541,353.92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16,395,079.97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179, </w:t>
            </w:r>
            <w:r>
              <w:rPr>
                <w:color w:val="000000"/>
                <w:spacing w:val="0"/>
                <w:w w:val="100"/>
                <w:position w:val="0"/>
                <w:sz w:val="16"/>
                <w:szCs w:val="16"/>
              </w:rPr>
              <w:t xml:space="preserve">021,444.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469, 624, </w:t>
            </w:r>
            <w:r>
              <w:rPr>
                <w:color w:val="000000"/>
                <w:spacing w:val="0"/>
                <w:w w:val="100"/>
                <w:position w:val="0"/>
                <w:sz w:val="16"/>
                <w:szCs w:val="16"/>
              </w:rPr>
              <w:t xml:space="preserve">578.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20, 073, </w:t>
            </w:r>
            <w:r>
              <w:rPr>
                <w:color w:val="000000"/>
                <w:spacing w:val="0"/>
                <w:w w:val="100"/>
                <w:position w:val="0"/>
                <w:sz w:val="16"/>
                <w:szCs w:val="16"/>
              </w:rPr>
              <w:t xml:space="preserve">688.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489,698,267.44</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1,050, </w:t>
            </w:r>
            <w:r>
              <w:rPr>
                <w:color w:val="000000"/>
                <w:spacing w:val="0"/>
                <w:w w:val="100"/>
                <w:position w:val="0"/>
                <w:sz w:val="16"/>
                <w:szCs w:val="16"/>
              </w:rPr>
              <w:t xml:space="preserve">747.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1,050, </w:t>
            </w:r>
            <w:r>
              <w:rPr>
                <w:color w:val="000000"/>
                <w:spacing w:val="0"/>
                <w:w w:val="100"/>
                <w:position w:val="0"/>
                <w:sz w:val="16"/>
                <w:szCs w:val="16"/>
              </w:rPr>
              <w:t xml:space="preserve">747.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1,050,747.91</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其中：新收入准则影响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1,050, </w:t>
            </w:r>
            <w:r>
              <w:rPr>
                <w:color w:val="000000"/>
                <w:spacing w:val="0"/>
                <w:w w:val="100"/>
                <w:position w:val="0"/>
                <w:sz w:val="16"/>
                <w:szCs w:val="16"/>
              </w:rPr>
              <w:t xml:space="preserve">747.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1,050, </w:t>
            </w:r>
            <w:r>
              <w:rPr>
                <w:color w:val="000000"/>
                <w:spacing w:val="0"/>
                <w:w w:val="100"/>
                <w:position w:val="0"/>
                <w:sz w:val="16"/>
                <w:szCs w:val="16"/>
              </w:rPr>
              <w:t xml:space="preserve">747.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1,050,747.91</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本年年初经调整余额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127,541,353.92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16,395,079.97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180, 072, </w:t>
            </w:r>
            <w:r>
              <w:rPr>
                <w:color w:val="000000"/>
                <w:spacing w:val="0"/>
                <w:w w:val="100"/>
                <w:position w:val="0"/>
                <w:sz w:val="16"/>
                <w:szCs w:val="16"/>
              </w:rPr>
              <w:t xml:space="preserve">192.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470, </w:t>
            </w:r>
            <w:r>
              <w:rPr>
                <w:color w:val="000000"/>
                <w:spacing w:val="0"/>
                <w:w w:val="100"/>
                <w:position w:val="0"/>
                <w:sz w:val="16"/>
                <w:szCs w:val="16"/>
              </w:rPr>
              <w:t>675,326.79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20, 073, </w:t>
            </w:r>
            <w:r>
              <w:rPr>
                <w:color w:val="000000"/>
                <w:spacing w:val="0"/>
                <w:w w:val="100"/>
                <w:position w:val="0"/>
                <w:sz w:val="16"/>
                <w:szCs w:val="16"/>
              </w:rPr>
              <w:t xml:space="preserve">688.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490,749,015.35</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二、本年增减变动金额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2,501,031.71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30,365,554.01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32,866,585.72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3, 181, </w:t>
            </w:r>
            <w:r>
              <w:rPr>
                <w:color w:val="000000"/>
                <w:spacing w:val="0"/>
                <w:w w:val="100"/>
                <w:position w:val="0"/>
                <w:sz w:val="16"/>
                <w:szCs w:val="16"/>
              </w:rPr>
              <w:t xml:space="preserve">104.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36,047,690.25</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43, 866, </w:t>
            </w:r>
            <w:r>
              <w:rPr>
                <w:color w:val="000000"/>
                <w:spacing w:val="0"/>
                <w:w w:val="100"/>
                <w:position w:val="0"/>
                <w:sz w:val="16"/>
                <w:szCs w:val="16"/>
              </w:rPr>
              <w:t xml:space="preserve">588.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43,866,588.22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3, 181, </w:t>
            </w:r>
            <w:r>
              <w:rPr>
                <w:color w:val="000000"/>
                <w:spacing w:val="0"/>
                <w:w w:val="100"/>
                <w:position w:val="0"/>
                <w:sz w:val="16"/>
                <w:szCs w:val="16"/>
              </w:rPr>
              <w:t xml:space="preserve">104.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47,047,692.75</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（二）利润分配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2,501,031.71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(13,501,034.21)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(11,000,002.50)</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2,501,031.71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(2,501,031.71)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6"/>
                <w:szCs w:val="16"/>
              </w:rPr>
              <w:t>2.</w:t>
            </w:r>
            <w:r>
              <w:rPr>
                <w:color w:val="000000"/>
                <w:spacing w:val="0"/>
                <w:w w:val="100"/>
                <w:position w:val="0"/>
              </w:rPr>
              <w:t>对股东的分配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(11,000,002.50)</w:t>
            </w:r>
          </w:p>
        </w:tc>
      </w:tr>
      <w:tr>
        <w:trPr>
          <w:trHeight w:val="33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三、本年年末余额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127,541,353.92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18, 896, </w:t>
            </w:r>
            <w:r>
              <w:rPr>
                <w:color w:val="000000"/>
                <w:spacing w:val="0"/>
                <w:w w:val="100"/>
                <w:position w:val="0"/>
                <w:sz w:val="16"/>
                <w:szCs w:val="16"/>
              </w:rPr>
              <w:t>111.68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210, 437, </w:t>
            </w:r>
            <w:r>
              <w:rPr>
                <w:color w:val="000000"/>
                <w:spacing w:val="0"/>
                <w:w w:val="100"/>
                <w:position w:val="0"/>
                <w:sz w:val="16"/>
                <w:szCs w:val="16"/>
              </w:rPr>
              <w:t xml:space="preserve">746. </w:t>
            </w:r>
            <w:r>
              <w:rPr>
                <w:color w:val="000000"/>
                <w:spacing w:val="0"/>
                <w:w w:val="100"/>
                <w:position w:val="0"/>
                <w:sz w:val="16"/>
                <w:szCs w:val="16"/>
              </w:rPr>
              <w:t>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503,541,912.51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23,254,793.09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526,796,705.60</w:t>
            </w:r>
          </w:p>
        </w:tc>
      </w:tr>
    </w:tbl>
    <w:p>
      <w:pPr>
        <w:spacing w:lineRule="exact" w:line="1"/>
        <w:rPr>
          <w:sz w:val="2"/>
          <w:szCs w:val="2"/>
        </w:rPr>
      </w:pPr>
      <w:r>
        <w:br w:type="page"/>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1"/>
        <w:keepNext w:val="0"/>
        <w:keepLines w:val="0"/>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rPr>
        <w:t>单位：元</w:t>
      </w:r>
    </w:p>
    <w:p>
      <w:pPr>
        <w:pStyle w:val="Style37"/>
        <w:keepNext w:val="0"/>
        <w:keepLines w:val="0"/>
        <w:widowControl w:val="0"/>
        <w:shd w:val="clear" w:color="auto" w:fill="auto"/>
        <w:bidi w:val="0"/>
        <w:spacing w:before="0" w:after="0" w:line="240" w:lineRule="auto"/>
        <w:ind w:left="6254"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bl>
      <w:tblPr>
        <w:tblOverlap w:val="never"/>
        <w:jc w:val="center"/>
        <w:tblLayout w:type="fixed"/>
      </w:tblPr>
      <w:tblGrid>
        <w:gridCol w:w="2770"/>
        <w:gridCol w:w="1512"/>
        <w:gridCol w:w="1512"/>
        <w:gridCol w:w="1512"/>
        <w:gridCol w:w="1517"/>
        <w:gridCol w:w="1517"/>
        <w:gridCol w:w="1512"/>
        <w:gridCol w:w="1546"/>
      </w:tblGrid>
      <w:tr>
        <w:trPr>
          <w:trHeight w:val="307"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归属于母公司股东权益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少数股东权益</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股东权益合计</w:t>
            </w:r>
          </w:p>
        </w:tc>
      </w:tr>
      <w:tr>
        <w:trPr>
          <w:trHeight w:val="60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小计</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666,700.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127,541,353.92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 </w:t>
            </w:r>
            <w:r>
              <w:rPr>
                <w:color w:val="000000"/>
                <w:spacing w:val="0"/>
                <w:w w:val="100"/>
                <w:position w:val="0"/>
                <w:sz w:val="16"/>
                <w:szCs w:val="16"/>
              </w:rPr>
              <w:t>947,485.38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154, 114, </w:t>
            </w:r>
            <w:r>
              <w:rPr>
                <w:color w:val="000000"/>
                <w:spacing w:val="0"/>
                <w:w w:val="100"/>
                <w:position w:val="0"/>
                <w:sz w:val="16"/>
                <w:szCs w:val="16"/>
              </w:rPr>
              <w:t xml:space="preserve">765.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443,270,304.60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818, </w:t>
            </w:r>
            <w:r>
              <w:rPr>
                <w:color w:val="000000"/>
                <w:spacing w:val="0"/>
                <w:w w:val="100"/>
                <w:position w:val="0"/>
                <w:sz w:val="16"/>
                <w:szCs w:val="16"/>
              </w:rPr>
              <w:t xml:space="preserve">181.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444, 088, </w:t>
            </w:r>
            <w:r>
              <w:rPr>
                <w:color w:val="000000"/>
                <w:spacing w:val="0"/>
                <w:w w:val="100"/>
                <w:position w:val="0"/>
                <w:sz w:val="16"/>
                <w:szCs w:val="16"/>
              </w:rPr>
              <w:t xml:space="preserve">486. </w:t>
            </w:r>
            <w:r>
              <w:rPr>
                <w:color w:val="000000"/>
                <w:spacing w:val="0"/>
                <w:w w:val="100"/>
                <w:position w:val="0"/>
                <w:sz w:val="16"/>
                <w:szCs w:val="16"/>
              </w:rPr>
              <w:t>20</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本年年初经调整余额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127,541,353.92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14, </w:t>
            </w:r>
            <w:r>
              <w:rPr>
                <w:color w:val="000000"/>
                <w:spacing w:val="0"/>
                <w:w w:val="100"/>
                <w:position w:val="0"/>
                <w:sz w:val="16"/>
                <w:szCs w:val="16"/>
              </w:rPr>
              <w:t>947,485.38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154, 114, </w:t>
            </w:r>
            <w:r>
              <w:rPr>
                <w:color w:val="000000"/>
                <w:spacing w:val="0"/>
                <w:w w:val="100"/>
                <w:position w:val="0"/>
                <w:sz w:val="16"/>
                <w:szCs w:val="16"/>
              </w:rPr>
              <w:t xml:space="preserve">765.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443,270,304.60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818, </w:t>
            </w:r>
            <w:r>
              <w:rPr>
                <w:color w:val="000000"/>
                <w:spacing w:val="0"/>
                <w:w w:val="100"/>
                <w:position w:val="0"/>
                <w:sz w:val="16"/>
                <w:szCs w:val="16"/>
              </w:rPr>
              <w:t xml:space="preserve">181.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444, 088, </w:t>
            </w:r>
            <w:r>
              <w:rPr>
                <w:color w:val="000000"/>
                <w:spacing w:val="0"/>
                <w:w w:val="100"/>
                <w:position w:val="0"/>
                <w:sz w:val="16"/>
                <w:szCs w:val="16"/>
              </w:rPr>
              <w:t xml:space="preserve">486. </w:t>
            </w:r>
            <w:r>
              <w:rPr>
                <w:color w:val="000000"/>
                <w:spacing w:val="0"/>
                <w:w w:val="100"/>
                <w:position w:val="0"/>
                <w:sz w:val="16"/>
                <w:szCs w:val="16"/>
              </w:rPr>
              <w:t>20</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二、本年增减变动金额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1,447,594.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24, 906, </w:t>
            </w:r>
            <w:r>
              <w:rPr>
                <w:color w:val="000000"/>
                <w:spacing w:val="0"/>
                <w:w w:val="100"/>
                <w:position w:val="0"/>
                <w:sz w:val="16"/>
                <w:szCs w:val="16"/>
              </w:rPr>
              <w:t>679.69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26,354,274.28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19,255,506.96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45,609,781.24</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36, 620, </w:t>
            </w:r>
            <w:r>
              <w:rPr>
                <w:color w:val="000000"/>
                <w:spacing w:val="0"/>
                <w:w w:val="100"/>
                <w:position w:val="0"/>
                <w:sz w:val="16"/>
                <w:szCs w:val="16"/>
              </w:rPr>
              <w:t xml:space="preserve">943.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36,620,943.28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632,313.03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37,253,256.31</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（二）合并范围变更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18, 623, </w:t>
            </w:r>
            <w:r>
              <w:rPr>
                <w:color w:val="000000"/>
                <w:spacing w:val="0"/>
                <w:w w:val="100"/>
                <w:position w:val="0"/>
                <w:sz w:val="16"/>
                <w:szCs w:val="16"/>
              </w:rPr>
              <w:t>193.</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18, 623, </w:t>
            </w:r>
            <w:r>
              <w:rPr>
                <w:color w:val="000000"/>
                <w:spacing w:val="0"/>
                <w:w w:val="100"/>
                <w:position w:val="0"/>
                <w:sz w:val="16"/>
                <w:szCs w:val="16"/>
              </w:rPr>
              <w:t xml:space="preserve">193. </w:t>
            </w:r>
            <w:r>
              <w:rPr>
                <w:color w:val="000000"/>
                <w:spacing w:val="0"/>
                <w:w w:val="100"/>
                <w:position w:val="0"/>
                <w:sz w:val="16"/>
                <w:szCs w:val="16"/>
              </w:rPr>
              <w:t>93</w:t>
            </w:r>
          </w:p>
        </w:tc>
      </w:tr>
      <w:tr>
        <w:trPr>
          <w:trHeight w:val="2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6"/>
                <w:szCs w:val="16"/>
              </w:rPr>
              <w:t>1.</w:t>
            </w:r>
            <w:r>
              <w:rPr>
                <w:color w:val="000000"/>
                <w:spacing w:val="0"/>
                <w:w w:val="100"/>
                <w:position w:val="0"/>
              </w:rPr>
              <w:t>收购子公司增加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18,623,</w:t>
            </w:r>
            <w:r>
              <w:rPr>
                <w:color w:val="000000"/>
                <w:spacing w:val="0"/>
                <w:w w:val="100"/>
                <w:position w:val="0"/>
                <w:sz w:val="16"/>
                <w:szCs w:val="16"/>
              </w:rPr>
              <w:t>193.</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18, 623,</w:t>
            </w:r>
            <w:r>
              <w:rPr>
                <w:color w:val="000000"/>
                <w:spacing w:val="0"/>
                <w:w w:val="100"/>
                <w:position w:val="0"/>
                <w:sz w:val="16"/>
                <w:szCs w:val="16"/>
              </w:rPr>
              <w:t>193.</w:t>
            </w:r>
            <w:r>
              <w:rPr>
                <w:color w:val="000000"/>
                <w:spacing w:val="0"/>
                <w:w w:val="100"/>
                <w:position w:val="0"/>
                <w:sz w:val="16"/>
                <w:szCs w:val="16"/>
              </w:rPr>
              <w:t>93</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（三）利润分配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1,447,594.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(11,714,263.59)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(10,266,669.00)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(10,266, </w:t>
            </w:r>
            <w:r>
              <w:rPr>
                <w:color w:val="000000"/>
                <w:spacing w:val="0"/>
                <w:w w:val="100"/>
                <w:position w:val="0"/>
                <w:sz w:val="16"/>
                <w:szCs w:val="16"/>
              </w:rPr>
              <w:t xml:space="preserve">669. </w:t>
            </w:r>
            <w:r>
              <w:rPr>
                <w:color w:val="000000"/>
                <w:spacing w:val="0"/>
                <w:w w:val="100"/>
                <w:position w:val="0"/>
                <w:sz w:val="16"/>
                <w:szCs w:val="16"/>
              </w:rPr>
              <w:t>00)</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1,447,594.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(1,447,594.59)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w:t>
            </w: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6"/>
                <w:szCs w:val="16"/>
              </w:rPr>
              <w:t>2.</w:t>
            </w:r>
            <w:r>
              <w:rPr>
                <w:color w:val="000000"/>
                <w:spacing w:val="0"/>
                <w:w w:val="100"/>
                <w:position w:val="0"/>
              </w:rPr>
              <w:t>对股东的分配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(10,266, </w:t>
            </w:r>
            <w:r>
              <w:rPr>
                <w:color w:val="000000"/>
                <w:spacing w:val="0"/>
                <w:w w:val="100"/>
                <w:position w:val="0"/>
                <w:sz w:val="16"/>
                <w:szCs w:val="16"/>
              </w:rPr>
              <w:t xml:space="preserve">669.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(10,266,669.00)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(10,266, </w:t>
            </w:r>
            <w:r>
              <w:rPr>
                <w:color w:val="000000"/>
                <w:spacing w:val="0"/>
                <w:w w:val="100"/>
                <w:position w:val="0"/>
                <w:sz w:val="16"/>
                <w:szCs w:val="16"/>
              </w:rPr>
              <w:t xml:space="preserve">669. </w:t>
            </w:r>
            <w:r>
              <w:rPr>
                <w:color w:val="000000"/>
                <w:spacing w:val="0"/>
                <w:w w:val="100"/>
                <w:position w:val="0"/>
                <w:sz w:val="16"/>
                <w:szCs w:val="16"/>
              </w:rPr>
              <w:t>00)</w:t>
            </w:r>
          </w:p>
        </w:tc>
      </w:tr>
      <w:tr>
        <w:trPr>
          <w:trHeight w:val="33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三、本年年末余额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127,541,353.92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16,395,079.97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 xml:space="preserve">179, </w:t>
            </w:r>
            <w:r>
              <w:rPr>
                <w:color w:val="000000"/>
                <w:spacing w:val="0"/>
                <w:w w:val="100"/>
                <w:position w:val="0"/>
                <w:sz w:val="16"/>
                <w:szCs w:val="16"/>
              </w:rPr>
              <w:t xml:space="preserve">021,444. </w:t>
            </w:r>
            <w:r>
              <w:rPr>
                <w:color w:val="000000"/>
                <w:spacing w:val="0"/>
                <w:w w:val="100"/>
                <w:position w:val="0"/>
                <w:sz w:val="16"/>
                <w:szCs w:val="16"/>
              </w:rPr>
              <w:t>99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469,624,578.88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20, 073, </w:t>
            </w:r>
            <w:r>
              <w:rPr>
                <w:color w:val="000000"/>
                <w:spacing w:val="0"/>
                <w:w w:val="100"/>
                <w:position w:val="0"/>
                <w:sz w:val="16"/>
                <w:szCs w:val="16"/>
              </w:rPr>
              <w:t xml:space="preserve">688.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489, 698, </w:t>
            </w:r>
            <w:r>
              <w:rPr>
                <w:color w:val="000000"/>
                <w:spacing w:val="0"/>
                <w:w w:val="100"/>
                <w:position w:val="0"/>
                <w:sz w:val="16"/>
                <w:szCs w:val="16"/>
              </w:rPr>
              <w:t xml:space="preserve">267. </w:t>
            </w:r>
            <w:r>
              <w:rPr>
                <w:color w:val="000000"/>
                <w:spacing w:val="0"/>
                <w:w w:val="100"/>
                <w:position w:val="0"/>
                <w:sz w:val="16"/>
                <w:szCs w:val="16"/>
              </w:rPr>
              <w:t>44</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8</w:t>
      </w:r>
      <w:bookmarkEnd w:id="750"/>
      <w:r>
        <w:rPr>
          <w:color w:val="000000"/>
          <w:spacing w:val="0"/>
          <w:w w:val="100"/>
          <w:position w:val="0"/>
        </w:rPr>
        <w:t>、母公司所有者权益变动表</w:t>
      </w:r>
      <w:bookmarkEnd w:id="748"/>
      <w:bookmarkEnd w:id="749"/>
      <w:bookmarkEnd w:id="751"/>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1"/>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p>
      <w:pPr>
        <w:pStyle w:val="Style37"/>
        <w:keepNext w:val="0"/>
        <w:keepLines w:val="0"/>
        <w:widowControl w:val="0"/>
        <w:shd w:val="clear" w:color="auto" w:fill="auto"/>
        <w:bidi w:val="0"/>
        <w:spacing w:before="0" w:after="0" w:line="240" w:lineRule="auto"/>
        <w:ind w:left="6154"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bl>
      <w:tblPr>
        <w:tblOverlap w:val="never"/>
        <w:jc w:val="center"/>
        <w:tblLayout w:type="fixed"/>
      </w:tblPr>
      <w:tblGrid>
        <w:gridCol w:w="3254"/>
        <w:gridCol w:w="1987"/>
        <w:gridCol w:w="1987"/>
        <w:gridCol w:w="1982"/>
        <w:gridCol w:w="1987"/>
        <w:gridCol w:w="2016"/>
      </w:tblGrid>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股东权益合计</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128, </w:t>
            </w:r>
            <w:r>
              <w:rPr>
                <w:color w:val="000000"/>
                <w:spacing w:val="0"/>
                <w:w w:val="100"/>
                <w:position w:val="0"/>
                <w:sz w:val="16"/>
                <w:szCs w:val="16"/>
              </w:rPr>
              <w:t>053,280.71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16,341,575.30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131,081,237.77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422, </w:t>
            </w:r>
            <w:r>
              <w:rPr>
                <w:color w:val="000000"/>
                <w:spacing w:val="0"/>
                <w:w w:val="100"/>
                <w:position w:val="0"/>
                <w:sz w:val="16"/>
                <w:szCs w:val="16"/>
              </w:rPr>
              <w:t>142,793.78</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252,518.87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252,518. </w:t>
            </w:r>
            <w:r>
              <w:rPr>
                <w:color w:val="000000"/>
                <w:spacing w:val="0"/>
                <w:w w:val="100"/>
                <w:position w:val="0"/>
                <w:sz w:val="16"/>
                <w:szCs w:val="16"/>
              </w:rPr>
              <w:t>87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其中：新收入准则影响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252,518.87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252,518. </w:t>
            </w:r>
            <w:r>
              <w:rPr>
                <w:color w:val="000000"/>
                <w:spacing w:val="0"/>
                <w:w w:val="100"/>
                <w:position w:val="0"/>
                <w:sz w:val="16"/>
                <w:szCs w:val="16"/>
              </w:rPr>
              <w:t>87</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本年年初经调整余额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128, </w:t>
            </w:r>
            <w:r>
              <w:rPr>
                <w:color w:val="000000"/>
                <w:spacing w:val="0"/>
                <w:w w:val="100"/>
                <w:position w:val="0"/>
                <w:sz w:val="16"/>
                <w:szCs w:val="16"/>
              </w:rPr>
              <w:t>053,280.71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16,341,575.30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131,333,756.64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422,395,312.65</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二、本年增减变动金额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2,501,031.71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11,256,763.98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13,757,795.69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24,757,798.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24,757,798. </w:t>
            </w:r>
            <w:r>
              <w:rPr>
                <w:color w:val="000000"/>
                <w:spacing w:val="0"/>
                <w:w w:val="100"/>
                <w:position w:val="0"/>
                <w:sz w:val="16"/>
                <w:szCs w:val="16"/>
              </w:rPr>
              <w:t>19</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（二）利润分配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2,501,031.71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(13,501,034.21)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002. </w:t>
            </w:r>
            <w:r>
              <w:rPr>
                <w:color w:val="000000"/>
                <w:spacing w:val="0"/>
                <w:w w:val="100"/>
                <w:position w:val="0"/>
                <w:sz w:val="16"/>
                <w:szCs w:val="16"/>
              </w:rPr>
              <w:t>50)</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2,501,031.71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(2,501,031.71)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6"/>
                <w:szCs w:val="16"/>
              </w:rPr>
              <w:t>2.</w:t>
            </w:r>
            <w:r>
              <w:rPr>
                <w:color w:val="000000"/>
                <w:spacing w:val="0"/>
                <w:w w:val="100"/>
                <w:position w:val="0"/>
              </w:rPr>
              <w:t>对股东的分配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(11,000, </w:t>
            </w:r>
            <w:r>
              <w:rPr>
                <w:color w:val="000000"/>
                <w:spacing w:val="0"/>
                <w:w w:val="100"/>
                <w:position w:val="0"/>
                <w:sz w:val="16"/>
                <w:szCs w:val="16"/>
              </w:rPr>
              <w:t xml:space="preserve">002. </w:t>
            </w:r>
            <w:r>
              <w:rPr>
                <w:color w:val="000000"/>
                <w:spacing w:val="0"/>
                <w:w w:val="100"/>
                <w:position w:val="0"/>
                <w:sz w:val="16"/>
                <w:szCs w:val="16"/>
              </w:rPr>
              <w:t>50)</w:t>
            </w:r>
          </w:p>
        </w:tc>
      </w:tr>
      <w:tr>
        <w:trPr>
          <w:trHeight w:val="34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三、本年年末余额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146, 666,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128, </w:t>
            </w:r>
            <w:r>
              <w:rPr>
                <w:color w:val="000000"/>
                <w:spacing w:val="0"/>
                <w:w w:val="100"/>
                <w:position w:val="0"/>
                <w:sz w:val="16"/>
                <w:szCs w:val="16"/>
              </w:rPr>
              <w:t>053,280.71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18,842,607.01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142, 590, </w:t>
            </w:r>
            <w:r>
              <w:rPr>
                <w:color w:val="000000"/>
                <w:spacing w:val="0"/>
                <w:w w:val="100"/>
                <w:position w:val="0"/>
                <w:sz w:val="16"/>
                <w:szCs w:val="16"/>
              </w:rPr>
              <w:t xml:space="preserve">520.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436, 153, </w:t>
            </w:r>
            <w:r>
              <w:rPr>
                <w:color w:val="000000"/>
                <w:spacing w:val="0"/>
                <w:w w:val="100"/>
                <w:position w:val="0"/>
                <w:sz w:val="16"/>
                <w:szCs w:val="16"/>
              </w:rPr>
              <w:t xml:space="preserve">108. </w:t>
            </w:r>
            <w:r>
              <w:rPr>
                <w:color w:val="000000"/>
                <w:spacing w:val="0"/>
                <w:w w:val="100"/>
                <w:position w:val="0"/>
                <w:sz w:val="16"/>
                <w:szCs w:val="16"/>
              </w:rPr>
              <w:t>34</w:t>
            </w:r>
          </w:p>
        </w:tc>
      </w:tr>
    </w:tbl>
    <w:p>
      <w:pPr>
        <w:spacing w:lineRule="exact" w:line="1"/>
        <w:rPr>
          <w:sz w:val="2"/>
          <w:szCs w:val="2"/>
        </w:rPr>
      </w:pPr>
      <w:r>
        <w:br w:type="page"/>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上期金额</w:t>
      </w:r>
    </w:p>
    <w:p>
      <w:pPr>
        <w:pStyle w:val="Style21"/>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37"/>
        <w:keepNext w:val="0"/>
        <w:keepLines w:val="0"/>
        <w:widowControl w:val="0"/>
        <w:shd w:val="clear" w:color="auto" w:fill="auto"/>
        <w:bidi w:val="0"/>
        <w:spacing w:before="0" w:after="0" w:line="240" w:lineRule="auto"/>
        <w:ind w:left="6168" w:right="0" w:firstLine="0"/>
        <w:jc w:val="left"/>
      </w:pPr>
      <w:r>
        <w:rPr>
          <w:color w:val="000000"/>
          <w:spacing w:val="0"/>
          <w:w w:val="100"/>
          <w:position w:val="0"/>
          <w:sz w:val="16"/>
          <w:szCs w:val="16"/>
        </w:rPr>
        <w:t>2019</w:t>
      </w:r>
      <w:r>
        <w:rPr>
          <w:color w:val="000000"/>
          <w:spacing w:val="0"/>
          <w:w w:val="100"/>
          <w:position w:val="0"/>
        </w:rPr>
        <w:t>年度</w:t>
      </w:r>
    </w:p>
    <w:tbl>
      <w:tblPr>
        <w:tblOverlap w:val="never"/>
        <w:jc w:val="center"/>
        <w:tblLayout w:type="fixed"/>
      </w:tblPr>
      <w:tblGrid>
        <w:gridCol w:w="3259"/>
        <w:gridCol w:w="1982"/>
        <w:gridCol w:w="1987"/>
        <w:gridCol w:w="1987"/>
        <w:gridCol w:w="1987"/>
        <w:gridCol w:w="2016"/>
      </w:tblGrid>
      <w:tr>
        <w:trPr>
          <w:trHeight w:val="605"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股东权益合计</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一、本年年初余额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146, </w:t>
            </w:r>
            <w:r>
              <w:rPr>
                <w:color w:val="000000"/>
                <w:spacing w:val="0"/>
                <w:w w:val="100"/>
                <w:position w:val="0"/>
                <w:sz w:val="16"/>
                <w:szCs w:val="16"/>
              </w:rPr>
              <w:t xml:space="preserve">666,700.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128, </w:t>
            </w:r>
            <w:r>
              <w:rPr>
                <w:color w:val="000000"/>
                <w:spacing w:val="0"/>
                <w:w w:val="100"/>
                <w:position w:val="0"/>
                <w:sz w:val="16"/>
                <w:szCs w:val="16"/>
              </w:rPr>
              <w:t>053,280.71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14, </w:t>
            </w:r>
            <w:r>
              <w:rPr>
                <w:color w:val="000000"/>
                <w:spacing w:val="0"/>
                <w:w w:val="100"/>
                <w:position w:val="0"/>
                <w:sz w:val="16"/>
                <w:szCs w:val="16"/>
              </w:rPr>
              <w:t>893,980.71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128,319,555.46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417,933,516.88</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加：会计政策变更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本年年初经调整余额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146,666,700.00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128, </w:t>
            </w:r>
            <w:r>
              <w:rPr>
                <w:color w:val="000000"/>
                <w:spacing w:val="0"/>
                <w:w w:val="100"/>
                <w:position w:val="0"/>
                <w:sz w:val="16"/>
                <w:szCs w:val="16"/>
              </w:rPr>
              <w:t>053,280.71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14, </w:t>
            </w:r>
            <w:r>
              <w:rPr>
                <w:color w:val="000000"/>
                <w:spacing w:val="0"/>
                <w:w w:val="100"/>
                <w:position w:val="0"/>
                <w:sz w:val="16"/>
                <w:szCs w:val="16"/>
              </w:rPr>
              <w:t>893,980.71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128,319,555.46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417,933,516.88</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二、本年增减变动金额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1,447,594.59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2,761,682.31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4,209,276.90</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（一）综合收益总额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14, </w:t>
            </w:r>
            <w:r>
              <w:rPr>
                <w:color w:val="000000"/>
                <w:spacing w:val="0"/>
                <w:w w:val="100"/>
                <w:position w:val="0"/>
                <w:sz w:val="16"/>
                <w:szCs w:val="16"/>
              </w:rPr>
              <w:t>475,945.90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14,475,945.90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（二）利润分配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1,447,594.59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(11,714,263.59)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(10,266,669.00)</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pPr>
            <w:r>
              <w:rPr>
                <w:color w:val="000000"/>
                <w:spacing w:val="0"/>
                <w:w w:val="100"/>
                <w:position w:val="0"/>
                <w:sz w:val="16"/>
                <w:szCs w:val="16"/>
              </w:rPr>
              <w:t>1.</w:t>
            </w:r>
            <w:r>
              <w:rPr>
                <w:color w:val="000000"/>
                <w:spacing w:val="0"/>
                <w:w w:val="100"/>
                <w:position w:val="0"/>
              </w:rPr>
              <w:t>提取盈余公积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1,447,594.59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(1,447,594.59)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w:t>
            </w:r>
            <w:r>
              <w:rPr>
                <w:color w:val="000000"/>
                <w:spacing w:val="0"/>
                <w:w w:val="100"/>
                <w:position w:val="0"/>
              </w:rPr>
              <w:t>对股东的分配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(10,266, </w:t>
            </w:r>
            <w:r>
              <w:rPr>
                <w:color w:val="000000"/>
                <w:spacing w:val="0"/>
                <w:w w:val="100"/>
                <w:position w:val="0"/>
                <w:sz w:val="16"/>
                <w:szCs w:val="16"/>
              </w:rPr>
              <w:t xml:space="preserve">669.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(10,266,669.00)</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三、本年年末余额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146,666,700.00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128, </w:t>
            </w:r>
            <w:r>
              <w:rPr>
                <w:color w:val="000000"/>
                <w:spacing w:val="0"/>
                <w:w w:val="100"/>
                <w:position w:val="0"/>
                <w:sz w:val="16"/>
                <w:szCs w:val="16"/>
              </w:rPr>
              <w:t>053,280.71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 xml:space="preserve">16, </w:t>
            </w:r>
            <w:r>
              <w:rPr>
                <w:color w:val="000000"/>
                <w:spacing w:val="0"/>
                <w:w w:val="100"/>
                <w:position w:val="0"/>
                <w:sz w:val="16"/>
                <w:szCs w:val="16"/>
              </w:rPr>
              <w:t>341,575.30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131,081,237.77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422,142,793.78</w:t>
            </w:r>
          </w:p>
        </w:tc>
      </w:tr>
    </w:tbl>
    <w:p>
      <w:pPr>
        <w:sectPr>
          <w:headerReference w:type="default" r:id="rId189"/>
          <w:footerReference w:type="default" r:id="rId190"/>
          <w:headerReference w:type="even" r:id="rId191"/>
          <w:footerReference w:type="even" r:id="rId192"/>
          <w:footnotePr>
            <w:pos w:val="pageBottom"/>
            <w:numFmt w:val="decimal"/>
            <w:numRestart w:val="continuous"/>
          </w:footnotePr>
          <w:pgSz w:w="16840" w:h="11900" w:orient="landscape"/>
          <w:pgMar w:top="1791" w:right="2073" w:bottom="4483" w:left="1369" w:header="0" w:footer="3" w:gutter="0"/>
          <w:cols w:space="720"/>
          <w:noEndnote/>
          <w:rtlGutter w:val="0"/>
          <w:docGrid w:linePitch="360"/>
        </w:sectPr>
      </w:pPr>
    </w:p>
    <w:p>
      <w:pPr>
        <w:pStyle w:val="Style30"/>
        <w:keepNext/>
        <w:keepLines/>
        <w:widowControl w:val="0"/>
        <w:shd w:val="clear" w:color="auto" w:fill="auto"/>
        <w:bidi w:val="0"/>
        <w:spacing w:before="920" w:after="280" w:line="240" w:lineRule="auto"/>
        <w:ind w:left="0" w:right="0" w:firstLine="0"/>
        <w:jc w:val="both"/>
      </w:pPr>
      <w:bookmarkStart w:id="752" w:name="bookmark752"/>
      <w:bookmarkStart w:id="753" w:name="bookmark753"/>
      <w:bookmarkStart w:id="754" w:name="bookmark754"/>
      <w:bookmarkStart w:id="755" w:name="bookmark755"/>
      <w:r>
        <w:rPr>
          <w:color w:val="000000"/>
          <w:spacing w:val="0"/>
          <w:w w:val="100"/>
          <w:position w:val="0"/>
        </w:rPr>
        <w:t>三</w:t>
      </w:r>
      <w:bookmarkEnd w:id="754"/>
      <w:r>
        <w:rPr>
          <w:color w:val="000000"/>
          <w:spacing w:val="0"/>
          <w:w w:val="100"/>
          <w:position w:val="0"/>
        </w:rPr>
        <w:t>、公司基本情况</w:t>
      </w:r>
      <w:bookmarkEnd w:id="752"/>
      <w:bookmarkEnd w:id="753"/>
      <w:bookmarkEnd w:id="755"/>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深圳市建筑科学研究院股份有限公司（以下简称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）原名深圳市建筑科学研究院，前身深圳市建筑科学研究 所根据深圳市机构编制委员会下发的深编〔</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号《关于市建筑设计院机构编制问题的批复》设立。</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月经深圳 市机构编制委员会办公室（深编办〔</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号《关于深圳市建筑科学研究所更名的批复》批准，该所更名为深圳市建筑科 学研究院，为属于深圳市规划局下属事业单位深圳市建筑设计研究总院（现深圳市建筑设计研究总院有限公司）下属的市属 事业单位。根据</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日中共深圳市委办公厅、深圳市人民政府办公厅联合下发的深办〔</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号文件《关于印发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深圳市党政机关事业单位所属企业、转企事业单位划转工作实施方案</w:t>
      </w:r>
      <w:r>
        <w:rPr>
          <w:color w:val="000000"/>
          <w:spacing w:val="0"/>
          <w:w w:val="100"/>
          <w:position w:val="0"/>
          <w:sz w:val="18"/>
          <w:szCs w:val="18"/>
        </w:rPr>
        <w:t>〉</w:t>
      </w:r>
      <w:r>
        <w:rPr>
          <w:color w:val="000000"/>
          <w:spacing w:val="0"/>
          <w:w w:val="100"/>
          <w:position w:val="0"/>
        </w:rPr>
        <w:t>的通知》，及</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日深圳市规划局、深圳市投 资控股有限公司签订的《关于深圳市建筑设计研究总院划转和移交工作备忘录》，本公司随深圳市建筑设计研究总院划转到 深圳市投资控股有限公司。</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日，本公司办理了工商注册登记手续，领取了深圳市工商行政管理局颁发的 </w:t>
      </w:r>
      <w:r>
        <w:rPr>
          <w:rFonts w:ascii="Times New Roman" w:eastAsia="Times New Roman" w:hAnsi="Times New Roman" w:cs="Times New Roman"/>
          <w:color w:val="000000"/>
          <w:spacing w:val="0"/>
          <w:w w:val="100"/>
          <w:position w:val="0"/>
          <w:sz w:val="18"/>
          <w:szCs w:val="18"/>
        </w:rPr>
        <w:t>440301102792750</w:t>
      </w:r>
      <w:r>
        <w:rPr>
          <w:color w:val="000000"/>
          <w:spacing w:val="0"/>
          <w:w w:val="100"/>
          <w:position w:val="0"/>
        </w:rPr>
        <w:t>号企业法人营业执照，公司类型为有限责任公司（法人独资），股东为深圳市投资控股有限公司，占股比 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，注册资本</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万元，扣除以土地评估增值出资的</w:t>
      </w:r>
      <w:r>
        <w:rPr>
          <w:rFonts w:ascii="Times New Roman" w:eastAsia="Times New Roman" w:hAnsi="Times New Roman" w:cs="Times New Roman"/>
          <w:color w:val="000000"/>
          <w:spacing w:val="0"/>
          <w:w w:val="100"/>
          <w:position w:val="0"/>
          <w:sz w:val="18"/>
          <w:szCs w:val="18"/>
        </w:rPr>
        <w:t>199.58</w:t>
      </w:r>
      <w:r>
        <w:rPr>
          <w:color w:val="000000"/>
          <w:spacing w:val="0"/>
          <w:w w:val="100"/>
          <w:position w:val="0"/>
        </w:rPr>
        <w:t>万元后实收资本为</w:t>
      </w:r>
      <w:r>
        <w:rPr>
          <w:rFonts w:ascii="Times New Roman" w:eastAsia="Times New Roman" w:hAnsi="Times New Roman" w:cs="Times New Roman"/>
          <w:color w:val="000000"/>
          <w:spacing w:val="0"/>
          <w:w w:val="100"/>
          <w:position w:val="0"/>
          <w:sz w:val="18"/>
          <w:szCs w:val="18"/>
        </w:rPr>
        <w:t>1,800.4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日，根据《深圳市投资控股有限公司关于完善深圳市建筑科学研究院有限公司注册资本金问题的批复》（深投 控</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号）文件，深圳市投资控股有限公司以货币资金人民币</w:t>
      </w:r>
      <w:r>
        <w:rPr>
          <w:rFonts w:ascii="Times New Roman" w:eastAsia="Times New Roman" w:hAnsi="Times New Roman" w:cs="Times New Roman"/>
          <w:color w:val="000000"/>
          <w:spacing w:val="0"/>
          <w:w w:val="100"/>
          <w:position w:val="0"/>
          <w:sz w:val="18"/>
          <w:szCs w:val="18"/>
        </w:rPr>
        <w:t>1,995,759.9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元等额置换</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年改制土地评估增值出资， 出资后，公司注册资本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万元，实收资本</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日深圳市人民政府国有资产监督管理委员会深国资委〔</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号文件《关于深圳市建筑科学研究院有限 公司引进战略投资者同时实施管理层和核心骨干持股总体方案的批复》，</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日经本公司股东会决议和增资协议， 本公司注册资本由原来</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万元人民币变更为</w:t>
      </w:r>
      <w:r>
        <w:rPr>
          <w:rFonts w:ascii="Times New Roman" w:eastAsia="Times New Roman" w:hAnsi="Times New Roman" w:cs="Times New Roman"/>
          <w:color w:val="000000"/>
          <w:spacing w:val="0"/>
          <w:w w:val="100"/>
          <w:position w:val="0"/>
          <w:sz w:val="18"/>
          <w:szCs w:val="18"/>
        </w:rPr>
        <w:t>3,333.3333</w:t>
      </w:r>
      <w:r>
        <w:rPr>
          <w:color w:val="000000"/>
          <w:spacing w:val="0"/>
          <w:w w:val="100"/>
          <w:position w:val="0"/>
        </w:rPr>
        <w:t>万元人民币，变更后股东出资和股权比例为：深圳市投资控股有 限公司出资额</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；中关村发展集团股份有限公司出资额</w:t>
      </w:r>
      <w:r>
        <w:rPr>
          <w:rFonts w:ascii="Times New Roman" w:eastAsia="Times New Roman" w:hAnsi="Times New Roman" w:cs="Times New Roman"/>
          <w:color w:val="000000"/>
          <w:spacing w:val="0"/>
          <w:w w:val="100"/>
          <w:position w:val="0"/>
          <w:sz w:val="18"/>
          <w:szCs w:val="18"/>
        </w:rPr>
        <w:t>333.3333</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深圳市英龙建安（集团）有限公司出资额</w:t>
      </w:r>
      <w:r>
        <w:rPr>
          <w:rFonts w:ascii="Times New Roman" w:eastAsia="Times New Roman" w:hAnsi="Times New Roman" w:cs="Times New Roman"/>
          <w:color w:val="000000"/>
          <w:spacing w:val="0"/>
          <w:w w:val="100"/>
          <w:position w:val="0"/>
          <w:sz w:val="18"/>
          <w:szCs w:val="18"/>
        </w:rPr>
        <w:t>333.3333</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；深圳市创新投资集团有限公司出资额</w:t>
      </w:r>
      <w:r>
        <w:rPr>
          <w:rFonts w:ascii="Times New Roman" w:eastAsia="Times New Roman" w:hAnsi="Times New Roman" w:cs="Times New Roman"/>
          <w:color w:val="000000"/>
          <w:spacing w:val="0"/>
          <w:w w:val="100"/>
          <w:position w:val="0"/>
          <w:sz w:val="18"/>
          <w:szCs w:val="18"/>
        </w:rPr>
        <w:t xml:space="preserve">166.6667 </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；深圳市建科投资股份有限公司出资额</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。上述出资已经中天运 会计师事务所有限公司深圳分所出具的中天运（深圳）〔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〕验字第</w:t>
      </w:r>
      <w:r>
        <w:rPr>
          <w:rFonts w:ascii="Times New Roman" w:eastAsia="Times New Roman" w:hAnsi="Times New Roman" w:cs="Times New Roman"/>
          <w:color w:val="000000"/>
          <w:spacing w:val="0"/>
          <w:w w:val="100"/>
          <w:position w:val="0"/>
          <w:sz w:val="18"/>
          <w:szCs w:val="18"/>
        </w:rPr>
        <w:t>00007</w:t>
      </w:r>
      <w:r>
        <w:rPr>
          <w:color w:val="000000"/>
          <w:spacing w:val="0"/>
          <w:w w:val="100"/>
          <w:position w:val="0"/>
        </w:rPr>
        <w:t>号《验资报告》验证。本公司已于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日办理了工商变更登记手续。</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日，本公司按照发起人协议及章程（草案）的规定，以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日为基准日，将深圳市建筑科学研究院有 限公司整体变更设立为股份有限公司，以截至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日深圳市建筑科学研究院有限公司的净资产人民币</w:t>
      </w:r>
      <w:r>
        <w:rPr>
          <w:rFonts w:ascii="Times New Roman" w:eastAsia="Times New Roman" w:hAnsi="Times New Roman" w:cs="Times New Roman"/>
          <w:color w:val="000000"/>
          <w:spacing w:val="0"/>
          <w:w w:val="100"/>
          <w:position w:val="0"/>
          <w:sz w:val="18"/>
          <w:szCs w:val="18"/>
        </w:rPr>
        <w:t xml:space="preserve">166,322,358.71 </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1:0.6614</w:t>
      </w:r>
      <w:r>
        <w:rPr>
          <w:color w:val="000000"/>
          <w:spacing w:val="0"/>
          <w:w w:val="100"/>
          <w:position w:val="0"/>
        </w:rPr>
        <w:t>的比例折合股份总额</w:t>
      </w:r>
      <w:r>
        <w:rPr>
          <w:rFonts w:ascii="Times New Roman" w:eastAsia="Times New Roman" w:hAnsi="Times New Roman" w:cs="Times New Roman"/>
          <w:color w:val="000000"/>
          <w:spacing w:val="0"/>
          <w:w w:val="100"/>
          <w:position w:val="0"/>
          <w:sz w:val="18"/>
          <w:szCs w:val="18"/>
        </w:rPr>
        <w:t>11,000</w:t>
      </w:r>
      <w:r>
        <w:rPr>
          <w:color w:val="000000"/>
          <w:spacing w:val="0"/>
          <w:w w:val="100"/>
          <w:position w:val="0"/>
        </w:rPr>
        <w:t>万股，每股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元，共计股本人民币</w:t>
      </w:r>
      <w:r>
        <w:rPr>
          <w:rFonts w:ascii="Times New Roman" w:eastAsia="Times New Roman" w:hAnsi="Times New Roman" w:cs="Times New Roman"/>
          <w:color w:val="000000"/>
          <w:spacing w:val="0"/>
          <w:w w:val="100"/>
          <w:position w:val="0"/>
          <w:sz w:val="18"/>
          <w:szCs w:val="18"/>
        </w:rPr>
        <w:t>110,000,000.00</w:t>
      </w:r>
      <w:r>
        <w:rPr>
          <w:color w:val="000000"/>
          <w:spacing w:val="0"/>
          <w:w w:val="100"/>
          <w:position w:val="0"/>
        </w:rPr>
        <w:t>元，大于股本部分计入资本公积。 变更后股东出资和股权比例为：深圳市投资控股有限公司出资额</w:t>
      </w:r>
      <w:r>
        <w:rPr>
          <w:rFonts w:ascii="Times New Roman" w:eastAsia="Times New Roman" w:hAnsi="Times New Roman" w:cs="Times New Roman"/>
          <w:color w:val="000000"/>
          <w:spacing w:val="0"/>
          <w:w w:val="100"/>
          <w:position w:val="0"/>
          <w:sz w:val="18"/>
          <w:szCs w:val="18"/>
        </w:rPr>
        <w:t>6,600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；深圳市建科投资股份有 限公司出资额</w:t>
      </w:r>
      <w:r>
        <w:rPr>
          <w:rFonts w:ascii="Times New Roman" w:eastAsia="Times New Roman" w:hAnsi="Times New Roman" w:cs="Times New Roman"/>
          <w:color w:val="000000"/>
          <w:spacing w:val="0"/>
          <w:w w:val="100"/>
          <w:position w:val="0"/>
          <w:sz w:val="18"/>
          <w:szCs w:val="18"/>
        </w:rPr>
        <w:t>1,650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；中关村发展集团股份有限公司出资额</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深圳市英龙建安（集团）有限公司出资额</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万元人民币，股权比例为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；深圳市创新投资集团有限公司出资额</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万元 人民币，股权比例为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。上述出资已经立信会计师事务所（特殊普通合伙）出具的信会师报字〔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310546</w:t>
      </w:r>
      <w:r>
        <w:rPr>
          <w:color w:val="000000"/>
          <w:spacing w:val="0"/>
          <w:w w:val="100"/>
          <w:position w:val="0"/>
        </w:rPr>
        <w:t>号《验资报 告》验证。本公司已于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日办理了工商变更登记手续。</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日，根据深圳市人民政府国有资产监督管理委员会关于对本公司股权实施战略性调整的通知（深国资委</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564</w:t>
      </w:r>
      <w:r>
        <w:rPr>
          <w:color w:val="000000"/>
          <w:spacing w:val="0"/>
          <w:w w:val="100"/>
          <w:position w:val="0"/>
        </w:rPr>
        <w:t>号），决定将深圳市投资控股有限公司持有的本公司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股权战略性调整至深圳市资本运营集团有限公司（原名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远致投资有限公司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，经深圳市人民政府国有资产监督管理委员会批准、深圳市市场监督管理局核准，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深圳市远致投资有限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日正式更名为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深圳市资本运营集团有限公司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），深圳市投资控股有限公司已于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日在深圳 联合产权交易所办理完权益交割。</w:t>
      </w:r>
    </w:p>
    <w:p>
      <w:pPr>
        <w:pStyle w:val="Style21"/>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日，本公司经中国证券监督管理委员会证监许可〔</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1028</w:t>
      </w:r>
      <w:r>
        <w:rPr>
          <w:color w:val="000000"/>
          <w:spacing w:val="0"/>
          <w:w w:val="100"/>
          <w:position w:val="0"/>
        </w:rPr>
        <w:t>号文《关于核准深圳市建筑科学研究院股份有限 公司首次公开发行股票的批复》核准向社会公众公开发行人民币普通股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36,666,700</w:t>
      </w:r>
      <w:r>
        <w:rPr>
          <w:color w:val="000000"/>
          <w:spacing w:val="0"/>
          <w:w w:val="100"/>
          <w:position w:val="0"/>
        </w:rPr>
        <w:t>股。本公司于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日向社会 公众投资者定价发行人民币普通股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36,666,700</w:t>
      </w:r>
      <w:r>
        <w:rPr>
          <w:color w:val="000000"/>
          <w:spacing w:val="0"/>
          <w:w w:val="100"/>
          <w:position w:val="0"/>
        </w:rPr>
        <w:t>股，注册资本变更为人民币</w:t>
      </w:r>
      <w:r>
        <w:rPr>
          <w:rFonts w:ascii="Times New Roman" w:eastAsia="Times New Roman" w:hAnsi="Times New Roman" w:cs="Times New Roman"/>
          <w:color w:val="000000"/>
          <w:spacing w:val="0"/>
          <w:w w:val="100"/>
          <w:position w:val="0"/>
          <w:sz w:val="18"/>
          <w:szCs w:val="18"/>
        </w:rPr>
        <w:t>146,666,700.00</w:t>
      </w:r>
      <w:r>
        <w:rPr>
          <w:color w:val="000000"/>
          <w:spacing w:val="0"/>
          <w:w w:val="100"/>
          <w:position w:val="0"/>
        </w:rPr>
        <w:t>元。上述出资已经立信会计 师事务所（特殊普通合伙）出具的信会师报字〔</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ZI10642</w:t>
      </w:r>
      <w:r>
        <w:rPr>
          <w:color w:val="000000"/>
          <w:spacing w:val="0"/>
          <w:w w:val="100"/>
          <w:position w:val="0"/>
        </w:rPr>
        <w:t>号《验资报告》验证。本公司股票于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日在深圳 证券交易所挂牌交易。</w:t>
      </w:r>
    </w:p>
    <w:p>
      <w:pPr>
        <w:pStyle w:val="Style39"/>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截至</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日，公司注册资本为人民币</w:t>
      </w:r>
      <w:r>
        <w:rPr>
          <w:color w:val="000000"/>
          <w:spacing w:val="0"/>
          <w:w w:val="100"/>
          <w:position w:val="0"/>
          <w:sz w:val="18"/>
          <w:szCs w:val="18"/>
        </w:rPr>
        <w:t>146,666,700.00</w:t>
      </w:r>
      <w:r>
        <w:rPr>
          <w:rFonts w:ascii="SimSun" w:eastAsia="SimSun" w:hAnsi="SimSun" w:cs="SimSun"/>
          <w:color w:val="000000"/>
          <w:spacing w:val="0"/>
          <w:w w:val="100"/>
          <w:position w:val="0"/>
          <w:sz w:val="17"/>
          <w:szCs w:val="17"/>
        </w:rPr>
        <w:t>元。</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公司经营范围：城市及建筑科学研究，城市规划编制，工程咨询、勘察、设计、质量检测与检查、项目管理、监理及相关技 术服务，环境工程检测和咨询，建筑工程性能评估，能耗测评及节能检测评价，绿色节能改造咨询与施工，绿色建筑与园区 运营管理，碳审计与评估，绿色低碳技术与产品开发、咨询、投资、培训推广和销售贸易，会议展览，物业租赁与管理</w:t>
      </w:r>
      <w:r>
        <w:rPr>
          <w:color w:val="000000"/>
          <w:spacing w:val="0"/>
          <w:w w:val="100"/>
          <w:position w:val="0"/>
          <w:sz w:val="18"/>
          <w:szCs w:val="18"/>
        </w:rPr>
        <w:t>，</w:t>
      </w:r>
      <w:r>
        <w:rPr>
          <w:color w:val="000000"/>
          <w:spacing w:val="0"/>
          <w:w w:val="100"/>
          <w:position w:val="0"/>
        </w:rPr>
        <w:t>建筑 服务，绿色低碳技术培训推广。</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本公司子公司的相关信息请参见附注九、在其他主体中的权益。</w:t>
      </w:r>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日止，公司合并财务报表范围内子公司共</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户，包括：建研检测、市政中心、北京艾科城、深圳艾科城、 常州城建艾科、上海爱轲、迪赛恩、艾科筑业、深圳玖伊、雄安玖壹、绿研检验、建信筑和、湖北建胜、丰天工程、图强建 设、精兴建设、领航培训、湾区规划设计、湾区绿色技术，其中湾区规划设计、湾区绿色技术等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家公司为本期新增子公司。</w:t>
      </w:r>
    </w:p>
    <w:p>
      <w:pPr>
        <w:pStyle w:val="Style30"/>
        <w:keepNext/>
        <w:keepLines/>
        <w:widowControl w:val="0"/>
        <w:shd w:val="clear" w:color="auto" w:fill="auto"/>
        <w:tabs>
          <w:tab w:pos="498" w:val="left"/>
        </w:tabs>
        <w:bidi w:val="0"/>
        <w:spacing w:before="0" w:after="380" w:line="240" w:lineRule="auto"/>
        <w:ind w:left="0" w:right="0" w:firstLine="0"/>
        <w:jc w:val="left"/>
      </w:pPr>
      <w:bookmarkStart w:id="756" w:name="bookmark756"/>
      <w:bookmarkStart w:id="757" w:name="bookmark757"/>
      <w:bookmarkStart w:id="758" w:name="bookmark758"/>
      <w:bookmarkStart w:id="759" w:name="bookmark759"/>
      <w:r>
        <w:rPr>
          <w:color w:val="000000"/>
          <w:spacing w:val="0"/>
          <w:w w:val="100"/>
          <w:position w:val="0"/>
        </w:rPr>
        <w:t>四</w:t>
      </w:r>
      <w:bookmarkEnd w:id="758"/>
      <w:r>
        <w:rPr>
          <w:color w:val="000000"/>
          <w:spacing w:val="0"/>
          <w:w w:val="100"/>
          <w:position w:val="0"/>
        </w:rPr>
        <w:t>、</w:t>
        <w:tab/>
        <w:t>财务报表的编制基础</w:t>
      </w:r>
      <w:bookmarkEnd w:id="756"/>
      <w:bookmarkEnd w:id="757"/>
      <w:bookmarkEnd w:id="759"/>
    </w:p>
    <w:p>
      <w:pPr>
        <w:pStyle w:val="Style34"/>
        <w:keepNext/>
        <w:keepLines/>
        <w:widowControl w:val="0"/>
        <w:shd w:val="clear" w:color="auto" w:fill="auto"/>
        <w:tabs>
          <w:tab w:pos="368"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color w:val="000000"/>
          <w:spacing w:val="0"/>
          <w:w w:val="100"/>
          <w:position w:val="0"/>
        </w:rPr>
        <w:t>、</w:t>
        <w:tab/>
        <w:t>编制基础</w:t>
      </w:r>
      <w:bookmarkEnd w:id="760"/>
      <w:bookmarkEnd w:id="761"/>
      <w:bookmarkEnd w:id="763"/>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本公司以持续经营为基础编制财务报表。</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日起执行了中华人民共和国财政部（以下简称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财政部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年度修订的《企业会计准则第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 融工具确认和计量》等新金融工具准则，并自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日起执行了财政部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年度修订的《企业会计准则第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 入》，尚未执行财政部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年度修订的《企业会计准则第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持续经营</w:t>
      </w:r>
      <w:bookmarkEnd w:id="764"/>
      <w:bookmarkEnd w:id="765"/>
      <w:bookmarkEnd w:id="767"/>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本公司已评价自报告期末起至少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个月的持续经营能力，本公司管理层相信公司能自本财务报表批准日后不短于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 可预见未来期间内持续经营。因此，本公司以持续经营为基础编制截至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日止的财务报表。</w:t>
      </w:r>
    </w:p>
    <w:p>
      <w:pPr>
        <w:pStyle w:val="Style30"/>
        <w:keepNext/>
        <w:keepLines/>
        <w:widowControl w:val="0"/>
        <w:shd w:val="clear" w:color="auto" w:fill="auto"/>
        <w:tabs>
          <w:tab w:pos="517" w:val="left"/>
        </w:tabs>
        <w:bidi w:val="0"/>
        <w:spacing w:before="0" w:after="26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五</w:t>
      </w:r>
      <w:bookmarkEnd w:id="770"/>
      <w:r>
        <w:rPr>
          <w:color w:val="000000"/>
          <w:spacing w:val="0"/>
          <w:w w:val="100"/>
          <w:position w:val="0"/>
        </w:rPr>
        <w:t>、</w:t>
        <w:tab/>
        <w:t>重要会计政策及会计估计</w:t>
      </w:r>
      <w:bookmarkEnd w:id="768"/>
      <w:bookmarkEnd w:id="769"/>
      <w:bookmarkEnd w:id="771"/>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具体会计政策和会计估计提示：</w:t>
      </w:r>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公司重要会计政策及会计估计，是依据财政部发布的企业会计准则的有关规定并结合本公司生产经营特点所制定的。</w:t>
      </w:r>
    </w:p>
    <w:p>
      <w:pPr>
        <w:pStyle w:val="Style34"/>
        <w:keepNext/>
        <w:keepLines/>
        <w:widowControl w:val="0"/>
        <w:shd w:val="clear" w:color="auto" w:fill="auto"/>
        <w:tabs>
          <w:tab w:pos="368" w:val="left"/>
        </w:tabs>
        <w:bidi w:val="0"/>
        <w:spacing w:before="0" w:after="260" w:line="240" w:lineRule="auto"/>
        <w:ind w:left="0" w:right="0" w:firstLine="0"/>
        <w:jc w:val="left"/>
      </w:pPr>
      <w:bookmarkStart w:id="772" w:name="bookmark772"/>
      <w:bookmarkStart w:id="773" w:name="bookmark773"/>
      <w:bookmarkStart w:id="774" w:name="bookmark774"/>
      <w:bookmarkStart w:id="775" w:name="bookmark775"/>
      <w:r>
        <w:rPr>
          <w:rFonts w:ascii="Times New Roman" w:eastAsia="Times New Roman" w:hAnsi="Times New Roman" w:cs="Times New Roman"/>
          <w:color w:val="000000"/>
          <w:spacing w:val="0"/>
          <w:w w:val="100"/>
          <w:position w:val="0"/>
        </w:rPr>
        <w:t>1</w:t>
      </w:r>
      <w:bookmarkEnd w:id="774"/>
      <w:r>
        <w:rPr>
          <w:color w:val="000000"/>
          <w:spacing w:val="0"/>
          <w:w w:val="100"/>
          <w:position w:val="0"/>
        </w:rPr>
        <w:t>、</w:t>
        <w:tab/>
        <w:t>遵循企业会计准则的声明</w:t>
      </w:r>
      <w:bookmarkEnd w:id="772"/>
      <w:bookmarkEnd w:id="773"/>
      <w:bookmarkEnd w:id="775"/>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日的合并财务状况和财务状 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年度的合并经营成果和经营成果及合并现金流量和现金流量。</w:t>
      </w:r>
    </w:p>
    <w:p>
      <w:pPr>
        <w:pStyle w:val="Style21"/>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此外，本公司的财务报表同时符合中国证券监督管理委员会（以下简称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年修订的《公开发行证券的公司信息 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号——财务报告的一般规定》有关财务报表及其附注的披露要求。</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2</w:t>
      </w:r>
      <w:bookmarkEnd w:id="778"/>
      <w:r>
        <w:rPr>
          <w:color w:val="000000"/>
          <w:spacing w:val="0"/>
          <w:w w:val="100"/>
          <w:position w:val="0"/>
        </w:rPr>
        <w:t>、</w:t>
        <w:tab/>
        <w:t>会计期间</w:t>
      </w:r>
      <w:bookmarkEnd w:id="776"/>
      <w:bookmarkEnd w:id="777"/>
      <w:bookmarkEnd w:id="779"/>
    </w:p>
    <w:p>
      <w:pPr>
        <w:pStyle w:val="Style21"/>
        <w:keepNext w:val="0"/>
        <w:keepLines w:val="0"/>
        <w:widowControl w:val="0"/>
        <w:shd w:val="clear" w:color="auto" w:fill="auto"/>
        <w:bidi w:val="0"/>
        <w:spacing w:before="0" w:after="380" w:line="315" w:lineRule="exact"/>
        <w:ind w:left="0" w:right="0" w:firstLine="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3</w:t>
      </w:r>
      <w:bookmarkEnd w:id="782"/>
      <w:r>
        <w:rPr>
          <w:color w:val="000000"/>
          <w:spacing w:val="0"/>
          <w:w w:val="100"/>
          <w:position w:val="0"/>
        </w:rPr>
        <w:t>、</w:t>
        <w:tab/>
        <w:t>营业周期</w:t>
      </w:r>
      <w:bookmarkEnd w:id="780"/>
      <w:bookmarkEnd w:id="781"/>
      <w:bookmarkEnd w:id="783"/>
    </w:p>
    <w:p>
      <w:pPr>
        <w:pStyle w:val="Style21"/>
        <w:keepNext w:val="0"/>
        <w:keepLines w:val="0"/>
        <w:widowControl w:val="0"/>
        <w:shd w:val="clear" w:color="auto" w:fill="auto"/>
        <w:bidi w:val="0"/>
        <w:spacing w:before="0" w:after="320" w:line="315" w:lineRule="exact"/>
        <w:ind w:left="0" w:right="0" w:firstLine="0"/>
        <w:jc w:val="left"/>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580" w:right="954" w:bottom="1618" w:left="1078" w:header="0" w:footer="3" w:gutter="0"/>
          <w:cols w:space="720"/>
          <w:noEndnote/>
          <w:rtlGutter w:val="0"/>
          <w:docGrid w:linePitch="360"/>
        </w:sectPr>
      </w:pPr>
      <w:r>
        <w:rPr>
          <w:color w:val="000000"/>
          <w:spacing w:val="0"/>
          <w:w w:val="100"/>
          <w:position w:val="0"/>
        </w:rPr>
        <w:t>本公司营业周期为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p>
      <w:pPr>
        <w:pStyle w:val="Style16"/>
        <w:keepNext/>
        <w:keepLines/>
        <w:widowControl w:val="0"/>
        <w:shd w:val="clear" w:color="auto" w:fill="auto"/>
        <w:bidi w:val="0"/>
        <w:spacing w:before="0" w:after="40" w:line="240" w:lineRule="auto"/>
        <w:ind w:left="0" w:right="0"/>
        <w:jc w:val="left"/>
      </w:pPr>
      <w:bookmarkStart w:id="784" w:name="bookmark784"/>
      <w:bookmarkStart w:id="785" w:name="bookmark785"/>
      <w:bookmarkStart w:id="786" w:name="bookmark786"/>
      <w:r>
        <w:rPr>
          <w:spacing w:val="0"/>
          <w:w w:val="100"/>
          <w:position w:val="0"/>
        </w:rPr>
        <w:t>i3R</w:t>
      </w:r>
      <w:bookmarkEnd w:id="784"/>
      <w:bookmarkEnd w:id="785"/>
      <w:bookmarkEnd w:id="786"/>
    </w:p>
    <w:p>
      <w:pPr>
        <w:pStyle w:val="Style34"/>
        <w:keepNext/>
        <w:keepLines/>
        <w:widowControl w:val="0"/>
        <w:shd w:val="clear" w:color="auto" w:fill="auto"/>
        <w:tabs>
          <w:tab w:pos="360" w:val="left"/>
        </w:tabs>
        <w:bidi w:val="0"/>
        <w:spacing w:before="0" w:after="260" w:line="240" w:lineRule="auto"/>
        <w:ind w:left="0" w:right="0" w:firstLine="0"/>
        <w:jc w:val="both"/>
      </w:pPr>
      <w:bookmarkStart w:id="787" w:name="bookmark787"/>
      <w:bookmarkStart w:id="788" w:name="bookmark788"/>
      <w:bookmarkStart w:id="789" w:name="bookmark789"/>
      <w:bookmarkStart w:id="790" w:name="bookmark790"/>
      <w:r>
        <w:rPr>
          <w:rFonts w:ascii="Times New Roman" w:eastAsia="Times New Roman" w:hAnsi="Times New Roman" w:cs="Times New Roman"/>
          <w:color w:val="000000"/>
          <w:spacing w:val="0"/>
          <w:w w:val="100"/>
          <w:position w:val="0"/>
        </w:rPr>
        <w:t>4</w:t>
      </w:r>
      <w:bookmarkEnd w:id="789"/>
      <w:r>
        <w:rPr>
          <w:color w:val="000000"/>
          <w:spacing w:val="0"/>
          <w:w w:val="100"/>
          <w:position w:val="0"/>
        </w:rPr>
        <w:t>、</w:t>
        <w:tab/>
        <w:t>记账本位币</w:t>
      </w:r>
      <w:bookmarkEnd w:id="787"/>
      <w:bookmarkEnd w:id="788"/>
      <w:bookmarkEnd w:id="790"/>
    </w:p>
    <w:p>
      <w:pPr>
        <w:pStyle w:val="Style21"/>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本公司的记账本位币为人民币，编制财务报表采用的货币为人民币。本公司及子公司选定记账本位币的依据是主要业务收支 的计价和结算币种。</w:t>
      </w:r>
    </w:p>
    <w:p>
      <w:pPr>
        <w:pStyle w:val="Style34"/>
        <w:keepNext/>
        <w:keepLines/>
        <w:widowControl w:val="0"/>
        <w:shd w:val="clear" w:color="auto" w:fill="auto"/>
        <w:tabs>
          <w:tab w:pos="360" w:val="left"/>
        </w:tabs>
        <w:bidi w:val="0"/>
        <w:spacing w:before="0" w:after="260" w:line="240" w:lineRule="auto"/>
        <w:ind w:left="0" w:right="0" w:firstLine="0"/>
        <w:jc w:val="both"/>
      </w:pPr>
      <w:bookmarkStart w:id="791" w:name="bookmark791"/>
      <w:bookmarkStart w:id="792" w:name="bookmark792"/>
      <w:bookmarkStart w:id="793" w:name="bookmark793"/>
      <w:bookmarkStart w:id="794" w:name="bookmark794"/>
      <w:r>
        <w:rPr>
          <w:rFonts w:ascii="Times New Roman" w:eastAsia="Times New Roman" w:hAnsi="Times New Roman" w:cs="Times New Roman"/>
          <w:color w:val="000000"/>
          <w:spacing w:val="0"/>
          <w:w w:val="100"/>
          <w:position w:val="0"/>
        </w:rPr>
        <w:t>5</w:t>
      </w:r>
      <w:bookmarkEnd w:id="793"/>
      <w:r>
        <w:rPr>
          <w:color w:val="000000"/>
          <w:spacing w:val="0"/>
          <w:w w:val="100"/>
          <w:position w:val="0"/>
        </w:rPr>
        <w:t>、</w:t>
        <w:tab/>
        <w:t>同一控制下和非同一控制下企业合并的会计处理方法</w:t>
      </w:r>
      <w:bookmarkEnd w:id="791"/>
      <w:bookmarkEnd w:id="792"/>
      <w:bookmarkEnd w:id="794"/>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本集团取得对另一个或多个企业（或一组资产或净资产）的控制权且其构成业务的，该交易或事项构成企业合并。企业合并 分为同一控制下的企业合并和非同一控制下的企业合并。</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对于非同一控制下的交易，购买方在判断取得的资产组合等是否构成一项业务时，将考虑是否选择采用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的简化 判断方式。如果该组合通过集中度测试，则判断为不构成业务。如果该组合未通过集中度测试，仍应按照业务条件进行判断。 当本集团取得了不构成业务的一组资产或净资产时，应将购买成本按购买日所取得各项可辨认资产、负债的相对公允价值基 础进行分配，不按照以下企业合并的会计处理方法进行处理。</w:t>
      </w:r>
    </w:p>
    <w:p>
      <w:pPr>
        <w:pStyle w:val="Style21"/>
        <w:keepNext w:val="0"/>
        <w:keepLines w:val="0"/>
        <w:widowControl w:val="0"/>
        <w:shd w:val="clear" w:color="auto" w:fill="auto"/>
        <w:tabs>
          <w:tab w:pos="396" w:val="left"/>
        </w:tabs>
        <w:bidi w:val="0"/>
        <w:spacing w:before="0" w:after="0" w:line="313" w:lineRule="exact"/>
        <w:ind w:left="0" w:right="0" w:firstLine="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同一控制下的企业合并</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参与合并的企业在合并前后均受同一方或相同的多方最终控制且该控制并非暂时性的，为同一控制下的企业合并。合并方在 企业合并中取得的资产和负债，按照合并日在最终控制方合并财务报表中的账面价值计量。取得的净资产账面价值与支付的 合并对价账面价值（或发行股份面值总额）的差额，调整资本公积中的股本溢价；资本公积中的股本溢价不足冲减的，调整 留存收益。为进行企业合并发生的直接相关费用，于发生时计入当期损益。合并日为合并方实际取得对被合并方控制权的日 期。</w:t>
      </w:r>
    </w:p>
    <w:p>
      <w:pPr>
        <w:pStyle w:val="Style21"/>
        <w:keepNext w:val="0"/>
        <w:keepLines w:val="0"/>
        <w:widowControl w:val="0"/>
        <w:shd w:val="clear" w:color="auto" w:fill="auto"/>
        <w:tabs>
          <w:tab w:pos="396" w:val="left"/>
        </w:tabs>
        <w:bidi w:val="0"/>
        <w:spacing w:before="0" w:after="0" w:line="313" w:lineRule="exact"/>
        <w:ind w:left="0" w:right="0" w:firstLine="0"/>
        <w:jc w:val="both"/>
      </w:pPr>
      <w:bookmarkStart w:id="796" w:name="bookmark796"/>
      <w:r>
        <w:rPr>
          <w:color w:val="000000"/>
          <w:spacing w:val="0"/>
          <w:w w:val="100"/>
          <w:position w:val="0"/>
        </w:rPr>
        <w:t>（</w:t>
      </w:r>
      <w:bookmarkEnd w:id="7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非同一控制下的企业合并</w:t>
      </w:r>
    </w:p>
    <w:p>
      <w:pPr>
        <w:pStyle w:val="Style2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参与合并的各方在合并前后不受同一方或相同的多方最终控制的，为非同一控制下的企业合并。本集团作为购买方，为取得 被购买方控制权而付出的资产（包括购买日之前所持有的被购买方的股权）、发生或承担的负债以及发行的权益性证券在购 买日的公允价值之和，减去合并中取得的被购买方可辨认净资产于购买日公允价值份额的差额，如为正数则确认为商誉；如 为负数则计入当期损益。本集团将作为合并对价发行的权益性证券或债务性证券的交易费用，计入权益性证券或债务性证券 的初始确认金额。本集团为进行企业合并发生的各项直接费用计入当期损益。付出资产的公允价值与其账面价值的差额，计 入当期损益。本集团在购买日按公允价值确认所取得的被购买方符合确认条件的各项可辨认资产、负债及或有负债。购买日 是指购买方实际取得对被购买方控制权的日期。</w:t>
      </w:r>
    </w:p>
    <w:p>
      <w:pPr>
        <w:pStyle w:val="Style34"/>
        <w:keepNext/>
        <w:keepLines/>
        <w:widowControl w:val="0"/>
        <w:shd w:val="clear" w:color="auto" w:fill="auto"/>
        <w:tabs>
          <w:tab w:pos="360" w:val="left"/>
        </w:tabs>
        <w:bidi w:val="0"/>
        <w:spacing w:before="0" w:after="26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6</w:t>
      </w:r>
      <w:bookmarkEnd w:id="799"/>
      <w:r>
        <w:rPr>
          <w:color w:val="000000"/>
          <w:spacing w:val="0"/>
          <w:w w:val="100"/>
          <w:position w:val="0"/>
        </w:rPr>
        <w:t>、</w:t>
        <w:tab/>
        <w:t>合并财务报表的编制方法</w:t>
      </w:r>
      <w:bookmarkEnd w:id="797"/>
      <w:bookmarkEnd w:id="798"/>
      <w:bookmarkEnd w:id="800"/>
    </w:p>
    <w:p>
      <w:pPr>
        <w:pStyle w:val="Style21"/>
        <w:keepNext w:val="0"/>
        <w:keepLines w:val="0"/>
        <w:widowControl w:val="0"/>
        <w:shd w:val="clear" w:color="auto" w:fill="auto"/>
        <w:tabs>
          <w:tab w:pos="396" w:val="left"/>
        </w:tabs>
        <w:bidi w:val="0"/>
        <w:spacing w:before="0" w:after="0" w:line="313" w:lineRule="exact"/>
        <w:ind w:left="0" w:right="0" w:firstLine="0"/>
        <w:jc w:val="both"/>
      </w:pPr>
      <w:bookmarkStart w:id="801" w:name="bookmark801"/>
      <w:r>
        <w:rPr>
          <w:color w:val="000000"/>
          <w:spacing w:val="0"/>
          <w:w w:val="100"/>
          <w:position w:val="0"/>
        </w:rPr>
        <w:t>（</w:t>
      </w:r>
      <w:bookmarkEnd w:id="8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总体原则</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合并财务报表的合并范围以控制为基础予以确定，包括本公司及本公司控制的子公司。控制，是指本集团拥有对被投资方的 权力，通过参与被投资方的相关活动而享有可变回报，并且有能力运用对被投资方的权力影响其回报金额。在判断本集团是 否拥有对被投资方的权力时，本集团仅考虑与被投资方相关的实质性权利（包括本集团自身所享有的及其他方所享有的实质 性权利）。子公司的财务状况、经营成果和现金流量由控制开始日起至控制结束日止包含于合并财务报表中。</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子公司少数股东应占的权益、损益和综合收益总额分别在合并资产负债表的股东权益中和合并利润表的净利润及综合收益 总额项目后单独列示。</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如果子公司少数股东分担的当期亏损超过了少数股东在该子公司期初所有者权益中所享有的份额的，其余额仍冲减少数股 东权益。</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当子公司所采用的会计期间或会计政策与本公司不一致时，合并时已按照本公司的会计期间或会计政策对子公司财务报表 进行必要的调整。合并时所有集团内部交易及余额，包括未实现内部交易损益均已抵销。集团内部交易发生的未实现损失, 有证据表明该损失是相关资产减值损失的，则全额确认该损失。</w:t>
      </w:r>
    </w:p>
    <w:p>
      <w:pPr>
        <w:pStyle w:val="Style21"/>
        <w:keepNext w:val="0"/>
        <w:keepLines w:val="0"/>
        <w:widowControl w:val="0"/>
        <w:shd w:val="clear" w:color="auto" w:fill="auto"/>
        <w:tabs>
          <w:tab w:pos="502" w:val="left"/>
        </w:tabs>
        <w:bidi w:val="0"/>
        <w:spacing w:before="0" w:after="260" w:line="313" w:lineRule="exact"/>
        <w:ind w:left="0" w:right="0" w:firstLine="0"/>
        <w:jc w:val="both"/>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047" w:right="1023" w:bottom="1162" w:left="1104" w:header="0" w:footer="3" w:gutter="0"/>
          <w:cols w:space="720"/>
          <w:noEndnote/>
          <w:rtlGutter w:val="0"/>
          <w:docGrid w:linePitch="360"/>
        </w:sectPr>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合并取得子公司 对于通过同一控制下企业合并取得的子公司，在编制合并当期财务报表时，以被合并子公司的各项资产、负债在最终控制方</w:t>
      </w:r>
    </w:p>
    <w:p>
      <w:pPr>
        <w:widowControl w:val="0"/>
        <w:spacing w:line="1" w:lineRule="exact"/>
      </w:pPr>
      <w:r>
        <w:drawing>
          <wp:anchor distT="0" distB="0" distL="114300" distR="114300" simplePos="0" relativeHeight="125829410" behindDoc="0" locked="0" layoutInCell="1" allowOverlap="1">
            <wp:simplePos x="0" y="0"/>
            <wp:positionH relativeFrom="page">
              <wp:posOffset>685800</wp:posOffset>
            </wp:positionH>
            <wp:positionV relativeFrom="paragraph">
              <wp:posOffset>12700</wp:posOffset>
            </wp:positionV>
            <wp:extent cx="774065" cy="396240"/>
            <wp:wrapSquare wrapText="bothSides"/>
            <wp:docPr id="542" name="Shape 542"/>
            <a:graphic xmlns:a="http://schemas.openxmlformats.org/drawingml/2006/main">
              <a:graphicData uri="http://schemas.openxmlformats.org/drawingml/2006/picture">
                <pic:pic xmlns:pic="http://schemas.openxmlformats.org/drawingml/2006/picture">
                  <pic:nvPicPr>
                    <pic:cNvPr id="543" name="Picture box 543"/>
                    <pic:cNvPicPr/>
                  </pic:nvPicPr>
                  <pic:blipFill>
                    <a:blip r:embed="rId201"/>
                    <a:stretch/>
                  </pic:blipFill>
                  <pic:spPr>
                    <a:xfrm>
                      <a:ext cx="774065" cy="396240"/>
                    </a:xfrm>
                    <a:prstGeom prst="rect"/>
                  </pic:spPr>
                </pic:pic>
              </a:graphicData>
            </a:graphic>
          </wp:anchor>
        </w:drawing>
      </w:r>
    </w:p>
    <w:p>
      <w:pPr>
        <w:pStyle w:val="Style21"/>
        <w:keepNext w:val="0"/>
        <w:keepLines w:val="0"/>
        <w:widowControl w:val="0"/>
        <w:shd w:val="clear" w:color="auto" w:fill="auto"/>
        <w:bidi w:val="0"/>
        <w:spacing w:before="0" w:after="0" w:line="313" w:lineRule="exact"/>
        <w:ind w:left="0" w:right="0" w:firstLine="362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财务报表中的账面价值为基础，视同被合并子公司在本公司最终控制方对其开始实施控制时纳入本公司合并范围，并对合并 财务报表的期初数以及前期比较报表进行相应调整。</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对于通过非同一控制下企业合并取得的子公司，在编制合并当期财务报表时，以购买日确定的被购买子公司各项可辨认资 产、负债的公允价值为基础自购买日起将被购买子公司纳入本公司合并范围。</w:t>
      </w:r>
    </w:p>
    <w:p>
      <w:pPr>
        <w:pStyle w:val="Style21"/>
        <w:keepNext w:val="0"/>
        <w:keepLines w:val="0"/>
        <w:widowControl w:val="0"/>
        <w:numPr>
          <w:ilvl w:val="0"/>
          <w:numId w:val="15"/>
        </w:numPr>
        <w:shd w:val="clear" w:color="auto" w:fill="auto"/>
        <w:tabs>
          <w:tab w:pos="426" w:val="left"/>
        </w:tabs>
        <w:bidi w:val="0"/>
        <w:spacing w:before="0" w:after="0" w:line="313" w:lineRule="exact"/>
        <w:ind w:left="0" w:right="0" w:firstLine="0"/>
        <w:jc w:val="both"/>
      </w:pPr>
      <w:bookmarkStart w:id="803" w:name="bookmark803"/>
      <w:bookmarkEnd w:id="803"/>
      <w:r>
        <w:rPr>
          <w:color w:val="000000"/>
          <w:spacing w:val="0"/>
          <w:w w:val="100"/>
          <w:position w:val="0"/>
        </w:rPr>
        <w:t>处置子公司</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本集团丧失对原有子公司控制权时，由此产生的任何处置收益或损失，计入丧失控制权当期的投资收益。对于剩余股权投资， 本集团按照其在丧失控制权日的公允价值进行重新计量，由此产生的任何收益或损失，也计入丧失控制权当期的投资收益。</w:t>
      </w:r>
    </w:p>
    <w:p>
      <w:pPr>
        <w:pStyle w:val="Style21"/>
        <w:keepNext w:val="0"/>
        <w:keepLines w:val="0"/>
        <w:widowControl w:val="0"/>
        <w:numPr>
          <w:ilvl w:val="0"/>
          <w:numId w:val="15"/>
        </w:numPr>
        <w:shd w:val="clear" w:color="auto" w:fill="auto"/>
        <w:tabs>
          <w:tab w:pos="426" w:val="left"/>
        </w:tabs>
        <w:bidi w:val="0"/>
        <w:spacing w:before="0" w:after="0" w:line="313" w:lineRule="exact"/>
        <w:ind w:left="0" w:right="0" w:firstLine="0"/>
        <w:jc w:val="both"/>
      </w:pPr>
      <w:bookmarkStart w:id="804" w:name="bookmark804"/>
      <w:bookmarkEnd w:id="804"/>
      <w:r>
        <w:rPr>
          <w:color w:val="000000"/>
          <w:spacing w:val="0"/>
          <w:w w:val="100"/>
          <w:position w:val="0"/>
        </w:rPr>
        <w:t>少数股东权益变动</w:t>
      </w:r>
    </w:p>
    <w:p>
      <w:pPr>
        <w:pStyle w:val="Style2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本公司因购买少数股权新取得的长期股权投资成本与按照新增持股比例计算应享有子公司的净资产份额之间的差额，以及 在不丧失控制权的情况下因部分处置对子公司的股权投资而取得的处置价款与处置长期股权投资相对应享有子公司净资产 的差额，均调整合并资产负债表中的资本公积(股本溢价)，资本公积(股本溢价)不足冲减的，调整留存收益。</w:t>
      </w:r>
    </w:p>
    <w:p>
      <w:pPr>
        <w:pStyle w:val="Style34"/>
        <w:keepNext/>
        <w:keepLines/>
        <w:widowControl w:val="0"/>
        <w:shd w:val="clear" w:color="auto" w:fill="auto"/>
        <w:bidi w:val="0"/>
        <w:spacing w:before="0" w:after="260" w:line="240" w:lineRule="auto"/>
        <w:ind w:left="0" w:right="0" w:firstLine="0"/>
        <w:jc w:val="both"/>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7</w:t>
      </w:r>
      <w:bookmarkEnd w:id="807"/>
      <w:r>
        <w:rPr>
          <w:color w:val="000000"/>
          <w:spacing w:val="0"/>
          <w:w w:val="100"/>
          <w:position w:val="0"/>
        </w:rPr>
        <w:t>、现金及现金等价物的确定标准</w:t>
      </w:r>
      <w:bookmarkEnd w:id="805"/>
      <w:bookmarkEnd w:id="806"/>
      <w:bookmarkEnd w:id="808"/>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现金和现金等价物包括库存现金、可以随时用于支付的存款以及持有期限短、流动性强、易于转换为已知金额现金、价值变 动风险很小的投资。</w:t>
      </w:r>
    </w:p>
    <w:p>
      <w:pPr>
        <w:pStyle w:val="Style34"/>
        <w:keepNext/>
        <w:keepLines/>
        <w:widowControl w:val="0"/>
        <w:shd w:val="clear" w:color="auto" w:fill="auto"/>
        <w:bidi w:val="0"/>
        <w:spacing w:before="0" w:after="260" w:line="240" w:lineRule="auto"/>
        <w:ind w:left="0" w:right="0" w:firstLine="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8</w:t>
      </w:r>
      <w:bookmarkEnd w:id="811"/>
      <w:r>
        <w:rPr>
          <w:color w:val="000000"/>
          <w:spacing w:val="0"/>
          <w:w w:val="100"/>
          <w:position w:val="0"/>
        </w:rPr>
        <w:t>、外币业务和外币报表折算</w:t>
      </w:r>
      <w:bookmarkEnd w:id="809"/>
      <w:bookmarkEnd w:id="810"/>
      <w:bookmarkEnd w:id="812"/>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本集团收到投资者以外币投入资本时按当日即期汇率折合为人民币，其他外币交易在初始确认时按交易发生日的即期汇率 折合为人民币。</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于资产负债表日，外币货币性项目采用该日的即期汇率折算。除与购建符合资本化条件资产有关的专门借款本金和利息的汇 兑差额外，其他汇兑差额计入当期损益。以历史成本计量的外币非货币性项目，仍采用交易发生日的即期汇率折算。以公允 价值计量的外币非货币性项目，采用公允价值确定日的即期汇率折算，由此产生的汇兑差额，属于以公允价值计量且其变动 计入其他综合收益的权益工具投资的差额，计入其他综合收益；其他差额计入当期损益。</w:t>
      </w:r>
    </w:p>
    <w:p>
      <w:pPr>
        <w:pStyle w:val="Style34"/>
        <w:keepNext/>
        <w:keepLines/>
        <w:widowControl w:val="0"/>
        <w:shd w:val="clear" w:color="auto" w:fill="auto"/>
        <w:bidi w:val="0"/>
        <w:spacing w:before="0" w:after="260" w:line="240" w:lineRule="auto"/>
        <w:ind w:left="0" w:right="0" w:firstLine="0"/>
        <w:jc w:val="both"/>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9</w:t>
      </w:r>
      <w:bookmarkEnd w:id="815"/>
      <w:r>
        <w:rPr>
          <w:color w:val="000000"/>
          <w:spacing w:val="0"/>
          <w:w w:val="100"/>
          <w:position w:val="0"/>
        </w:rPr>
        <w:t>、金融工具</w:t>
      </w:r>
      <w:bookmarkEnd w:id="813"/>
      <w:bookmarkEnd w:id="814"/>
      <w:bookmarkEnd w:id="816"/>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本集团的金融工具包括货币资金、除长期股权投资以外的股权投资、应收款项、其他应收款、应付款项、借款及股本等。</w:t>
      </w:r>
    </w:p>
    <w:p>
      <w:pPr>
        <w:pStyle w:val="Style21"/>
        <w:keepNext w:val="0"/>
        <w:keepLines w:val="0"/>
        <w:widowControl w:val="0"/>
        <w:numPr>
          <w:ilvl w:val="0"/>
          <w:numId w:val="17"/>
        </w:numPr>
        <w:shd w:val="clear" w:color="auto" w:fill="auto"/>
        <w:tabs>
          <w:tab w:pos="426" w:val="left"/>
        </w:tabs>
        <w:bidi w:val="0"/>
        <w:spacing w:before="0" w:after="0" w:line="312" w:lineRule="exact"/>
        <w:ind w:left="0" w:right="0" w:firstLine="0"/>
        <w:jc w:val="both"/>
      </w:pPr>
      <w:bookmarkStart w:id="817" w:name="bookmark817"/>
      <w:bookmarkEnd w:id="817"/>
      <w:r>
        <w:rPr>
          <w:color w:val="000000"/>
          <w:spacing w:val="0"/>
          <w:w w:val="100"/>
          <w:position w:val="0"/>
        </w:rPr>
        <w:t>金融资产及金融负债的确认和初始计量</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金融资产和金融负债在本集团成为相关金融工具合同条款的一方时，于资产负债表内确认。</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除不具有重大融资成分的应收账款外，在初始确认时，金融资产及金融负债均以公允价值计量。对于以公允价值计量且其变 动计入当期损益的金融资产或金融负债，相关交易费用直接计入当期损益；对于其他类别的金融资产或金融负债，相关交易 费用计入初始确认金额。对于未包含重大融资成分或不考虑不超过一年的合同中的融资成分的应收账款，本集团按照根据收 入的会计政策确定的交易价格进行初始计量。</w:t>
      </w:r>
    </w:p>
    <w:p>
      <w:pPr>
        <w:pStyle w:val="Style21"/>
        <w:keepNext w:val="0"/>
        <w:keepLines w:val="0"/>
        <w:widowControl w:val="0"/>
        <w:numPr>
          <w:ilvl w:val="0"/>
          <w:numId w:val="17"/>
        </w:numPr>
        <w:shd w:val="clear" w:color="auto" w:fill="auto"/>
        <w:tabs>
          <w:tab w:pos="426" w:val="left"/>
        </w:tabs>
        <w:bidi w:val="0"/>
        <w:spacing w:before="0" w:after="0" w:line="312" w:lineRule="exact"/>
        <w:ind w:left="0" w:right="0" w:firstLine="0"/>
        <w:jc w:val="both"/>
      </w:pPr>
      <w:bookmarkStart w:id="818" w:name="bookmark818"/>
      <w:bookmarkEnd w:id="818"/>
      <w:r>
        <w:rPr>
          <w:color w:val="000000"/>
          <w:spacing w:val="0"/>
          <w:w w:val="100"/>
          <w:position w:val="0"/>
        </w:rPr>
        <w:t>金融资产的分类和后续计量</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本集团金融资产的分类</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本集团通常根据管理金融资产的业务模式和金融资产的合同现金流量特征，在初始确认时将金融资产分为不同类别：以摊余 成本计量的金融资产、以公允价值计量且其变动计入其他综合收益的金融资产及以公允价值计量且其变动计入当期损益的 金融资产。</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除非本集团改变管理金融资产的业务模式，在此情形下，所有受影响的相关金融资产在业务模式发生变更后的首个报告期间 的第一天进行重分类，否则金融资产在初始确认后不得进行重分类。</w:t>
      </w:r>
    </w:p>
    <w:p>
      <w:pPr>
        <w:pStyle w:val="Style21"/>
        <w:keepNext w:val="0"/>
        <w:keepLines w:val="0"/>
        <w:widowControl w:val="0"/>
        <w:shd w:val="clear" w:color="auto" w:fill="auto"/>
        <w:bidi w:val="0"/>
        <w:spacing w:before="0" w:after="260" w:line="312" w:lineRule="exact"/>
        <w:ind w:left="0" w:right="0" w:firstLine="0"/>
        <w:jc w:val="both"/>
      </w:pPr>
      <w:r>
        <w:rPr>
          <w:color w:val="000000"/>
          <w:spacing w:val="0"/>
          <w:w w:val="100"/>
          <w:position w:val="0"/>
        </w:rPr>
        <w:t>本集团将同时符合下列条件且未被指定为以公允价值计量且其变动计入当期损益的金融资产，分类为以摊余成本计量的金 融资产：</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819" w:name="bookmark819"/>
      <w:bookmarkEnd w:id="819"/>
      <w:r>
        <w:rPr>
          <w:color w:val="000000"/>
          <w:spacing w:val="0"/>
          <w:w w:val="100"/>
          <w:position w:val="0"/>
        </w:rPr>
        <w:t>本集团管理该金融资产的业务模式是以收取合同现金流量</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820" w:name="bookmark820"/>
      <w:bookmarkEnd w:id="820"/>
      <w:r>
        <w:rPr>
          <w:color w:val="000000"/>
          <w:spacing w:val="0"/>
          <w:w w:val="100"/>
          <w:position w:val="0"/>
        </w:rPr>
        <w:t>该金融资产的合同条款规定，在特定日期产生的现金流量，仅为对本金和以未偿付本金金额为基础的利息的支付。 本集团将同时符合下列条件且未被指定为以公允价值计量且其变动计入当期损益的金融资产，分类为以公允价值计量且其 变动计入其他综合收益的金融资产：</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821" w:name="bookmark821"/>
      <w:bookmarkEnd w:id="821"/>
      <w:r>
        <w:rPr>
          <w:color w:val="000000"/>
          <w:spacing w:val="0"/>
          <w:w w:val="100"/>
          <w:position w:val="0"/>
        </w:rPr>
        <w:t>本集团管理该金融资产的业务模式既以收取合同现金流量为目标又以出售该金融资产为目标；</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822" w:name="bookmark822"/>
      <w:bookmarkEnd w:id="822"/>
      <w:r>
        <w:rPr>
          <w:color w:val="000000"/>
          <w:spacing w:val="0"/>
          <w:w w:val="100"/>
          <w:position w:val="0"/>
        </w:rPr>
        <w:t>该金融资产的合同条款规定，在特定日期产生的现金流量，仅为对本金和以未偿付本金金额为基础的利息的支付。 对于非交易性权益工具投资，本集团可在初始确认时将其不可撤销地指定为以公允价值计量且其变动计入其他综合收益的 金融资产。该指定在单项投资的基础上作出，且相关投资从发行者的角度符合权益工具的定义。</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除上述以摊余成本计量和以公允价值计量且其变动计入其他综合收益的金融资产外，本集团将其余所有的金融资产分类为 以公允价值计量且其变动计入当期损益的金融资产。在初始确认时，如果能够消除或显著减少会计错配，本集团可以将本应 以摊余成本计量或以公允价值计量且其变动计入其他综合收益的金融资产不可撤销地指定为以公允价值计量且其变动计入 当期损益的金融资产。</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管理金融资产的业务模式，是指本集团如何管理金融资产以产生现金流量。业务模式决定本集团所管理金融资产现金流量的 来源是收取合同现金流量、出售金融资产还是两者兼有。本集团以客观事实为依据、以关键管理人员决定的对金融资产进行 管理的特定业务目标为基础，确定管理金融资产的业务模式。</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本集团对金融资产的合同现金流量特征进行评估，以确定相关金融资产在特定日期产生的合同现金流量是否仅为对本金和 以未偿付本金金额为基础的利息的支付。其中，本金是指金融资产在初始确认时的公允价值；利息包括对货币时间价值、与 特定时期未偿付本金金额相关的信用风险、以及其他基本借贷风险、成本和利润的对价。此外，本集团对可能导致金融资产 合同现金流量的时间分布或金额发生变更的合同条款进行评估，以确定其是否满足上述合同现金流量特征的要求。</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本集团金融资产的后续计量</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823" w:name="bookmark823"/>
      <w:bookmarkEnd w:id="823"/>
      <w:r>
        <w:rPr>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初始确认后，对于该类金融资产以公允价值进行后续计量，产生的利得或损失（包括利息和股利收入）计入当期损益，除非 该金融资产属于套期关系的一部分。</w:t>
      </w:r>
    </w:p>
    <w:p>
      <w:pPr>
        <w:pStyle w:val="Style21"/>
        <w:keepNext w:val="0"/>
        <w:keepLines w:val="0"/>
        <w:widowControl w:val="0"/>
        <w:numPr>
          <w:ilvl w:val="0"/>
          <w:numId w:val="19"/>
        </w:numPr>
        <w:shd w:val="clear" w:color="auto" w:fill="auto"/>
        <w:tabs>
          <w:tab w:pos="421" w:val="left"/>
        </w:tabs>
        <w:bidi w:val="0"/>
        <w:spacing w:before="0" w:after="0" w:line="360" w:lineRule="auto"/>
        <w:ind w:left="0" w:right="0" w:firstLine="0"/>
        <w:jc w:val="both"/>
      </w:pPr>
      <w:bookmarkStart w:id="824" w:name="bookmark824"/>
      <w:bookmarkEnd w:id="824"/>
      <w:r>
        <w:rPr>
          <w:color w:val="000000"/>
          <w:spacing w:val="0"/>
          <w:w w:val="100"/>
          <w:position w:val="0"/>
        </w:rPr>
        <w:t>以摊余成本计量的金融资产</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初始确认后，对于该类金融资产采用实际利率法以摊余成本计量。以摊余成本计量且不属于任何套期关系的一部分的金融资 产所产生的利得或损失，在终止确认、重分类、按照实际利率法摊销或确认减值时，计入当期损益。</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825" w:name="bookmark825"/>
      <w:bookmarkEnd w:id="825"/>
      <w:r>
        <w:rPr>
          <w:color w:val="000000"/>
          <w:spacing w:val="0"/>
          <w:w w:val="100"/>
          <w:position w:val="0"/>
        </w:rPr>
        <w:t>以公允价值计量且其变动计入其他综合收益的债权投资</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初始确认后，对于该类金融资产以公允价值进行后续计量。采用实际利率法计算的利息、减值损失或利得及汇兑损益计入当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826" w:name="bookmark826"/>
      <w:bookmarkEnd w:id="826"/>
      <w:r>
        <w:rPr>
          <w:color w:val="000000"/>
          <w:spacing w:val="0"/>
          <w:w w:val="100"/>
          <w:position w:val="0"/>
        </w:rPr>
        <w:t>以公允价值计量且其变动计入其他综合收益的权益工具投资</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初始确认后，对于该类金融资产以公允价值进行后续计量。股利收入计入损益，其他利得或损失计入其他综合收益。终止确 认时，将之前计入其他综合收益的累计利得或损失从其他综合收益中转出，计入留存收益。</w:t>
      </w:r>
    </w:p>
    <w:p>
      <w:pPr>
        <w:pStyle w:val="Style21"/>
        <w:keepNext w:val="0"/>
        <w:keepLines w:val="0"/>
        <w:widowControl w:val="0"/>
        <w:shd w:val="clear" w:color="auto" w:fill="auto"/>
        <w:tabs>
          <w:tab w:pos="435" w:val="left"/>
        </w:tabs>
        <w:bidi w:val="0"/>
        <w:spacing w:before="0" w:after="0" w:line="312" w:lineRule="exact"/>
        <w:ind w:left="0" w:right="0" w:firstLine="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金融负债的分类和后续计量</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本集团将金融负债分类为以公允价值计量且其变动计入当期损益的金融负债及以摊余成本计量的金融负债。</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828" w:name="bookmark828"/>
      <w:bookmarkEnd w:id="828"/>
      <w:r>
        <w:rPr>
          <w:color w:val="000000"/>
          <w:spacing w:val="0"/>
          <w:w w:val="100"/>
          <w:position w:val="0"/>
        </w:rPr>
        <w:t>以公允价值计量且其变动计入当期损益的金融负债</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该类金融负债包括交易性金融负债（含属于金融负债的衍生工具）和指定为以公允价值计量且其变动计入当期损益的金融负 债。</w:t>
      </w:r>
    </w:p>
    <w:p>
      <w:pPr>
        <w:pStyle w:val="Style21"/>
        <w:keepNext w:val="0"/>
        <w:keepLines w:val="0"/>
        <w:widowControl w:val="0"/>
        <w:shd w:val="clear" w:color="auto" w:fill="auto"/>
        <w:bidi w:val="0"/>
        <w:spacing w:before="0" w:after="100" w:line="312" w:lineRule="exact"/>
        <w:ind w:left="0" w:right="0" w:firstLine="0"/>
        <w:jc w:val="both"/>
      </w:pPr>
      <w:r>
        <w:rPr>
          <w:color w:val="000000"/>
          <w:spacing w:val="0"/>
          <w:w w:val="100"/>
          <w:position w:val="0"/>
        </w:rPr>
        <w:t>初始确认后，对于该类金融负债以公允价值进行后续计量，除与套期会计有关外，产生的利得或损失（包括利息费用）计入 当期损益。</w:t>
      </w:r>
    </w:p>
    <w:p>
      <w:pPr>
        <w:pStyle w:val="Style21"/>
        <w:keepNext w:val="0"/>
        <w:keepLines w:val="0"/>
        <w:widowControl w:val="0"/>
        <w:numPr>
          <w:ilvl w:val="0"/>
          <w:numId w:val="19"/>
        </w:numPr>
        <w:shd w:val="clear" w:color="auto" w:fill="auto"/>
        <w:tabs>
          <w:tab w:pos="421" w:val="left"/>
        </w:tabs>
        <w:bidi w:val="0"/>
        <w:spacing w:before="0" w:after="0" w:line="360" w:lineRule="auto"/>
        <w:ind w:left="0" w:right="0" w:firstLine="0"/>
        <w:jc w:val="both"/>
      </w:pPr>
      <w:bookmarkStart w:id="829" w:name="bookmark829"/>
      <w:bookmarkEnd w:id="829"/>
      <w:r>
        <w:rPr>
          <w:color w:val="000000"/>
          <w:spacing w:val="0"/>
          <w:w w:val="100"/>
          <w:position w:val="0"/>
        </w:rPr>
        <w:t>以摊余成本计量的金融负债</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初始确认后，对于该类金融负债采用实际利率法以摊余成本计量。</w:t>
      </w:r>
    </w:p>
    <w:p>
      <w:pPr>
        <w:pStyle w:val="Style21"/>
        <w:keepNext w:val="0"/>
        <w:keepLines w:val="0"/>
        <w:widowControl w:val="0"/>
        <w:shd w:val="clear" w:color="auto" w:fill="auto"/>
        <w:tabs>
          <w:tab w:pos="435" w:val="left"/>
        </w:tabs>
        <w:bidi w:val="0"/>
        <w:spacing w:before="0" w:after="0" w:line="312" w:lineRule="exact"/>
        <w:ind w:left="0" w:right="0" w:firstLine="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抵消</w:t>
      </w:r>
    </w:p>
    <w:p>
      <w:pPr>
        <w:pStyle w:val="Style21"/>
        <w:keepNext w:val="0"/>
        <w:keepLines w:val="0"/>
        <w:widowControl w:val="0"/>
        <w:shd w:val="clear" w:color="auto" w:fill="auto"/>
        <w:bidi w:val="0"/>
        <w:spacing w:before="0" w:after="0" w:line="312" w:lineRule="exact"/>
        <w:ind w:left="0" w:right="0" w:firstLine="0"/>
        <w:jc w:val="both"/>
        <w:sectPr>
          <w:headerReference w:type="default" r:id="rId203"/>
          <w:footerReference w:type="default" r:id="rId204"/>
          <w:headerReference w:type="even" r:id="rId205"/>
          <w:footerReference w:type="even" r:id="rId206"/>
          <w:headerReference w:type="first" r:id="rId207"/>
          <w:footerReference w:type="first" r:id="rId208"/>
          <w:footnotePr>
            <w:pos w:val="pageBottom"/>
            <w:numFmt w:val="decimal"/>
            <w:numRestart w:val="continuous"/>
          </w:footnotePr>
          <w:pgSz w:w="11900" w:h="16840"/>
          <w:pgMar w:top="1404" w:right="1042" w:bottom="1266" w:left="1084" w:header="0" w:footer="3" w:gutter="0"/>
          <w:cols w:space="720"/>
          <w:noEndnote/>
          <w:titlePg/>
          <w:rtlGutter w:val="0"/>
          <w:docGrid w:linePitch="360"/>
        </w:sectPr>
      </w:pPr>
      <w:r>
        <w:rPr>
          <w:color w:val="000000"/>
          <w:spacing w:val="0"/>
          <w:w w:val="100"/>
          <w:position w:val="0"/>
        </w:rPr>
        <w:t xml:space="preserve">金融资产和金融负债在资产负债表内分别列示，没有相互抵销。但是，同时满足下列条件的，以相互抵销后的净额在资产负 </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债表内列示：</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31" w:name="bookmark831"/>
      <w:bookmarkEnd w:id="831"/>
      <w:r>
        <w:rPr>
          <w:color w:val="000000"/>
          <w:spacing w:val="0"/>
          <w:w w:val="100"/>
          <w:position w:val="0"/>
        </w:rPr>
        <w:t>本集团具有抵销已确认金额的法定权利，且该种法定权利是当前可执行的；</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32" w:name="bookmark832"/>
      <w:bookmarkEnd w:id="832"/>
      <w:r>
        <w:rPr>
          <w:color w:val="000000"/>
          <w:spacing w:val="0"/>
          <w:w w:val="100"/>
          <w:position w:val="0"/>
        </w:rPr>
        <w:t>本集团计划以净额结算，或同时变现该金融资产和清偿该金融负债。</w:t>
      </w:r>
    </w:p>
    <w:p>
      <w:pPr>
        <w:pStyle w:val="Style21"/>
        <w:keepNext w:val="0"/>
        <w:keepLines w:val="0"/>
        <w:widowControl w:val="0"/>
        <w:shd w:val="clear" w:color="auto" w:fill="auto"/>
        <w:tabs>
          <w:tab w:pos="445" w:val="left"/>
        </w:tabs>
        <w:bidi w:val="0"/>
        <w:spacing w:before="0" w:after="0" w:line="311" w:lineRule="exact"/>
        <w:ind w:left="0" w:right="0" w:firstLine="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金融资产和金融负债的终止确认</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满足下列条件之一时，本集团终止确认该金融资产：</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34" w:name="bookmark834"/>
      <w:bookmarkEnd w:id="834"/>
      <w:r>
        <w:rPr>
          <w:color w:val="000000"/>
          <w:spacing w:val="0"/>
          <w:w w:val="100"/>
          <w:position w:val="0"/>
        </w:rPr>
        <w:t>收取该金融资产现金流量的合同权利终止；</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35" w:name="bookmark835"/>
      <w:bookmarkEnd w:id="835"/>
      <w:r>
        <w:rPr>
          <w:color w:val="000000"/>
          <w:spacing w:val="0"/>
          <w:w w:val="100"/>
          <w:position w:val="0"/>
        </w:rPr>
        <w:t>该金融资产已转移，且本集团将金融资产所有权上几乎所有的风险和报酬转移给转入方；</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36" w:name="bookmark836"/>
      <w:bookmarkEnd w:id="836"/>
      <w:r>
        <w:rPr>
          <w:color w:val="000000"/>
          <w:spacing w:val="0"/>
          <w:w w:val="100"/>
          <w:position w:val="0"/>
        </w:rPr>
        <w:t>该金融资产已转移，虽然本集团既没有转移也没有保留金融资产所有权上几乎所有的风险和报酬，但是未保留对该金 融资产的控制。</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金融资产转移整体满足终止确认条件的，本集团将下列两项金额的差额计入当期损益：</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37" w:name="bookmark837"/>
      <w:bookmarkEnd w:id="837"/>
      <w:r>
        <w:rPr>
          <w:color w:val="000000"/>
          <w:spacing w:val="0"/>
          <w:w w:val="100"/>
          <w:position w:val="0"/>
        </w:rPr>
        <w:t>被转移金融资产在终止确认日的账面价值；</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38" w:name="bookmark838"/>
      <w:bookmarkEnd w:id="838"/>
      <w:r>
        <w:rPr>
          <w:color w:val="000000"/>
          <w:spacing w:val="0"/>
          <w:w w:val="100"/>
          <w:position w:val="0"/>
        </w:rPr>
        <w:t>因转移金融资产而收到的对价，与原直接计入其他综合收益的公允价值变动累计额中对应终止确认部分的金额（涉及 转移的金融资产为以公允价值计量且其变动计入其他综合收益的债权投资）之和。</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金融负债（或其一部分）的现时义务已经解除的，本集团终止确认该金融负债（或该部分金融负债）。</w:t>
      </w:r>
    </w:p>
    <w:p>
      <w:pPr>
        <w:pStyle w:val="Style21"/>
        <w:keepNext w:val="0"/>
        <w:keepLines w:val="0"/>
        <w:widowControl w:val="0"/>
        <w:shd w:val="clear" w:color="auto" w:fill="auto"/>
        <w:tabs>
          <w:tab w:pos="445" w:val="left"/>
        </w:tabs>
        <w:bidi w:val="0"/>
        <w:spacing w:before="0" w:after="0" w:line="311" w:lineRule="exact"/>
        <w:ind w:left="0" w:right="0" w:firstLine="0"/>
        <w:jc w:val="left"/>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减值</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本集团以预期信用损失为基础，对下列项目进行减值会计处理并确认损失准备：</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40" w:name="bookmark840"/>
      <w:bookmarkEnd w:id="840"/>
      <w:r>
        <w:rPr>
          <w:color w:val="000000"/>
          <w:spacing w:val="0"/>
          <w:w w:val="100"/>
          <w:position w:val="0"/>
        </w:rPr>
        <w:t>以摊余成本计量的金融资产；</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41" w:name="bookmark841"/>
      <w:bookmarkEnd w:id="841"/>
      <w:r>
        <w:rPr>
          <w:color w:val="000000"/>
          <w:spacing w:val="0"/>
          <w:w w:val="100"/>
          <w:position w:val="0"/>
        </w:rPr>
        <w:t>合同资产。</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本集团持有的其他以公允价值计量的金融资产不适用预期信用损失模型，包括以公允价值计量且其变动计入当期损益的债 权投资。</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预期信用损失的计量</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预期信用损失，是指以发生违约的风险为权重的金融工具信用损失的加权平均值。信用损失，是指本集团按照原实际利率折 现的、根据合同应收的所有合同现金流量与预期收取的所有现金流量之间的差额，即全部现金短缺的现值。</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在计量预期信用损失时，本集团需考虑的最长期限为企业面临信用风险的最长合同期限（包括考虑续约选择权）。 整个存续期预期信用损失，是指因金融工具整个预计存续期内所有可能发生的违约事件而导致的预期信用损失。</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个月内预期信用损失，是指因资产负债表日后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个月内（若金融工具的预计存续期少于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个月，则为预计存续期）可 能发生的金融工具违约事件而导致的预期信用损失，是整个存续期预期信用损失的一部分。</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对于应收账款和合同资产，本集团始终按照相当于整个存续期内预期信用损失的金额计量其损失准备。本集团基于历史信用 损失经验、使用准备矩阵计算上述金融资产的预期信用损失，相关历史经验根据资产负债表日借款人的特定因素、以及对当 前状况和未来经济状况预测的评估进行调整。</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除应收账款和合同资产外，本集团对满足下列情形的金融工具按照相当于未来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个月内预期信用损失的金额计量其损失准 备，对其他金融工具按照相当于整个存续期内预期信用损失的金额计量其损失准备：</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42" w:name="bookmark842"/>
      <w:bookmarkEnd w:id="842"/>
      <w:r>
        <w:rPr>
          <w:color w:val="000000"/>
          <w:spacing w:val="0"/>
          <w:w w:val="100"/>
          <w:position w:val="0"/>
        </w:rPr>
        <w:t>该金融工具在资产负债表日只具有较低的信用风险；或</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43" w:name="bookmark843"/>
      <w:bookmarkEnd w:id="843"/>
      <w:r>
        <w:rPr>
          <w:color w:val="000000"/>
          <w:spacing w:val="0"/>
          <w:w w:val="100"/>
          <w:position w:val="0"/>
        </w:rPr>
        <w:t>该金融工具的信用风险自初始确认后并未显著增加。 具有较低的信用风险</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如果金融工具的违约风险较低，借款人在短期内履行其合同现金流量义务的能力很强，并且即便较长时期内经济形势和经营 环境存在不利变化但未必一定降低借款人履行其合同现金流量义务的能力，该金融工具被视为具有较低的信用风险。 信用风险显著增加</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本集团通过比较金融工具在资产负债表日发生违约的风险与在初始确认日发生违约的风险，以确定金融工具预计存续期内 发生违约风险的相对变化，以评估金融工具的信用风险自初始确认后是否已显著增加。</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在确定信用风险自初始确认后是否显著增加时，本集团考虑无须付出不必要的额外成本或努力即可获得的合理且有依据的 信息，包括前瞻性信息。本集团考虑的信息包括：</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44" w:name="bookmark844"/>
      <w:bookmarkEnd w:id="844"/>
      <w:r>
        <w:rPr>
          <w:color w:val="000000"/>
          <w:spacing w:val="0"/>
          <w:w w:val="100"/>
          <w:position w:val="0"/>
        </w:rPr>
        <w:t>债务人未能按合同到期日支付本金和利息的情况；</w:t>
      </w:r>
    </w:p>
    <w:p>
      <w:pPr>
        <w:pStyle w:val="Style21"/>
        <w:keepNext w:val="0"/>
        <w:keepLines w:val="0"/>
        <w:widowControl w:val="0"/>
        <w:numPr>
          <w:ilvl w:val="0"/>
          <w:numId w:val="19"/>
        </w:numPr>
        <w:shd w:val="clear" w:color="auto" w:fill="auto"/>
        <w:tabs>
          <w:tab w:pos="417" w:val="left"/>
        </w:tabs>
        <w:bidi w:val="0"/>
        <w:spacing w:before="0" w:after="0" w:line="311" w:lineRule="exact"/>
        <w:ind w:left="0" w:right="0" w:firstLine="0"/>
        <w:jc w:val="left"/>
      </w:pPr>
      <w:bookmarkStart w:id="845" w:name="bookmark845"/>
      <w:bookmarkEnd w:id="845"/>
      <w:r>
        <w:rPr>
          <w:color w:val="000000"/>
          <w:spacing w:val="0"/>
          <w:w w:val="100"/>
          <w:position w:val="0"/>
        </w:rPr>
        <w:t>已发生的或预期的金融工具的外部或内部信用评级（如有）的严重恶化；</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-已发生的或预期的债务人经营成果的严重恶化;</w:t>
      </w:r>
    </w:p>
    <w:p>
      <w:pPr>
        <w:pStyle w:val="Style21"/>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现存的或预期的技术、市场、经济或法律环境变化，并将对债务人对本集团的还款能力产生重大不利影响。</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根据金融工具的性质，本集团以单项金融工具或金融工具组合为基础评估信用风险是否显著增加。以金融工具组合为基础进 行评估时，本集团可基于共同信用风险特征对金融工具进行分类，例如逾期信息和信用风险评级。</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如果逾期超过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日，本集团确定金融工具的信用风险已经显著增加。</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本集团认为金融资产在下列情况发生违约：</w:t>
      </w:r>
    </w:p>
    <w:p>
      <w:pPr>
        <w:pStyle w:val="Style21"/>
        <w:keepNext w:val="0"/>
        <w:keepLines w:val="0"/>
        <w:widowControl w:val="0"/>
        <w:numPr>
          <w:ilvl w:val="0"/>
          <w:numId w:val="19"/>
        </w:numPr>
        <w:shd w:val="clear" w:color="auto" w:fill="auto"/>
        <w:tabs>
          <w:tab w:pos="415" w:val="left"/>
        </w:tabs>
        <w:bidi w:val="0"/>
        <w:spacing w:before="0" w:after="0" w:line="311" w:lineRule="exact"/>
        <w:ind w:left="0" w:right="0" w:firstLine="0"/>
        <w:jc w:val="both"/>
      </w:pPr>
      <w:bookmarkStart w:id="846" w:name="bookmark846"/>
      <w:bookmarkEnd w:id="846"/>
      <w:r>
        <w:rPr>
          <w:color w:val="000000"/>
          <w:spacing w:val="0"/>
          <w:w w:val="100"/>
          <w:position w:val="0"/>
        </w:rPr>
        <w:t>借款人不大可能全额支付其对本集团的欠款，该评估不考虑本集团采取例如变现抵押品</w:t>
      </w:r>
      <w:r>
        <w:rPr>
          <w:color w:val="000000"/>
          <w:spacing w:val="0"/>
          <w:w w:val="100"/>
          <w:position w:val="0"/>
          <w:sz w:val="18"/>
          <w:szCs w:val="18"/>
        </w:rPr>
        <w:t>(</w:t>
      </w:r>
      <w:r>
        <w:rPr>
          <w:color w:val="000000"/>
          <w:spacing w:val="0"/>
          <w:w w:val="100"/>
          <w:position w:val="0"/>
        </w:rPr>
        <w:t>如果持有</w:t>
      </w:r>
      <w:r>
        <w:rPr>
          <w:color w:val="000000"/>
          <w:spacing w:val="0"/>
          <w:w w:val="100"/>
          <w:position w:val="0"/>
          <w:sz w:val="18"/>
          <w:szCs w:val="18"/>
        </w:rPr>
        <w:t>)</w:t>
      </w:r>
      <w:r>
        <w:rPr>
          <w:color w:val="000000"/>
          <w:spacing w:val="0"/>
          <w:w w:val="100"/>
          <w:position w:val="0"/>
        </w:rPr>
        <w:t>等追索行动；或</w:t>
      </w:r>
    </w:p>
    <w:p>
      <w:pPr>
        <w:pStyle w:val="Style21"/>
        <w:keepNext w:val="0"/>
        <w:keepLines w:val="0"/>
        <w:widowControl w:val="0"/>
        <w:numPr>
          <w:ilvl w:val="0"/>
          <w:numId w:val="19"/>
        </w:numPr>
        <w:shd w:val="clear" w:color="auto" w:fill="auto"/>
        <w:tabs>
          <w:tab w:pos="415" w:val="left"/>
        </w:tabs>
        <w:bidi w:val="0"/>
        <w:spacing w:before="0" w:after="0" w:line="311" w:lineRule="exact"/>
        <w:ind w:left="0" w:right="0" w:firstLine="0"/>
        <w:jc w:val="both"/>
      </w:pPr>
      <w:bookmarkStart w:id="847" w:name="bookmark847"/>
      <w:bookmarkEnd w:id="847"/>
      <w:r>
        <w:rPr>
          <w:color w:val="000000"/>
          <w:spacing w:val="0"/>
          <w:w w:val="100"/>
          <w:position w:val="0"/>
        </w:rPr>
        <w:t>金融资产逾期超过</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已发生信用减值的金融资产</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本集团在资产负债表日评估以摊余成本计量的金融资产是否已发生信用减值。当对金融资产预期未来现金流量具有不利影 响的一项或多项事件发生时，该金融资产成为已发生信用减值的金融资产。金融资产已发生信用减值的证据包括下列可观察 信息：</w:t>
      </w:r>
    </w:p>
    <w:p>
      <w:pPr>
        <w:pStyle w:val="Style21"/>
        <w:keepNext w:val="0"/>
        <w:keepLines w:val="0"/>
        <w:widowControl w:val="0"/>
        <w:numPr>
          <w:ilvl w:val="0"/>
          <w:numId w:val="19"/>
        </w:numPr>
        <w:shd w:val="clear" w:color="auto" w:fill="auto"/>
        <w:tabs>
          <w:tab w:pos="415" w:val="left"/>
        </w:tabs>
        <w:bidi w:val="0"/>
        <w:spacing w:before="0" w:after="0" w:line="311" w:lineRule="exact"/>
        <w:ind w:left="0" w:right="0" w:firstLine="0"/>
        <w:jc w:val="both"/>
      </w:pPr>
      <w:bookmarkStart w:id="848" w:name="bookmark848"/>
      <w:bookmarkEnd w:id="848"/>
      <w:r>
        <w:rPr>
          <w:color w:val="000000"/>
          <w:spacing w:val="0"/>
          <w:w w:val="100"/>
          <w:position w:val="0"/>
        </w:rPr>
        <w:t>发行方或债务人发生重大财务困难；</w:t>
      </w:r>
    </w:p>
    <w:p>
      <w:pPr>
        <w:pStyle w:val="Style21"/>
        <w:keepNext w:val="0"/>
        <w:keepLines w:val="0"/>
        <w:widowControl w:val="0"/>
        <w:numPr>
          <w:ilvl w:val="0"/>
          <w:numId w:val="19"/>
        </w:numPr>
        <w:shd w:val="clear" w:color="auto" w:fill="auto"/>
        <w:tabs>
          <w:tab w:pos="415" w:val="left"/>
        </w:tabs>
        <w:bidi w:val="0"/>
        <w:spacing w:before="0" w:after="0" w:line="311" w:lineRule="exact"/>
        <w:ind w:left="0" w:right="0" w:firstLine="0"/>
        <w:jc w:val="both"/>
      </w:pPr>
      <w:bookmarkStart w:id="849" w:name="bookmark849"/>
      <w:bookmarkEnd w:id="849"/>
      <w:r>
        <w:rPr>
          <w:color w:val="000000"/>
          <w:spacing w:val="0"/>
          <w:w w:val="100"/>
          <w:position w:val="0"/>
        </w:rPr>
        <w:t>债务人违反合同，如偿付利息或本金违约或逾期等；</w:t>
      </w:r>
    </w:p>
    <w:p>
      <w:pPr>
        <w:pStyle w:val="Style21"/>
        <w:keepNext w:val="0"/>
        <w:keepLines w:val="0"/>
        <w:widowControl w:val="0"/>
        <w:numPr>
          <w:ilvl w:val="0"/>
          <w:numId w:val="19"/>
        </w:numPr>
        <w:shd w:val="clear" w:color="auto" w:fill="auto"/>
        <w:tabs>
          <w:tab w:pos="415" w:val="left"/>
        </w:tabs>
        <w:bidi w:val="0"/>
        <w:spacing w:before="0" w:after="0" w:line="311" w:lineRule="exact"/>
        <w:ind w:left="0" w:right="0" w:firstLine="0"/>
        <w:jc w:val="both"/>
      </w:pPr>
      <w:bookmarkStart w:id="850" w:name="bookmark850"/>
      <w:bookmarkEnd w:id="850"/>
      <w:r>
        <w:rPr>
          <w:color w:val="000000"/>
          <w:spacing w:val="0"/>
          <w:w w:val="100"/>
          <w:position w:val="0"/>
        </w:rPr>
        <w:t>本集团出于与债务人财务困难有关的经济或合同考虑，给予债务人在任何其他情况下都不会做出的让步；</w:t>
      </w:r>
    </w:p>
    <w:p>
      <w:pPr>
        <w:pStyle w:val="Style21"/>
        <w:keepNext w:val="0"/>
        <w:keepLines w:val="0"/>
        <w:widowControl w:val="0"/>
        <w:numPr>
          <w:ilvl w:val="0"/>
          <w:numId w:val="19"/>
        </w:numPr>
        <w:shd w:val="clear" w:color="auto" w:fill="auto"/>
        <w:tabs>
          <w:tab w:pos="415" w:val="left"/>
        </w:tabs>
        <w:bidi w:val="0"/>
        <w:spacing w:before="0" w:after="0" w:line="311" w:lineRule="exact"/>
        <w:ind w:left="0" w:right="0" w:firstLine="0"/>
        <w:jc w:val="both"/>
      </w:pPr>
      <w:bookmarkStart w:id="851" w:name="bookmark851"/>
      <w:bookmarkEnd w:id="851"/>
      <w:r>
        <w:rPr>
          <w:color w:val="000000"/>
          <w:spacing w:val="0"/>
          <w:w w:val="100"/>
          <w:position w:val="0"/>
        </w:rPr>
        <w:t>债务人很可能破产或进行其他财务重组；</w:t>
      </w:r>
    </w:p>
    <w:p>
      <w:pPr>
        <w:pStyle w:val="Style21"/>
        <w:keepNext w:val="0"/>
        <w:keepLines w:val="0"/>
        <w:widowControl w:val="0"/>
        <w:numPr>
          <w:ilvl w:val="0"/>
          <w:numId w:val="19"/>
        </w:numPr>
        <w:shd w:val="clear" w:color="auto" w:fill="auto"/>
        <w:tabs>
          <w:tab w:pos="415" w:val="left"/>
        </w:tabs>
        <w:bidi w:val="0"/>
        <w:spacing w:before="0" w:after="0" w:line="311" w:lineRule="exact"/>
        <w:ind w:left="0" w:right="0" w:firstLine="0"/>
        <w:jc w:val="both"/>
      </w:pPr>
      <w:bookmarkStart w:id="852" w:name="bookmark852"/>
      <w:bookmarkEnd w:id="852"/>
      <w:r>
        <w:rPr>
          <w:color w:val="000000"/>
          <w:spacing w:val="0"/>
          <w:w w:val="100"/>
          <w:position w:val="0"/>
        </w:rPr>
        <w:t>发行方或债务人财务困难导致该金融资产的活跃市场消失。</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预期信用损失准备的列报</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为反映金融工具的信用风险自初始确认后的变化，本集团在每个资产负债表日重新计量预期信用损失，由此形成的损失准备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资产负债表中列示的账面价值；对于以公允价值计量且其变动计入其他综合收益的债权投资，本集团在其他综合收益中确认 其损失准备，不抵减该金融资产的账面价值。</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核销</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如果本集团不再合理预期金融资产合同现金流量能够全部或部分收回，则直接减记该金融资产的账面余额。这种减记构成相 关金融资产的终止确认。这种情况通常发生在本集团确定债务人没有资产或收入来源可产生足够的现金流量以偿还将被减 记的金额。但是，被减记的金融资产仍可能受到本集团催收到期款项相关执行活动的影响。</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已减记的金融资产以后又收回的，作为减值损失的转回计入收回当期的损益。</w:t>
      </w:r>
    </w:p>
    <w:p>
      <w:pPr>
        <w:pStyle w:val="Style21"/>
        <w:keepNext w:val="0"/>
        <w:keepLines w:val="0"/>
        <w:widowControl w:val="0"/>
        <w:numPr>
          <w:ilvl w:val="0"/>
          <w:numId w:val="21"/>
        </w:numPr>
        <w:shd w:val="clear" w:color="auto" w:fill="auto"/>
        <w:bidi w:val="0"/>
        <w:spacing w:before="0" w:after="0" w:line="311" w:lineRule="exact"/>
        <w:ind w:left="0" w:right="0" w:firstLine="0"/>
        <w:jc w:val="both"/>
      </w:pPr>
      <w:bookmarkStart w:id="853" w:name="bookmark853"/>
      <w:bookmarkEnd w:id="853"/>
      <w:r>
        <w:rPr>
          <w:color w:val="000000"/>
          <w:spacing w:val="0"/>
          <w:w w:val="100"/>
          <w:position w:val="0"/>
        </w:rPr>
        <w:t>权益工具</w:t>
      </w:r>
    </w:p>
    <w:p>
      <w:pPr>
        <w:pStyle w:val="Style21"/>
        <w:keepNext w:val="0"/>
        <w:keepLines w:val="0"/>
        <w:widowControl w:val="0"/>
        <w:shd w:val="clear" w:color="auto" w:fill="auto"/>
        <w:bidi w:val="0"/>
        <w:spacing w:before="0" w:after="400" w:line="311" w:lineRule="exact"/>
        <w:ind w:left="0" w:right="0" w:firstLine="0"/>
        <w:jc w:val="both"/>
      </w:pPr>
      <w:r>
        <w:rPr>
          <w:color w:val="000000"/>
          <w:spacing w:val="0"/>
          <w:w w:val="100"/>
          <w:position w:val="0"/>
        </w:rPr>
        <w:t xml:space="preserve">本公司发行权益工具收到的对价扣除交易费用后，计入股东权益。回购本公司权益工具支付的对价和交易费用，减少股东权 </w:t>
      </w:r>
      <w:r>
        <w:rPr>
          <w:color w:val="000000"/>
          <w:spacing w:val="0"/>
          <w:w w:val="100"/>
          <w:position w:val="0"/>
          <w:u w:val="single"/>
        </w:rPr>
        <w:t>益</w:t>
      </w:r>
      <w:r>
        <w:rPr>
          <w:color w:val="000000"/>
          <w:spacing w:val="0"/>
          <w:w w:val="100"/>
          <w:position w:val="0"/>
        </w:rPr>
        <w:t>。</w:t>
      </w:r>
    </w:p>
    <w:p>
      <w:pPr>
        <w:pStyle w:val="Style34"/>
        <w:keepNext/>
        <w:keepLines/>
        <w:widowControl w:val="0"/>
        <w:shd w:val="clear" w:color="auto" w:fill="auto"/>
        <w:bidi w:val="0"/>
        <w:spacing w:before="0" w:after="240" w:line="240" w:lineRule="auto"/>
        <w:ind w:left="0" w:right="0" w:firstLine="0"/>
        <w:jc w:val="both"/>
      </w:pPr>
      <w:bookmarkStart w:id="854" w:name="bookmark854"/>
      <w:bookmarkStart w:id="855" w:name="bookmark855"/>
      <w:bookmarkStart w:id="856" w:name="bookmark856"/>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854"/>
      <w:bookmarkEnd w:id="855"/>
      <w:bookmarkEnd w:id="856"/>
    </w:p>
    <w:p>
      <w:pPr>
        <w:pStyle w:val="Style21"/>
        <w:keepNext w:val="0"/>
        <w:keepLines w:val="0"/>
        <w:widowControl w:val="0"/>
        <w:numPr>
          <w:ilvl w:val="0"/>
          <w:numId w:val="23"/>
        </w:numPr>
        <w:shd w:val="clear" w:color="auto" w:fill="auto"/>
        <w:tabs>
          <w:tab w:pos="541" w:val="left"/>
        </w:tabs>
        <w:bidi w:val="0"/>
        <w:spacing w:before="0" w:after="0" w:line="318" w:lineRule="exact"/>
        <w:ind w:left="0" w:right="0" w:firstLine="0"/>
        <w:jc w:val="both"/>
      </w:pPr>
      <w:bookmarkStart w:id="857" w:name="bookmark857"/>
      <w:bookmarkEnd w:id="857"/>
      <w:r>
        <w:rPr>
          <w:color w:val="000000"/>
          <w:spacing w:val="0"/>
          <w:w w:val="100"/>
          <w:position w:val="0"/>
        </w:rPr>
        <w:t>存货的分类和成本 存货包括库存商品等。</w:t>
      </w: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存货按成本进行初始计量。存货成本包括采购成本、加工成本和使存货达到目前场所和状态所发生的其他支出。</w:t>
      </w:r>
    </w:p>
    <w:p>
      <w:pPr>
        <w:pStyle w:val="Style21"/>
        <w:keepNext w:val="0"/>
        <w:keepLines w:val="0"/>
        <w:widowControl w:val="0"/>
        <w:numPr>
          <w:ilvl w:val="0"/>
          <w:numId w:val="23"/>
        </w:numPr>
        <w:shd w:val="clear" w:color="auto" w:fill="auto"/>
        <w:tabs>
          <w:tab w:pos="445" w:val="left"/>
        </w:tabs>
        <w:bidi w:val="0"/>
        <w:spacing w:before="0" w:after="0" w:line="318" w:lineRule="exact"/>
        <w:ind w:left="0" w:right="0" w:firstLine="0"/>
        <w:jc w:val="both"/>
      </w:pPr>
      <w:bookmarkStart w:id="858" w:name="bookmark858"/>
      <w:bookmarkEnd w:id="858"/>
      <w:r>
        <w:rPr>
          <w:color w:val="000000"/>
          <w:spacing w:val="0"/>
          <w:w w:val="100"/>
          <w:position w:val="0"/>
        </w:rPr>
        <w:t>发出存货的计价方法</w:t>
      </w: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发出存货的实际成本采用加权平均法计量。</w:t>
      </w:r>
    </w:p>
    <w:p>
      <w:pPr>
        <w:pStyle w:val="Style21"/>
        <w:keepNext w:val="0"/>
        <w:keepLines w:val="0"/>
        <w:widowControl w:val="0"/>
        <w:numPr>
          <w:ilvl w:val="0"/>
          <w:numId w:val="23"/>
        </w:numPr>
        <w:shd w:val="clear" w:color="auto" w:fill="auto"/>
        <w:tabs>
          <w:tab w:pos="536" w:val="left"/>
        </w:tabs>
        <w:bidi w:val="0"/>
        <w:spacing w:before="0" w:after="0" w:line="318" w:lineRule="exact"/>
        <w:ind w:left="0" w:right="0" w:firstLine="0"/>
        <w:jc w:val="both"/>
      </w:pPr>
      <w:bookmarkStart w:id="859" w:name="bookmark859"/>
      <w:bookmarkEnd w:id="859"/>
      <w:r>
        <w:rPr>
          <w:color w:val="000000"/>
          <w:spacing w:val="0"/>
          <w:w w:val="100"/>
          <w:position w:val="0"/>
        </w:rPr>
        <w:t>存货可变现净值的确定依据及存货跌价准备的计提方法 资产负债表日，存货按照成本与可变现净值孰低计量。</w:t>
      </w: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可变现净值，是指在日常活动中，存货的估计售价减去至完工时估计将要发生的成本、估计的销售费用以及相关税费后的金 额。为执行销售合同或者劳务合同而持有的存货，其可变现净值以合同价格为基础计算。</w:t>
      </w:r>
    </w:p>
    <w:p>
      <w:pPr>
        <w:pStyle w:val="Style21"/>
        <w:keepNext w:val="0"/>
        <w:keepLines w:val="0"/>
        <w:widowControl w:val="0"/>
        <w:numPr>
          <w:ilvl w:val="0"/>
          <w:numId w:val="23"/>
        </w:numPr>
        <w:shd w:val="clear" w:color="auto" w:fill="auto"/>
        <w:tabs>
          <w:tab w:pos="445" w:val="left"/>
        </w:tabs>
        <w:bidi w:val="0"/>
        <w:spacing w:before="0" w:after="0" w:line="318" w:lineRule="exact"/>
        <w:ind w:left="0" w:right="0" w:firstLine="0"/>
        <w:jc w:val="both"/>
      </w:pPr>
      <w:bookmarkStart w:id="860" w:name="bookmark860"/>
      <w:bookmarkEnd w:id="860"/>
      <w:r>
        <w:rPr>
          <w:color w:val="000000"/>
          <w:spacing w:val="0"/>
          <w:w w:val="100"/>
          <w:position w:val="0"/>
        </w:rPr>
        <w:t>存货的盘存制度</w:t>
      </w:r>
    </w:p>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本集团存货盘存制度为永续盘存制。</w:t>
      </w:r>
    </w:p>
    <w:p>
      <w:pPr>
        <w:pStyle w:val="Style34"/>
        <w:keepNext/>
        <w:keepLines/>
        <w:widowControl w:val="0"/>
        <w:shd w:val="clear" w:color="auto" w:fill="auto"/>
        <w:tabs>
          <w:tab w:pos="474" w:val="left"/>
        </w:tabs>
        <w:bidi w:val="0"/>
        <w:spacing w:before="0" w:after="260" w:line="240" w:lineRule="auto"/>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1</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合同资产</w:t>
      </w:r>
      <w:bookmarkEnd w:id="861"/>
      <w:bookmarkEnd w:id="862"/>
      <w:bookmarkEnd w:id="864"/>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合同资产，是指企业已向客户转让商品而有权收取对价的权利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且该权利取决于时间流逝之外的其他因素。如本公司在报表 日有权就累计已完成的履约部分收取款项的权利，但未达合同约定的结算时点而未予结算，本公司将该收款权利作为合同资 产。</w:t>
      </w:r>
    </w:p>
    <w:p>
      <w:pPr>
        <w:pStyle w:val="Style21"/>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合同资产的预期信用损失的确定方法，参照上述金融工具减值会计处理方法，本公司在资产负债表日计算合同资产预期信用 损失，如果该预期信用损失大于当前合同资产减值准备的账面金额，本公司将其差额确认为减值损失，借记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合同资产减值准备匚相反，本公司将差额确认为减值利得，做相反的会计记录。</w:t>
      </w:r>
    </w:p>
    <w:p>
      <w:pPr>
        <w:pStyle w:val="Style34"/>
        <w:keepNext/>
        <w:keepLines/>
        <w:widowControl w:val="0"/>
        <w:shd w:val="clear" w:color="auto" w:fill="auto"/>
        <w:tabs>
          <w:tab w:pos="474" w:val="left"/>
        </w:tabs>
        <w:bidi w:val="0"/>
        <w:spacing w:before="0" w:after="260" w:line="240" w:lineRule="auto"/>
        <w:ind w:left="0" w:right="0" w:firstLine="0"/>
        <w:jc w:val="both"/>
      </w:pPr>
      <w:bookmarkStart w:id="865" w:name="bookmark865"/>
      <w:bookmarkStart w:id="866" w:name="bookmark866"/>
      <w:bookmarkStart w:id="867" w:name="bookmark867"/>
      <w:bookmarkStart w:id="868" w:name="bookmark868"/>
      <w:r>
        <w:rPr>
          <w:rFonts w:ascii="Times New Roman" w:eastAsia="Times New Roman" w:hAnsi="Times New Roman" w:cs="Times New Roman"/>
          <w:color w:val="000000"/>
          <w:spacing w:val="0"/>
          <w:w w:val="100"/>
          <w:position w:val="0"/>
        </w:rPr>
        <w:t>1</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合同成本</w:t>
      </w:r>
      <w:bookmarkEnd w:id="865"/>
      <w:bookmarkEnd w:id="866"/>
      <w:bookmarkEnd w:id="868"/>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合同成本包括为取得合同发生的增量成本及合同履约成本。</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为取得合同发生的增量成本是指本集团不取得合同就不会发生的成本。该成本预期能够收回的，本集团将其作为合同取得成 本确认为一项资产。本集团为取得合同发生的、除预期能够收回的增量成本之外的其他支出于发生时计入当期损益。</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为履行合同发生的成本，不属于存货等其他企业会计准则规范范围且同时满足下列条件的，本集团将其作为合同履约成本确 认为一项资产：</w:t>
      </w:r>
    </w:p>
    <w:p>
      <w:pPr>
        <w:pStyle w:val="Style21"/>
        <w:keepNext w:val="0"/>
        <w:keepLines w:val="0"/>
        <w:widowControl w:val="0"/>
        <w:numPr>
          <w:ilvl w:val="0"/>
          <w:numId w:val="19"/>
        </w:numPr>
        <w:shd w:val="clear" w:color="auto" w:fill="auto"/>
        <w:tabs>
          <w:tab w:pos="401" w:val="left"/>
        </w:tabs>
        <w:bidi w:val="0"/>
        <w:spacing w:before="0" w:after="0" w:line="313" w:lineRule="exact"/>
        <w:ind w:left="0" w:right="0" w:firstLine="0"/>
        <w:jc w:val="both"/>
      </w:pPr>
      <w:bookmarkStart w:id="869" w:name="bookmark869"/>
      <w:bookmarkEnd w:id="869"/>
      <w:r>
        <w:rPr>
          <w:color w:val="000000"/>
          <w:spacing w:val="0"/>
          <w:w w:val="100"/>
          <w:position w:val="0"/>
        </w:rPr>
        <w:t>该成本与一份当前或预期取得的合同直接相关，包括直接人工、直接材料、制造费用(或类似费用)、明确由客户承担 的成本以及仅因该合同而发生的其他成本；</w:t>
      </w:r>
    </w:p>
    <w:p>
      <w:pPr>
        <w:pStyle w:val="Style21"/>
        <w:keepNext w:val="0"/>
        <w:keepLines w:val="0"/>
        <w:widowControl w:val="0"/>
        <w:numPr>
          <w:ilvl w:val="0"/>
          <w:numId w:val="19"/>
        </w:numPr>
        <w:shd w:val="clear" w:color="auto" w:fill="auto"/>
        <w:tabs>
          <w:tab w:pos="401" w:val="left"/>
        </w:tabs>
        <w:bidi w:val="0"/>
        <w:spacing w:before="0" w:after="0" w:line="313" w:lineRule="exact"/>
        <w:ind w:left="0" w:right="0" w:firstLine="0"/>
        <w:jc w:val="both"/>
      </w:pPr>
      <w:bookmarkStart w:id="870" w:name="bookmark870"/>
      <w:bookmarkEnd w:id="870"/>
      <w:r>
        <w:rPr>
          <w:color w:val="000000"/>
          <w:spacing w:val="0"/>
          <w:w w:val="100"/>
          <w:position w:val="0"/>
        </w:rPr>
        <w:t>该成本增加了本集团未来用于履行履约义务的资源；</w:t>
      </w:r>
    </w:p>
    <w:p>
      <w:pPr>
        <w:pStyle w:val="Style21"/>
        <w:keepNext w:val="0"/>
        <w:keepLines w:val="0"/>
        <w:widowControl w:val="0"/>
        <w:numPr>
          <w:ilvl w:val="0"/>
          <w:numId w:val="19"/>
        </w:numPr>
        <w:shd w:val="clear" w:color="auto" w:fill="auto"/>
        <w:tabs>
          <w:tab w:pos="401" w:val="left"/>
        </w:tabs>
        <w:bidi w:val="0"/>
        <w:spacing w:before="0" w:after="0" w:line="313" w:lineRule="exact"/>
        <w:ind w:left="0" w:right="0" w:firstLine="0"/>
        <w:jc w:val="both"/>
      </w:pPr>
      <w:bookmarkStart w:id="871" w:name="bookmark871"/>
      <w:bookmarkEnd w:id="871"/>
      <w:r>
        <w:rPr>
          <w:color w:val="000000"/>
          <w:spacing w:val="0"/>
          <w:w w:val="100"/>
          <w:position w:val="0"/>
        </w:rPr>
        <w:t>该成本预期能够收回。</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合同取得成本确认的资产和合同履约成本确认的资产(以下简称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)采用与该资产相关的商品或服务 收入确认相同的基础进行摊销，计入当期损益。</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当与合同成本有关的资产的账面价值高于下列两项的差额时，本集团对超出部分计提减值准备，并确认为资产减值损失：</w:t>
      </w:r>
    </w:p>
    <w:p>
      <w:pPr>
        <w:pStyle w:val="Style21"/>
        <w:keepNext w:val="0"/>
        <w:keepLines w:val="0"/>
        <w:widowControl w:val="0"/>
        <w:numPr>
          <w:ilvl w:val="0"/>
          <w:numId w:val="19"/>
        </w:numPr>
        <w:shd w:val="clear" w:color="auto" w:fill="auto"/>
        <w:tabs>
          <w:tab w:pos="401" w:val="left"/>
        </w:tabs>
        <w:bidi w:val="0"/>
        <w:spacing w:before="0" w:after="0" w:line="313" w:lineRule="exact"/>
        <w:ind w:left="0" w:right="0" w:firstLine="0"/>
        <w:jc w:val="both"/>
      </w:pPr>
      <w:bookmarkStart w:id="872" w:name="bookmark872"/>
      <w:bookmarkEnd w:id="872"/>
      <w:r>
        <w:rPr>
          <w:color w:val="000000"/>
          <w:spacing w:val="0"/>
          <w:w w:val="100"/>
          <w:position w:val="0"/>
        </w:rPr>
        <w:t>本集团因转让与该资产相关的商品或服务预期能够取得的剩余对价；</w:t>
      </w:r>
    </w:p>
    <w:p>
      <w:pPr>
        <w:pStyle w:val="Style21"/>
        <w:keepNext w:val="0"/>
        <w:keepLines w:val="0"/>
        <w:widowControl w:val="0"/>
        <w:numPr>
          <w:ilvl w:val="0"/>
          <w:numId w:val="19"/>
        </w:numPr>
        <w:shd w:val="clear" w:color="auto" w:fill="auto"/>
        <w:tabs>
          <w:tab w:pos="401" w:val="left"/>
        </w:tabs>
        <w:bidi w:val="0"/>
        <w:spacing w:before="0" w:after="360" w:line="313" w:lineRule="exact"/>
        <w:ind w:left="0" w:right="0" w:firstLine="0"/>
        <w:jc w:val="both"/>
      </w:pPr>
      <w:bookmarkStart w:id="873" w:name="bookmark873"/>
      <w:bookmarkEnd w:id="873"/>
      <w:r>
        <w:rPr>
          <w:color w:val="000000"/>
          <w:spacing w:val="0"/>
          <w:w w:val="100"/>
          <w:position w:val="0"/>
        </w:rPr>
        <w:t>为转让该相关商品或服务估计将要发生的成本。</w:t>
      </w:r>
    </w:p>
    <w:p>
      <w:pPr>
        <w:pStyle w:val="Style34"/>
        <w:keepNext/>
        <w:keepLines/>
        <w:widowControl w:val="0"/>
        <w:shd w:val="clear" w:color="auto" w:fill="auto"/>
        <w:tabs>
          <w:tab w:pos="474" w:val="left"/>
        </w:tabs>
        <w:bidi w:val="0"/>
        <w:spacing w:before="0" w:after="26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1</w:t>
      </w:r>
      <w:bookmarkEnd w:id="876"/>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w:t>
      </w:r>
      <w:bookmarkEnd w:id="874"/>
      <w:bookmarkEnd w:id="875"/>
      <w:bookmarkEnd w:id="877"/>
    </w:p>
    <w:p>
      <w:pPr>
        <w:pStyle w:val="Style21"/>
        <w:keepNext w:val="0"/>
        <w:keepLines w:val="0"/>
        <w:widowControl w:val="0"/>
        <w:numPr>
          <w:ilvl w:val="0"/>
          <w:numId w:val="25"/>
        </w:numPr>
        <w:shd w:val="clear" w:color="auto" w:fill="auto"/>
        <w:tabs>
          <w:tab w:pos="445" w:val="left"/>
        </w:tabs>
        <w:bidi w:val="0"/>
        <w:spacing w:before="0" w:after="0" w:line="315" w:lineRule="exact"/>
        <w:ind w:left="0" w:right="0" w:firstLine="0"/>
        <w:jc w:val="both"/>
      </w:pPr>
      <w:bookmarkStart w:id="878" w:name="bookmark878"/>
      <w:bookmarkEnd w:id="878"/>
      <w:r>
        <w:rPr>
          <w:color w:val="000000"/>
          <w:spacing w:val="0"/>
          <w:w w:val="100"/>
          <w:position w:val="0"/>
        </w:rPr>
        <w:t>长期股权投资投资成本确定</w:t>
      </w:r>
    </w:p>
    <w:p>
      <w:pPr>
        <w:pStyle w:val="Style21"/>
        <w:keepNext w:val="0"/>
        <w:keepLines w:val="0"/>
        <w:widowControl w:val="0"/>
        <w:numPr>
          <w:ilvl w:val="0"/>
          <w:numId w:val="27"/>
        </w:numPr>
        <w:shd w:val="clear" w:color="auto" w:fill="auto"/>
        <w:tabs>
          <w:tab w:pos="430" w:val="left"/>
        </w:tabs>
        <w:bidi w:val="0"/>
        <w:spacing w:before="0" w:after="0" w:line="315" w:lineRule="exact"/>
        <w:ind w:left="0" w:right="0" w:firstLine="0"/>
        <w:jc w:val="both"/>
      </w:pPr>
      <w:bookmarkStart w:id="879" w:name="bookmark879"/>
      <w:bookmarkEnd w:id="879"/>
      <w:r>
        <w:rPr>
          <w:color w:val="000000"/>
          <w:spacing w:val="0"/>
          <w:w w:val="100"/>
          <w:position w:val="0"/>
        </w:rPr>
        <w:t>通过企业合并形成的长期股权投资</w:t>
      </w:r>
    </w:p>
    <w:p>
      <w:pPr>
        <w:pStyle w:val="Style21"/>
        <w:keepNext w:val="0"/>
        <w:keepLines w:val="0"/>
        <w:widowControl w:val="0"/>
        <w:numPr>
          <w:ilvl w:val="0"/>
          <w:numId w:val="19"/>
        </w:numPr>
        <w:shd w:val="clear" w:color="auto" w:fill="auto"/>
        <w:tabs>
          <w:tab w:pos="401" w:val="left"/>
        </w:tabs>
        <w:bidi w:val="0"/>
        <w:spacing w:before="0" w:after="0" w:line="315" w:lineRule="exact"/>
        <w:ind w:left="0" w:right="0" w:firstLine="0"/>
        <w:jc w:val="both"/>
      </w:pPr>
      <w:bookmarkStart w:id="880" w:name="bookmark880"/>
      <w:bookmarkEnd w:id="880"/>
      <w:r>
        <w:rPr>
          <w:color w:val="000000"/>
          <w:spacing w:val="0"/>
          <w:w w:val="100"/>
          <w:position w:val="0"/>
        </w:rPr>
        <w:t>对于同一控制下的企业合并形成的对子公司的长期股权投资，本公司按照合并日取得的被合并方所有者权益在最终控 制方合并财务报表中的账面价值的份额作为长期股权投资的初始投资成本。长期股权投资初始投资成本与支付对价账面价 值之间的差额，调整资本公积中的股本溢价；资本公积中的股本溢价不足冲减时，调整留存收益。</w:t>
      </w:r>
    </w:p>
    <w:p>
      <w:pPr>
        <w:pStyle w:val="Style21"/>
        <w:keepNext w:val="0"/>
        <w:keepLines w:val="0"/>
        <w:widowControl w:val="0"/>
        <w:numPr>
          <w:ilvl w:val="0"/>
          <w:numId w:val="19"/>
        </w:numPr>
        <w:shd w:val="clear" w:color="auto" w:fill="auto"/>
        <w:tabs>
          <w:tab w:pos="401" w:val="left"/>
        </w:tabs>
        <w:bidi w:val="0"/>
        <w:spacing w:before="0" w:after="0" w:line="315" w:lineRule="exact"/>
        <w:ind w:left="0" w:right="0" w:firstLine="0"/>
        <w:jc w:val="both"/>
      </w:pPr>
      <w:bookmarkStart w:id="881" w:name="bookmark881"/>
      <w:bookmarkEnd w:id="881"/>
      <w:r>
        <w:rPr>
          <w:color w:val="000000"/>
          <w:spacing w:val="0"/>
          <w:w w:val="100"/>
          <w:position w:val="0"/>
        </w:rPr>
        <w:t>对于非同一控制下企业合并形成的对子公司的长期股权投资，本公司按照购买日取得对被购买方的控制权而付出的资 产、发生或承担的负债以及发行的权益性证券的公允价值，作为该投资的初始投资成本。</w:t>
      </w:r>
    </w:p>
    <w:p>
      <w:pPr>
        <w:pStyle w:val="Style21"/>
        <w:keepNext w:val="0"/>
        <w:keepLines w:val="0"/>
        <w:widowControl w:val="0"/>
        <w:numPr>
          <w:ilvl w:val="0"/>
          <w:numId w:val="27"/>
        </w:numPr>
        <w:shd w:val="clear" w:color="auto" w:fill="auto"/>
        <w:tabs>
          <w:tab w:pos="445" w:val="left"/>
        </w:tabs>
        <w:bidi w:val="0"/>
        <w:spacing w:before="0" w:after="0" w:line="315" w:lineRule="exact"/>
        <w:ind w:left="0" w:right="0" w:firstLine="0"/>
        <w:jc w:val="both"/>
      </w:pPr>
      <w:bookmarkStart w:id="882" w:name="bookmark882"/>
      <w:bookmarkEnd w:id="882"/>
      <w:r>
        <w:rPr>
          <w:color w:val="000000"/>
          <w:spacing w:val="0"/>
          <w:w w:val="100"/>
          <w:position w:val="0"/>
        </w:rPr>
        <w:t>其他方式取得的长期股权投资</w:t>
      </w:r>
    </w:p>
    <w:p>
      <w:pPr>
        <w:pStyle w:val="Style21"/>
        <w:keepNext w:val="0"/>
        <w:keepLines w:val="0"/>
        <w:widowControl w:val="0"/>
        <w:numPr>
          <w:ilvl w:val="0"/>
          <w:numId w:val="19"/>
        </w:numPr>
        <w:shd w:val="clear" w:color="auto" w:fill="auto"/>
        <w:tabs>
          <w:tab w:pos="401" w:val="left"/>
        </w:tabs>
        <w:bidi w:val="0"/>
        <w:spacing w:before="0" w:after="0" w:line="315" w:lineRule="exact"/>
        <w:ind w:left="0" w:right="0" w:firstLine="0"/>
        <w:jc w:val="both"/>
      </w:pPr>
      <w:bookmarkStart w:id="883" w:name="bookmark883"/>
      <w:bookmarkEnd w:id="883"/>
      <w:r>
        <w:rPr>
          <w:color w:val="000000"/>
          <w:spacing w:val="0"/>
          <w:w w:val="100"/>
          <w:position w:val="0"/>
        </w:rPr>
        <w:t>对于通过企业合并以外的其他方式取得的长期股权投资，在初始确认时，对于以支付现金取得的长期股权投资，本集 团按照实际支付的购买价款作为初始投资成本；对于发行权益性证券取得的长期股权投资，本集团按照发行权益性证券的公 允价值作为初始投资成本。</w:t>
      </w:r>
    </w:p>
    <w:p>
      <w:pPr>
        <w:pStyle w:val="Style21"/>
        <w:keepNext w:val="0"/>
        <w:keepLines w:val="0"/>
        <w:widowControl w:val="0"/>
        <w:numPr>
          <w:ilvl w:val="0"/>
          <w:numId w:val="25"/>
        </w:numPr>
        <w:shd w:val="clear" w:color="auto" w:fill="auto"/>
        <w:tabs>
          <w:tab w:pos="445" w:val="left"/>
        </w:tabs>
        <w:bidi w:val="0"/>
        <w:spacing w:before="0" w:after="0" w:line="315" w:lineRule="exact"/>
        <w:ind w:left="0" w:right="0" w:firstLine="0"/>
        <w:jc w:val="both"/>
      </w:pPr>
      <w:bookmarkStart w:id="884" w:name="bookmark884"/>
      <w:bookmarkEnd w:id="884"/>
      <w:r>
        <w:rPr>
          <w:color w:val="000000"/>
          <w:spacing w:val="0"/>
          <w:w w:val="100"/>
          <w:position w:val="0"/>
        </w:rPr>
        <w:t>长期股权投资后续计量及损益确认方法</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对子公司的投资</w:t>
      </w:r>
    </w:p>
    <w:p>
      <w:pPr>
        <w:pStyle w:val="Style21"/>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在本公司个别财务报表中，本公司采用成本法对子公司的长期股权投资进行后续计量。对被投资单位宣告分派的现金股利或 利润由本公司享有的部分确认为当期投资收益，但取得投资时实际支付的价款或对价中包含的已宣告但尚未发放的现金股 利或利润除外。</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对子公司的投资按照成本减去减值准备后在资产负债表内列示。</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对子公司投资的减值测试方法及减值准备计提方法参见除存货及金融资产外的其他资产减值。</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在本集团合并财务报表中，对子公司按合并财务报表的编制方法进行处理。</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对合营企业和联营企业的投资</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合营企业指本集团与其他合营方共同控制且仅对其净资产享有权利的一项安排。</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联营企业指本集团能够对其施加重大影响的企业。</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后续计量时，对合营企业和联营企业的长期股权投资采用权益法核算。</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本集团在采用权益法核算时的具体会计处理包括：</w:t>
      </w:r>
    </w:p>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对于长期股权投资的初始投资成本大于投资时应享有被投资单位可辨认净资产公允价值份额的，以前者作为长期股权 投资的成本；对于长期股权投资的初始投资成本小于投资时应享有被投资单位可辨认净资产公允价值份额的，以后者作为长 期股权投资的成本，长期股权投资的成本与初始投资成本的差额计入当期损益。</w:t>
      </w:r>
    </w:p>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取得对合营企业和联营企业投资后，本集团按照应享有或应分担的被投资单位实现的净损益和其他综合收益的份额， 分别确认投资损益和其他综合收益并调整长期股权投资的账面价值；按照被投资单位宣告分派的利润或现金股利计算应分 得的部分，相应减少长期股权投资的账面价值。对合营企业或联营企业除净损益、其他综合收益和利润分配以外所有者权益 的其他变动（以下简称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），本集团按照应享有或应分担的份额计入股东权益，并同时调整长期股权投 资的账面价值。</w:t>
      </w:r>
    </w:p>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在计算应享有或应分担的被投资单位实现的净损益、其他综合收益及其他所有者权益变动的份额时，本集团以取得投 资时被投资单位可辨认净资产公允价值为基础，按照本集团的会计政策或会计期间进行必要调整后确认投资收益和其他综 合收益等。本集团与联营企业及合营企业之间内部交易产生的未实现损益按照应享有的比例计算归属于本集团的部分，在权 益法核算时予以抵销。内部交易产生的未实现损失，有证据表明该损失是相关资产减值损失的，则全额确认该损失。</w:t>
      </w:r>
    </w:p>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本集团对合营企业或联营企业发生的净亏损，除本集团负有承担额外损失义务外，以长期股权投资的账面价值以及其 他实质上构成对合营企业或联营企业净投资的长期权益减记至零为限。合营企业或联营企业以后实现净利润的，本集团在收 益分享额弥补未确认的亏损分担额后，恢复确认收益分享额。</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本集团对合营企业和联营企业投资的减值测试方法及减值准备计提方法参见除存货及金融资产外的其他资产减值。</w:t>
      </w:r>
    </w:p>
    <w:p>
      <w:pPr>
        <w:pStyle w:val="Style21"/>
        <w:keepNext w:val="0"/>
        <w:keepLines w:val="0"/>
        <w:widowControl w:val="0"/>
        <w:shd w:val="clear" w:color="auto" w:fill="auto"/>
        <w:bidi w:val="0"/>
        <w:spacing w:before="0" w:after="0" w:line="313" w:lineRule="exact"/>
        <w:ind w:left="0" w:right="0" w:firstLine="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）确定对被投资单位具有共同控制、重大影响的判断标准</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共同控制指按照相关约定对某项安排所共有的控制，并且该安排的相关活动（即对安排的回报产生重大影响的活动）必须经 过分享控制权的参与方一致同意后才能决策。</w:t>
      </w:r>
    </w:p>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本集团在判断对被投资单位是否存在共同控制时，通常考虑下述事项：</w:t>
      </w:r>
    </w:p>
    <w:p>
      <w:pPr>
        <w:pStyle w:val="Style21"/>
        <w:keepNext w:val="0"/>
        <w:keepLines w:val="0"/>
        <w:widowControl w:val="0"/>
        <w:numPr>
          <w:ilvl w:val="0"/>
          <w:numId w:val="19"/>
        </w:numPr>
        <w:shd w:val="clear" w:color="auto" w:fill="auto"/>
        <w:tabs>
          <w:tab w:pos="422" w:val="left"/>
        </w:tabs>
        <w:bidi w:val="0"/>
        <w:spacing w:before="0" w:after="0" w:line="313" w:lineRule="exact"/>
        <w:ind w:left="0" w:right="0" w:firstLine="0"/>
        <w:jc w:val="both"/>
      </w:pPr>
      <w:bookmarkStart w:id="886" w:name="bookmark886"/>
      <w:bookmarkEnd w:id="886"/>
      <w:r>
        <w:rPr>
          <w:color w:val="000000"/>
          <w:spacing w:val="0"/>
          <w:w w:val="100"/>
          <w:position w:val="0"/>
        </w:rPr>
        <w:t>是否任何一个参与方均不能单独控制被投资单位的相关活动；</w:t>
      </w:r>
    </w:p>
    <w:p>
      <w:pPr>
        <w:pStyle w:val="Style21"/>
        <w:keepNext w:val="0"/>
        <w:keepLines w:val="0"/>
        <w:widowControl w:val="0"/>
        <w:numPr>
          <w:ilvl w:val="0"/>
          <w:numId w:val="19"/>
        </w:numPr>
        <w:shd w:val="clear" w:color="auto" w:fill="auto"/>
        <w:tabs>
          <w:tab w:pos="422" w:val="left"/>
        </w:tabs>
        <w:bidi w:val="0"/>
        <w:spacing w:before="0" w:after="0" w:line="313" w:lineRule="exact"/>
        <w:ind w:left="0" w:right="0" w:firstLine="0"/>
        <w:jc w:val="both"/>
      </w:pPr>
      <w:bookmarkStart w:id="887" w:name="bookmark887"/>
      <w:bookmarkEnd w:id="887"/>
      <w:r>
        <w:rPr>
          <w:color w:val="000000"/>
          <w:spacing w:val="0"/>
          <w:w w:val="100"/>
          <w:position w:val="0"/>
        </w:rPr>
        <w:t>涉及被投资单位相关活动的决策是否需要分享控制权参与方一致同意。</w:t>
      </w:r>
    </w:p>
    <w:p>
      <w:pPr>
        <w:pStyle w:val="Style2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重大影响指本集团对被投资单位的财务和经营政策有参与决策的权力，但并不能够控制或者与其他方一起共同控制这些政 策的制定。</w:t>
      </w:r>
    </w:p>
    <w:p>
      <w:pPr>
        <w:pStyle w:val="Style34"/>
        <w:keepNext/>
        <w:keepLines/>
        <w:widowControl w:val="0"/>
        <w:shd w:val="clear" w:color="auto" w:fill="auto"/>
        <w:bidi w:val="0"/>
        <w:spacing w:before="0" w:after="38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1</w:t>
      </w:r>
      <w:bookmarkEnd w:id="890"/>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88"/>
      <w:bookmarkEnd w:id="889"/>
      <w:bookmarkEnd w:id="891"/>
    </w:p>
    <w:p>
      <w:pPr>
        <w:pStyle w:val="Style34"/>
        <w:keepNext/>
        <w:keepLines/>
        <w:widowControl w:val="0"/>
        <w:shd w:val="clear" w:color="auto" w:fill="auto"/>
        <w:bidi w:val="0"/>
        <w:spacing w:before="0" w:after="260" w:line="240" w:lineRule="auto"/>
        <w:ind w:left="0" w:right="0" w:firstLine="0"/>
        <w:jc w:val="both"/>
      </w:pPr>
      <w:bookmarkStart w:id="888" w:name="bookmark888"/>
      <w:bookmarkStart w:id="889" w:name="bookmark889"/>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8"/>
      <w:bookmarkEnd w:id="889"/>
      <w:bookmarkEnd w:id="893"/>
    </w:p>
    <w:p>
      <w:pPr>
        <w:pStyle w:val="Style21"/>
        <w:keepNext w:val="0"/>
        <w:keepLines w:val="0"/>
        <w:widowControl w:val="0"/>
        <w:shd w:val="clear" w:color="auto" w:fill="auto"/>
        <w:bidi w:val="0"/>
        <w:spacing w:before="0" w:after="0" w:line="310" w:lineRule="exact"/>
        <w:ind w:left="0" w:right="0" w:firstLine="0"/>
        <w:jc w:val="both"/>
        <w:sectPr>
          <w:headerReference w:type="default" r:id="rId209"/>
          <w:footerReference w:type="default" r:id="rId210"/>
          <w:headerReference w:type="even" r:id="rId211"/>
          <w:footerReference w:type="even" r:id="rId212"/>
          <w:footnotePr>
            <w:pos w:val="pageBottom"/>
            <w:numFmt w:val="decimal"/>
            <w:numRestart w:val="continuous"/>
          </w:footnotePr>
          <w:type w:val="continuous"/>
          <w:pgSz w:w="11900" w:h="16840"/>
          <w:pgMar w:top="1404" w:right="1042" w:bottom="1266" w:left="1084" w:header="0" w:footer="3" w:gutter="0"/>
          <w:cols w:space="720"/>
          <w:noEndnote/>
          <w:rtlGutter w:val="0"/>
          <w:docGrid w:linePitch="360"/>
        </w:sectPr>
      </w:pPr>
      <w:r>
        <w:rPr>
          <w:color w:val="000000"/>
          <w:spacing w:val="0"/>
          <w:w w:val="100"/>
          <w:position w:val="0"/>
        </w:rPr>
        <w:t>固定资产指本集团为生产商品、提供劳务、出租或经营管理而持有的，使用寿命超过一个会计年度的有形资产。外购固定资 产的初始成本包括购买价款、相关税费以及使该资产达到预定可使用状态前所发生的可归属于该项资产的支出。自行建造固 定资产按在建工程确定初始成本。对于构成固定资产的各组成部分，如果各自具有不同使用寿命或者以不同方式为本集团提 供经济利益，适用不同折旧率或折旧方法的，本集团分别将各组成部分确认为单项固定资产。对于固定资产的后续支出，包 括与更换固定资产某组成部分相关的支出，在与支出相关的经济利益很可能流入本集团时资本化计入固定资产成本，同时将 被替换部分的账面价值扣除；与固定资产日常维护相关的支出在发生时计入当期损益。固定资产以成本减累计折旧及减值准 备后在资产负债表内列示。</w:t>
      </w:r>
    </w:p>
    <w:p>
      <w:pPr>
        <w:pStyle w:val="Style34"/>
        <w:keepNext/>
        <w:keepLines/>
        <w:widowControl w:val="0"/>
        <w:shd w:val="clear" w:color="auto" w:fill="auto"/>
        <w:bidi w:val="0"/>
        <w:spacing w:before="0" w:after="320" w:line="240" w:lineRule="auto"/>
        <w:ind w:left="0" w:right="0" w:firstLine="14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4"/>
      <w:bookmarkEnd w:id="895"/>
      <w:bookmarkEnd w:id="897"/>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折旧方法</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10-30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3.17%-10.00%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9.50%-20.00%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19.00%-20.00%</w:t>
            </w:r>
          </w:p>
        </w:tc>
      </w:tr>
    </w:tbl>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本集团将固定资产的成本扣除预计净残值和累计减值准备后在其使用寿命内按年限平均法计提折旧。本集团至少在每年年 度终了对固定资产的使用寿命、预计净残值和折旧方法进行复核。减值测试方法及减值准备计提方法参见除存货及金融资产 外的其他资产减值。</w:t>
      </w:r>
    </w:p>
    <w:p>
      <w:pPr>
        <w:widowControl w:val="0"/>
        <w:spacing w:after="279" w:line="1" w:lineRule="exact"/>
      </w:pPr>
    </w:p>
    <w:p>
      <w:pPr>
        <w:pStyle w:val="Style34"/>
        <w:keepNext/>
        <w:keepLines/>
        <w:widowControl w:val="0"/>
        <w:shd w:val="clear" w:color="auto" w:fill="auto"/>
        <w:bidi w:val="0"/>
        <w:spacing w:before="0" w:after="280" w:line="240" w:lineRule="auto"/>
        <w:ind w:left="0" w:right="0" w:firstLine="0"/>
        <w:jc w:val="both"/>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）处置</w:t>
      </w:r>
      <w:bookmarkEnd w:id="898"/>
      <w:bookmarkEnd w:id="899"/>
      <w:bookmarkEnd w:id="901"/>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固定资产满足下述条件之一时，本集团会予以终止确认。</w:t>
      </w:r>
    </w:p>
    <w:p>
      <w:pPr>
        <w:pStyle w:val="Style21"/>
        <w:keepNext w:val="0"/>
        <w:keepLines w:val="0"/>
        <w:widowControl w:val="0"/>
        <w:numPr>
          <w:ilvl w:val="0"/>
          <w:numId w:val="19"/>
        </w:numPr>
        <w:shd w:val="clear" w:color="auto" w:fill="auto"/>
        <w:tabs>
          <w:tab w:pos="419" w:val="left"/>
        </w:tabs>
        <w:bidi w:val="0"/>
        <w:spacing w:before="0" w:after="0" w:line="310" w:lineRule="exact"/>
        <w:ind w:left="0" w:right="0" w:firstLine="0"/>
        <w:jc w:val="both"/>
      </w:pPr>
      <w:bookmarkStart w:id="902" w:name="bookmark902"/>
      <w:bookmarkEnd w:id="902"/>
      <w:r>
        <w:rPr>
          <w:color w:val="000000"/>
          <w:spacing w:val="0"/>
          <w:w w:val="100"/>
          <w:position w:val="0"/>
        </w:rPr>
        <w:t>固定资产处于处置状态；</w:t>
      </w:r>
    </w:p>
    <w:p>
      <w:pPr>
        <w:pStyle w:val="Style21"/>
        <w:keepNext w:val="0"/>
        <w:keepLines w:val="0"/>
        <w:widowControl w:val="0"/>
        <w:numPr>
          <w:ilvl w:val="0"/>
          <w:numId w:val="19"/>
        </w:numPr>
        <w:shd w:val="clear" w:color="auto" w:fill="auto"/>
        <w:tabs>
          <w:tab w:pos="419" w:val="left"/>
        </w:tabs>
        <w:bidi w:val="0"/>
        <w:spacing w:before="0" w:after="0" w:line="310" w:lineRule="exact"/>
        <w:ind w:left="0" w:right="0" w:firstLine="0"/>
        <w:jc w:val="both"/>
      </w:pPr>
      <w:bookmarkStart w:id="903" w:name="bookmark903"/>
      <w:bookmarkEnd w:id="903"/>
      <w:r>
        <w:rPr>
          <w:color w:val="000000"/>
          <w:spacing w:val="0"/>
          <w:w w:val="100"/>
          <w:position w:val="0"/>
        </w:rPr>
        <w:t>该固定资产预期通过使用或处置不能产生经济利益。</w:t>
      </w:r>
    </w:p>
    <w:p>
      <w:pPr>
        <w:pStyle w:val="Style2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报废或处置固定资产项目所产生的损益为处置所得款项净额与项目账面金额之间的差额，并于报废或处置日在损益中确认。</w:t>
      </w:r>
    </w:p>
    <w:p>
      <w:pPr>
        <w:pStyle w:val="Style34"/>
        <w:keepNext/>
        <w:keepLines/>
        <w:widowControl w:val="0"/>
        <w:shd w:val="clear" w:color="auto" w:fill="auto"/>
        <w:tabs>
          <w:tab w:pos="474" w:val="left"/>
        </w:tabs>
        <w:bidi w:val="0"/>
        <w:spacing w:before="0" w:after="280" w:line="240" w:lineRule="auto"/>
        <w:ind w:left="0" w:right="0" w:firstLine="0"/>
        <w:jc w:val="both"/>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1</w:t>
      </w:r>
      <w:bookmarkEnd w:id="90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4"/>
      <w:bookmarkEnd w:id="905"/>
      <w:bookmarkEnd w:id="907"/>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自行建造的固定资产的成本包括工程用物资、直接人工、符合资本化条件的借款费用和使该项资产达到预定可使用状态前所 发生的必要支出。</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自行建造的固定资产于达到预定可使用状态时转入固定资产，此前列于在建工程，且不计提折旧。</w:t>
      </w:r>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在建工程以成本减减值准备（参见除存货及金融资产外的其他资产减值）在资产负债表内列示。</w:t>
      </w:r>
    </w:p>
    <w:p>
      <w:pPr>
        <w:pStyle w:val="Style34"/>
        <w:keepNext/>
        <w:keepLines/>
        <w:widowControl w:val="0"/>
        <w:shd w:val="clear" w:color="auto" w:fill="auto"/>
        <w:tabs>
          <w:tab w:pos="474" w:val="left"/>
        </w:tabs>
        <w:bidi w:val="0"/>
        <w:spacing w:before="0" w:after="280" w:line="24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08"/>
      <w:bookmarkEnd w:id="909"/>
      <w:bookmarkEnd w:id="911"/>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本集团发生的可直接归属于符合资本化条件的资产的购建或者生产的借款费用，予以资本化并计入相关资产的成本，其他借 款费用均于发生当期确认为财务费用。</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在资本化期间内，本集团按照下列方法确定每一会计期间的利息资本化金额（包括折价或溢价的摊销）：</w:t>
      </w:r>
    </w:p>
    <w:p>
      <w:pPr>
        <w:pStyle w:val="Style21"/>
        <w:keepNext w:val="0"/>
        <w:keepLines w:val="0"/>
        <w:widowControl w:val="0"/>
        <w:numPr>
          <w:ilvl w:val="0"/>
          <w:numId w:val="19"/>
        </w:numPr>
        <w:shd w:val="clear" w:color="auto" w:fill="auto"/>
        <w:tabs>
          <w:tab w:pos="419" w:val="left"/>
        </w:tabs>
        <w:bidi w:val="0"/>
        <w:spacing w:before="0" w:after="0" w:line="310" w:lineRule="exact"/>
        <w:ind w:left="0" w:right="0" w:firstLine="0"/>
        <w:jc w:val="both"/>
      </w:pPr>
      <w:bookmarkStart w:id="912" w:name="bookmark912"/>
      <w:bookmarkEnd w:id="912"/>
      <w:r>
        <w:rPr>
          <w:color w:val="000000"/>
          <w:spacing w:val="0"/>
          <w:w w:val="100"/>
          <w:position w:val="0"/>
        </w:rPr>
        <w:t>对于为购建或者生产符合资本化条件的资产而借入的专门借款，本集团以专门借款按实际利率计算的当期利息费用， 减去将尚未动用的借款资金存入银行取得的利息收入或进行暂时性投资取得的投资收益后的金额确定专门借款应予资本化 的利息金额。</w:t>
      </w:r>
    </w:p>
    <w:p>
      <w:pPr>
        <w:pStyle w:val="Style21"/>
        <w:keepNext w:val="0"/>
        <w:keepLines w:val="0"/>
        <w:widowControl w:val="0"/>
        <w:numPr>
          <w:ilvl w:val="0"/>
          <w:numId w:val="19"/>
        </w:numPr>
        <w:shd w:val="clear" w:color="auto" w:fill="auto"/>
        <w:tabs>
          <w:tab w:pos="419" w:val="left"/>
        </w:tabs>
        <w:bidi w:val="0"/>
        <w:spacing w:before="0" w:after="0" w:line="310" w:lineRule="exact"/>
        <w:ind w:left="0" w:right="0" w:firstLine="0"/>
        <w:jc w:val="both"/>
      </w:pPr>
      <w:bookmarkStart w:id="913" w:name="bookmark913"/>
      <w:bookmarkEnd w:id="913"/>
      <w:r>
        <w:rPr>
          <w:color w:val="000000"/>
          <w:spacing w:val="0"/>
          <w:w w:val="100"/>
          <w:position w:val="0"/>
        </w:rPr>
        <w:t>对于为购建或者生产符合资本化条件的资产而占用的一般借款，本集团根据累计资产支出超过专门借款部分的资产支 出的加权平均数乘以所占用一般借款的资本化率，计算确定一般借款应予资本化的利息金额。资本化率是根据一般借款加权 平均的实际利率计算确定。</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本集团确定借款的实际利率时，是将借款在预期存续期间或适用的更短期间内的未来现金流量，折现为该借款初始确认时确 定的金额所使用的利率。</w:t>
      </w:r>
    </w:p>
    <w:p>
      <w:pPr>
        <w:pStyle w:val="Style21"/>
        <w:keepNext w:val="0"/>
        <w:keepLines w:val="0"/>
        <w:widowControl w:val="0"/>
        <w:shd w:val="clear" w:color="auto" w:fill="auto"/>
        <w:bidi w:val="0"/>
        <w:spacing w:before="0" w:after="280" w:line="310" w:lineRule="exact"/>
        <w:ind w:left="0" w:right="0" w:firstLine="0"/>
        <w:jc w:val="both"/>
      </w:pPr>
      <w:r>
        <w:rPr>
          <w:color w:val="000000"/>
          <w:spacing w:val="0"/>
          <w:w w:val="100"/>
          <w:position w:val="0"/>
        </w:rPr>
        <w:t>资本化期间是指本集团从借款费用开始资本化时点到停止资本化时点的期间，借款费用暂停资本化的期间不包括在内。当资 本支出和借款费用已经发生及为使资产达到预定可使用或可销售状态所必要的购建或生产活动已经开始时，借款费用开始 资本化。当购建或者生产符合资本化条件的资产达到预定可使用或者可销售状态时，借款费用停止资本化。对于符合资本化 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个月的，本集团暂停借款费用的资本化。</w:t>
      </w:r>
    </w:p>
    <w:p>
      <w:pPr>
        <w:pStyle w:val="Style34"/>
        <w:keepNext/>
        <w:keepLines/>
        <w:widowControl w:val="0"/>
        <w:shd w:val="clear" w:color="auto" w:fill="auto"/>
        <w:bidi w:val="0"/>
        <w:spacing w:before="0" w:after="380" w:line="240"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914"/>
      <w:bookmarkEnd w:id="915"/>
      <w:bookmarkEnd w:id="917"/>
    </w:p>
    <w:p>
      <w:pPr>
        <w:pStyle w:val="Style34"/>
        <w:keepNext/>
        <w:keepLines/>
        <w:widowControl w:val="0"/>
        <w:shd w:val="clear" w:color="auto" w:fill="auto"/>
        <w:bidi w:val="0"/>
        <w:spacing w:before="0" w:after="260" w:line="240" w:lineRule="auto"/>
        <w:ind w:left="0" w:right="0" w:firstLine="0"/>
        <w:jc w:val="both"/>
      </w:pPr>
      <w:bookmarkStart w:id="914" w:name="bookmark914"/>
      <w:bookmarkStart w:id="915" w:name="bookmark915"/>
      <w:bookmarkStart w:id="918" w:name="bookmark918"/>
      <w:bookmarkStart w:id="919" w:name="bookmark919"/>
      <w:r>
        <w:rPr>
          <w:color w:val="000000"/>
          <w:spacing w:val="0"/>
          <w:w w:val="100"/>
          <w:position w:val="0"/>
        </w:rPr>
        <w:t>（</w:t>
      </w:r>
      <w:bookmarkEnd w:id="91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4"/>
      <w:bookmarkEnd w:id="915"/>
      <w:bookmarkEnd w:id="919"/>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无形资产以成本减累计摊销（仅限于使用寿命有限的无形资产）及减值准备后在资产负债表内列示。对于使用寿命有限的无 形资产，本集团将无形资产的成本扣除预计净残值和累计减值准备后按直线法在预计使用寿命期内摊销。</w:t>
      </w:r>
    </w:p>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各项无形资产的摊销年限为：</w:t>
      </w:r>
    </w:p>
    <w:tbl>
      <w:tblPr>
        <w:tblOverlap w:val="never"/>
        <w:jc w:val="center"/>
        <w:tblLayout w:type="fixed"/>
      </w:tblPr>
      <w:tblGrid>
        <w:gridCol w:w="4858"/>
        <w:gridCol w:w="4858"/>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摊销年限（年）</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按土地使用期限摊销</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本集团至少在每年年度终了对使用寿命有限的无形资产的使用寿命及摊销方法进行复核。</w:t>
      </w:r>
    </w:p>
    <w:p>
      <w:pPr>
        <w:widowControl w:val="0"/>
        <w:spacing w:after="379" w:line="1" w:lineRule="exact"/>
      </w:pPr>
    </w:p>
    <w:p>
      <w:pPr>
        <w:pStyle w:val="Style34"/>
        <w:keepNext/>
        <w:keepLines/>
        <w:widowControl w:val="0"/>
        <w:shd w:val="clear" w:color="auto" w:fill="auto"/>
        <w:bidi w:val="0"/>
        <w:spacing w:before="0" w:after="260" w:line="240" w:lineRule="auto"/>
        <w:ind w:left="0" w:right="0" w:firstLine="0"/>
        <w:jc w:val="both"/>
      </w:pPr>
      <w:bookmarkStart w:id="920" w:name="bookmark920"/>
      <w:bookmarkStart w:id="921" w:name="bookmark921"/>
      <w:bookmarkStart w:id="922" w:name="bookmark922"/>
      <w:bookmarkStart w:id="923" w:name="bookmark923"/>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0"/>
      <w:bookmarkEnd w:id="921"/>
      <w:bookmarkEnd w:id="923"/>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本集团内部研究开发项目的支出分为研究阶段支出和开发阶段支出。</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研究阶段：为获取并理解新的科学或技术知识等而进行的独创性的有计划调查、研究活动的阶段。</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开发阶段：在进行商业性生产或使用前，将研究成果或其他知识应用于某项计划或设计，以生产出新的或具有实质性改进的 材料、装置、产品等活动的阶段。</w:t>
      </w:r>
    </w:p>
    <w:p>
      <w:pPr>
        <w:pStyle w:val="Style2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研究阶段的支出，于发生时计入当期损益。开发阶段的支出，如果开发形成的某项产品或工序等在技术和商业上可行，而且 本集团有充足的资源和意向完成开发工作，并且开发阶段支出能够可靠计量，则开发阶段的支出便会予以资本化。资本化开 发支出按成本减减值准备在资产负债表内列示。其他开发费用则在其产生的期间内确认为费用。</w:t>
      </w:r>
    </w:p>
    <w:p>
      <w:pPr>
        <w:pStyle w:val="Style34"/>
        <w:keepNext/>
        <w:keepLines/>
        <w:widowControl w:val="0"/>
        <w:shd w:val="clear" w:color="auto" w:fill="auto"/>
        <w:bidi w:val="0"/>
        <w:spacing w:before="0" w:after="260" w:line="240" w:lineRule="auto"/>
        <w:ind w:left="0" w:right="0" w:firstLine="0"/>
        <w:jc w:val="both"/>
      </w:pPr>
      <w:bookmarkStart w:id="924" w:name="bookmark924"/>
      <w:bookmarkStart w:id="925" w:name="bookmark925"/>
      <w:bookmarkStart w:id="926" w:name="bookmark926"/>
      <w:bookmarkStart w:id="927" w:name="bookmark927"/>
      <w:r>
        <w:rPr>
          <w:rFonts w:ascii="Times New Roman" w:eastAsia="Times New Roman" w:hAnsi="Times New Roman" w:cs="Times New Roman"/>
          <w:color w:val="000000"/>
          <w:spacing w:val="0"/>
          <w:w w:val="100"/>
          <w:position w:val="0"/>
        </w:rPr>
        <w:t>1</w:t>
      </w:r>
      <w:bookmarkEnd w:id="926"/>
      <w:r>
        <w:rPr>
          <w:rFonts w:ascii="Times New Roman" w:eastAsia="Times New Roman" w:hAnsi="Times New Roman" w:cs="Times New Roman"/>
          <w:color w:val="000000"/>
          <w:spacing w:val="0"/>
          <w:w w:val="100"/>
          <w:position w:val="0"/>
        </w:rPr>
        <w:t>8</w:t>
      </w:r>
      <w:r>
        <w:rPr>
          <w:color w:val="000000"/>
          <w:spacing w:val="0"/>
          <w:w w:val="100"/>
          <w:position w:val="0"/>
        </w:rPr>
        <w:t>、长期资产减值</w:t>
      </w:r>
      <w:bookmarkEnd w:id="924"/>
      <w:bookmarkEnd w:id="925"/>
      <w:bookmarkEnd w:id="927"/>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除存货及金融资产外的其他资产减值</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本集团在资产负债表日根据内部及外部信息以确定下列资产是否存在减值的迹象，包括：</w:t>
      </w:r>
    </w:p>
    <w:p>
      <w:pPr>
        <w:pStyle w:val="Style21"/>
        <w:keepNext w:val="0"/>
        <w:keepLines w:val="0"/>
        <w:widowControl w:val="0"/>
        <w:numPr>
          <w:ilvl w:val="0"/>
          <w:numId w:val="19"/>
        </w:numPr>
        <w:shd w:val="clear" w:color="auto" w:fill="auto"/>
        <w:tabs>
          <w:tab w:pos="426" w:val="left"/>
        </w:tabs>
        <w:bidi w:val="0"/>
        <w:spacing w:before="0" w:after="0" w:line="312" w:lineRule="exact"/>
        <w:ind w:left="0" w:right="0" w:firstLine="0"/>
        <w:jc w:val="both"/>
      </w:pPr>
      <w:bookmarkStart w:id="928" w:name="bookmark928"/>
      <w:bookmarkEnd w:id="928"/>
      <w:r>
        <w:rPr>
          <w:color w:val="000000"/>
          <w:spacing w:val="0"/>
          <w:w w:val="100"/>
          <w:position w:val="0"/>
        </w:rPr>
        <w:t>固定资产</w:t>
      </w:r>
    </w:p>
    <w:p>
      <w:pPr>
        <w:pStyle w:val="Style21"/>
        <w:keepNext w:val="0"/>
        <w:keepLines w:val="0"/>
        <w:widowControl w:val="0"/>
        <w:numPr>
          <w:ilvl w:val="0"/>
          <w:numId w:val="19"/>
        </w:numPr>
        <w:shd w:val="clear" w:color="auto" w:fill="auto"/>
        <w:tabs>
          <w:tab w:pos="426" w:val="left"/>
        </w:tabs>
        <w:bidi w:val="0"/>
        <w:spacing w:before="0" w:after="0" w:line="312" w:lineRule="exact"/>
        <w:ind w:left="0" w:right="0" w:firstLine="0"/>
        <w:jc w:val="both"/>
      </w:pPr>
      <w:bookmarkStart w:id="929" w:name="bookmark929"/>
      <w:bookmarkEnd w:id="929"/>
      <w:r>
        <w:rPr>
          <w:color w:val="000000"/>
          <w:spacing w:val="0"/>
          <w:w w:val="100"/>
          <w:position w:val="0"/>
        </w:rPr>
        <w:t>在建工程</w:t>
      </w:r>
    </w:p>
    <w:p>
      <w:pPr>
        <w:pStyle w:val="Style21"/>
        <w:keepNext w:val="0"/>
        <w:keepLines w:val="0"/>
        <w:widowControl w:val="0"/>
        <w:numPr>
          <w:ilvl w:val="0"/>
          <w:numId w:val="19"/>
        </w:numPr>
        <w:shd w:val="clear" w:color="auto" w:fill="auto"/>
        <w:tabs>
          <w:tab w:pos="426" w:val="left"/>
        </w:tabs>
        <w:bidi w:val="0"/>
        <w:spacing w:before="0" w:after="0" w:line="312" w:lineRule="exact"/>
        <w:ind w:left="0" w:right="0" w:firstLine="0"/>
        <w:jc w:val="both"/>
      </w:pPr>
      <w:bookmarkStart w:id="930" w:name="bookmark930"/>
      <w:bookmarkEnd w:id="930"/>
      <w:r>
        <w:rPr>
          <w:color w:val="000000"/>
          <w:spacing w:val="0"/>
          <w:w w:val="100"/>
          <w:position w:val="0"/>
        </w:rPr>
        <w:t>无形资产</w:t>
      </w:r>
    </w:p>
    <w:p>
      <w:pPr>
        <w:pStyle w:val="Style21"/>
        <w:keepNext w:val="0"/>
        <w:keepLines w:val="0"/>
        <w:widowControl w:val="0"/>
        <w:numPr>
          <w:ilvl w:val="0"/>
          <w:numId w:val="19"/>
        </w:numPr>
        <w:shd w:val="clear" w:color="auto" w:fill="auto"/>
        <w:tabs>
          <w:tab w:pos="426" w:val="left"/>
        </w:tabs>
        <w:bidi w:val="0"/>
        <w:spacing w:before="0" w:after="0" w:line="312" w:lineRule="exact"/>
        <w:ind w:left="0" w:right="0" w:firstLine="0"/>
        <w:jc w:val="both"/>
      </w:pPr>
      <w:bookmarkStart w:id="931" w:name="bookmark931"/>
      <w:bookmarkEnd w:id="931"/>
      <w:r>
        <w:rPr>
          <w:color w:val="000000"/>
          <w:spacing w:val="0"/>
          <w:w w:val="100"/>
          <w:position w:val="0"/>
        </w:rPr>
        <w:t>长期股权投资</w:t>
      </w:r>
    </w:p>
    <w:p>
      <w:pPr>
        <w:pStyle w:val="Style21"/>
        <w:keepNext w:val="0"/>
        <w:keepLines w:val="0"/>
        <w:widowControl w:val="0"/>
        <w:numPr>
          <w:ilvl w:val="0"/>
          <w:numId w:val="19"/>
        </w:numPr>
        <w:shd w:val="clear" w:color="auto" w:fill="auto"/>
        <w:tabs>
          <w:tab w:pos="426" w:val="left"/>
        </w:tabs>
        <w:bidi w:val="0"/>
        <w:spacing w:before="0" w:after="0" w:line="312" w:lineRule="exact"/>
        <w:ind w:left="0" w:right="0" w:firstLine="0"/>
        <w:jc w:val="both"/>
      </w:pPr>
      <w:bookmarkStart w:id="932" w:name="bookmark932"/>
      <w:bookmarkEnd w:id="932"/>
      <w:r>
        <w:rPr>
          <w:color w:val="000000"/>
          <w:spacing w:val="0"/>
          <w:w w:val="100"/>
          <w:position w:val="0"/>
        </w:rPr>
        <w:t>长期待摊费用等</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本集团对存在减值迹象的资产进行减值测试，估计资产的可收回金额。</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可收回金额是指资产（或资产组、资产组组合，下同）的公允价值减去处置费用后的净额与资产预计未来现金流量的现值两 者之间较高者。</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资产组由创造现金流入相关的资产组成，是可以认定的最小资产组合，其产生的现金流入基本上独立于其他资产或者资产 组。</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资产预计未来现金流量的现值，按照资产在持续使用过程中和最终处置时所产生的预计未来现金流量，选择恰当的税前折现 率对其进行折现后的金额加以确定。</w:t>
      </w:r>
    </w:p>
    <w:p>
      <w:pPr>
        <w:pStyle w:val="Style21"/>
        <w:keepNext w:val="0"/>
        <w:keepLines w:val="0"/>
        <w:widowControl w:val="0"/>
        <w:shd w:val="clear" w:color="auto" w:fill="auto"/>
        <w:bidi w:val="0"/>
        <w:spacing w:before="0" w:after="260" w:line="312" w:lineRule="exact"/>
        <w:ind w:left="0" w:right="0" w:firstLine="0"/>
        <w:jc w:val="both"/>
        <w:sectPr>
          <w:headerReference w:type="default" r:id="rId213"/>
          <w:footerReference w:type="default" r:id="rId214"/>
          <w:headerReference w:type="even" r:id="rId215"/>
          <w:footerReference w:type="even" r:id="rId216"/>
          <w:footnotePr>
            <w:pos w:val="pageBottom"/>
            <w:numFmt w:val="decimal"/>
            <w:numRestart w:val="continuous"/>
          </w:footnotePr>
          <w:type w:val="continuous"/>
          <w:pgSz w:w="11900" w:h="16840"/>
          <w:pgMar w:top="1404" w:right="1042" w:bottom="1266" w:left="1084" w:header="0" w:footer="3" w:gutter="0"/>
          <w:cols w:space="720"/>
          <w:noEndnote/>
          <w:rtlGutter w:val="0"/>
          <w:docGrid w:linePitch="360"/>
        </w:sectPr>
      </w:pPr>
      <w:r>
        <w:rPr>
          <w:color w:val="000000"/>
          <w:spacing w:val="0"/>
          <w:w w:val="100"/>
          <w:position w:val="0"/>
        </w:rPr>
        <w:t>可收回金额的估计结果表明，资产的可收回金额低于其账面价值的，资产的账面价值会减记至可收回金额，减记的金额确认 为资产减值损失，计入当期损益，同时计提相应的资产减值准备。与资产组或者资产组组合相关的减值损失，先抵减分摊至 该资产组或者资产组组合中商誉的账面价值，再根据资产组或者资产组组合中除商誉之外的其他各项资产的账面价值所占 比重，按比例抵减其他各项资产的账面价值，但抵减后的各资产的账面价值不得低于该资产的公允价值减去处置费用后的净</w:t>
      </w:r>
    </w:p>
    <w:p>
      <w:pPr>
        <w:pStyle w:val="Style21"/>
        <w:keepNext w:val="0"/>
        <w:keepLines w:val="0"/>
        <w:widowControl w:val="0"/>
        <w:shd w:val="clear" w:color="auto" w:fill="auto"/>
        <w:bidi w:val="0"/>
        <w:spacing w:before="0" w:after="0" w:line="312" w:lineRule="exact"/>
        <w:ind w:left="0" w:right="0" w:firstLine="3620"/>
        <w:jc w:val="left"/>
      </w:pPr>
      <w:r>
        <w:drawing>
          <wp:anchor distT="0" distB="0" distL="114300" distR="114300" simplePos="0" relativeHeight="125829411" behindDoc="0" locked="0" layoutInCell="1" allowOverlap="1">
            <wp:simplePos x="0" y="0"/>
            <wp:positionH relativeFrom="page">
              <wp:posOffset>713105</wp:posOffset>
            </wp:positionH>
            <wp:positionV relativeFrom="margin">
              <wp:posOffset>-210185</wp:posOffset>
            </wp:positionV>
            <wp:extent cx="774065" cy="396240"/>
            <wp:wrapSquare wrapText="bothSides"/>
            <wp:docPr id="582" name="Shape 582"/>
            <a:graphic xmlns:a="http://schemas.openxmlformats.org/drawingml/2006/main">
              <a:graphicData uri="http://schemas.openxmlformats.org/drawingml/2006/picture">
                <pic:pic xmlns:pic="http://schemas.openxmlformats.org/drawingml/2006/picture">
                  <pic:nvPicPr>
                    <pic:cNvPr id="583" name="Picture box 583"/>
                    <pic:cNvPicPr/>
                  </pic:nvPicPr>
                  <pic:blipFill>
                    <a:blip r:embed="rId217"/>
                    <a:stretch/>
                  </pic:blipFill>
                  <pic:spPr>
                    <a:xfrm>
                      <a:ext cx="774065" cy="396240"/>
                    </a:xfrm>
                    <a:prstGeom prst="rect"/>
                  </pic:spPr>
                </pic:pic>
              </a:graphicData>
            </a:graphic>
          </wp:anchor>
        </w:drawing>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额(如可确定的)、该资产预计未来现金流量的现值(如可确定的)和零三者之中最高者。</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资产减值损失一经确认，在以后会计期间不会转回。</w:t>
      </w:r>
    </w:p>
    <w:p>
      <w:pPr>
        <w:pStyle w:val="Style34"/>
        <w:keepNext/>
        <w:keepLines/>
        <w:widowControl w:val="0"/>
        <w:shd w:val="clear" w:color="auto" w:fill="auto"/>
        <w:bidi w:val="0"/>
        <w:spacing w:before="0" w:after="260" w:line="240"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933"/>
      <w:bookmarkEnd w:id="934"/>
      <w:bookmarkEnd w:id="936"/>
    </w:p>
    <w:p>
      <w:pPr>
        <w:pStyle w:val="Style2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长期待摊费用在受益期限内分期平均摊销。长期待摊费用在取得时按照实际成本计价，开办费在发生时计入当期损益；经营 性租赁固定资产的装修费用在可使用年限和租赁期两者较低年限进行平均摊销，其他长期待摊费用按项目的受益期平均摊 销。对于在以后会计期间已无法带来预期经济利益的长期待摊费用，本公司对其尚未摊销的摊余价值全部转入当期损益。</w:t>
      </w:r>
    </w:p>
    <w:p>
      <w:pPr>
        <w:pStyle w:val="Style34"/>
        <w:keepNext/>
        <w:keepLines/>
        <w:widowControl w:val="0"/>
        <w:shd w:val="clear" w:color="auto" w:fill="auto"/>
        <w:bidi w:val="0"/>
        <w:spacing w:before="0" w:after="380" w:line="240" w:lineRule="auto"/>
        <w:ind w:left="0" w:right="0" w:firstLine="0"/>
        <w:jc w:val="both"/>
      </w:pPr>
      <w:bookmarkStart w:id="937" w:name="bookmark937"/>
      <w:bookmarkStart w:id="938" w:name="bookmark938"/>
      <w:bookmarkStart w:id="939" w:name="bookmark939"/>
      <w:bookmarkStart w:id="940" w:name="bookmark940"/>
      <w:r>
        <w:rPr>
          <w:rFonts w:ascii="Times New Roman" w:eastAsia="Times New Roman" w:hAnsi="Times New Roman" w:cs="Times New Roman"/>
          <w:color w:val="000000"/>
          <w:spacing w:val="0"/>
          <w:w w:val="100"/>
          <w:position w:val="0"/>
        </w:rPr>
        <w:t>2</w:t>
      </w:r>
      <w:bookmarkEnd w:id="939"/>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937"/>
      <w:bookmarkEnd w:id="938"/>
      <w:bookmarkEnd w:id="940"/>
    </w:p>
    <w:p>
      <w:pPr>
        <w:pStyle w:val="Style21"/>
        <w:keepNext w:val="0"/>
        <w:keepLines w:val="0"/>
        <w:widowControl w:val="0"/>
        <w:shd w:val="clear" w:color="auto" w:fill="auto"/>
        <w:bidi w:val="0"/>
        <w:spacing w:before="0" w:after="380" w:line="240" w:lineRule="auto"/>
        <w:ind w:left="0" w:right="0" w:firstLine="0"/>
        <w:jc w:val="both"/>
      </w:pPr>
      <w:r>
        <w:rPr>
          <w:color w:val="000000"/>
          <w:spacing w:val="0"/>
          <w:w w:val="100"/>
          <w:position w:val="0"/>
        </w:rPr>
        <w:t>是指本集团已收或应收客户对价而应向客户转让商品或服务的义务。同一合同下的合同资产和合同负债以净额列示。</w:t>
      </w:r>
    </w:p>
    <w:p>
      <w:pPr>
        <w:pStyle w:val="Style34"/>
        <w:keepNext/>
        <w:keepLines/>
        <w:widowControl w:val="0"/>
        <w:shd w:val="clear" w:color="auto" w:fill="auto"/>
        <w:bidi w:val="0"/>
        <w:spacing w:before="0" w:after="380" w:line="240" w:lineRule="auto"/>
        <w:ind w:left="0" w:right="0" w:firstLine="0"/>
        <w:jc w:val="both"/>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2</w:t>
      </w:r>
      <w:bookmarkEnd w:id="943"/>
      <w:r>
        <w:rPr>
          <w:rFonts w:ascii="Times New Roman" w:eastAsia="Times New Roman" w:hAnsi="Times New Roman" w:cs="Times New Roman"/>
          <w:color w:val="000000"/>
          <w:spacing w:val="0"/>
          <w:w w:val="100"/>
          <w:position w:val="0"/>
        </w:rPr>
        <w:t>1</w:t>
      </w:r>
      <w:r>
        <w:rPr>
          <w:color w:val="000000"/>
          <w:spacing w:val="0"/>
          <w:w w:val="100"/>
          <w:position w:val="0"/>
        </w:rPr>
        <w:t>、职工薪酬</w:t>
      </w:r>
      <w:bookmarkEnd w:id="941"/>
      <w:bookmarkEnd w:id="942"/>
      <w:bookmarkEnd w:id="944"/>
    </w:p>
    <w:p>
      <w:pPr>
        <w:pStyle w:val="Style34"/>
        <w:keepNext/>
        <w:keepLines/>
        <w:widowControl w:val="0"/>
        <w:numPr>
          <w:ilvl w:val="0"/>
          <w:numId w:val="29"/>
        </w:numPr>
        <w:shd w:val="clear" w:color="auto" w:fill="auto"/>
        <w:bidi w:val="0"/>
        <w:spacing w:before="0" w:after="260" w:line="240" w:lineRule="auto"/>
        <w:ind w:left="0" w:right="0" w:firstLine="140"/>
        <w:jc w:val="left"/>
      </w:pPr>
      <w:bookmarkStart w:id="941" w:name="bookmark941"/>
      <w:bookmarkStart w:id="942" w:name="bookmark942"/>
      <w:bookmarkStart w:id="945" w:name="bookmark945"/>
      <w:bookmarkStart w:id="946" w:name="bookmark946"/>
      <w:bookmarkEnd w:id="945"/>
      <w:r>
        <w:rPr>
          <w:color w:val="000000"/>
          <w:spacing w:val="0"/>
          <w:w w:val="100"/>
          <w:position w:val="0"/>
        </w:rPr>
        <w:t>短期薪酬的会计处理方法</w:t>
      </w:r>
      <w:bookmarkEnd w:id="941"/>
      <w:bookmarkEnd w:id="942"/>
      <w:bookmarkEnd w:id="946"/>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本集团在职工提供服务的会计期间，将实际发生或按规定的基准和比例计提的职工工资、奖金、医疗保险费、工伤保险费和 生育保险费等社会保险费和住房公积金，确认为负债，并计入当期损益或相关资产成本。</w:t>
      </w:r>
    </w:p>
    <w:p>
      <w:pPr>
        <w:pStyle w:val="Style34"/>
        <w:keepNext/>
        <w:keepLines/>
        <w:widowControl w:val="0"/>
        <w:numPr>
          <w:ilvl w:val="0"/>
          <w:numId w:val="29"/>
        </w:numPr>
        <w:shd w:val="clear" w:color="auto" w:fill="auto"/>
        <w:bidi w:val="0"/>
        <w:spacing w:before="0" w:after="260" w:line="240" w:lineRule="auto"/>
        <w:ind w:left="0" w:right="0" w:firstLine="140"/>
        <w:jc w:val="left"/>
      </w:pPr>
      <w:bookmarkStart w:id="947" w:name="bookmark947"/>
      <w:bookmarkStart w:id="948" w:name="bookmark948"/>
      <w:bookmarkStart w:id="949" w:name="bookmark949"/>
      <w:bookmarkStart w:id="950" w:name="bookmark950"/>
      <w:bookmarkEnd w:id="949"/>
      <w:r>
        <w:rPr>
          <w:color w:val="000000"/>
          <w:spacing w:val="0"/>
          <w:w w:val="100"/>
          <w:position w:val="0"/>
        </w:rPr>
        <w:t>离职后福利的会计处理方法</w:t>
      </w:r>
      <w:bookmarkEnd w:id="947"/>
      <w:bookmarkEnd w:id="948"/>
      <w:bookmarkEnd w:id="950"/>
    </w:p>
    <w:p>
      <w:pPr>
        <w:pStyle w:val="Style2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本集团所参与的设定提存计划是按照中国有关法规要求，本集团职工参加的由政府机构设立管理的社会保障体系中的基本 养老保险。基本养老保险的缴费金额按国家规定的基准和比例计算。本集团在职工提供服务的会计期间，将应缴存的金额确 认为负债，并计入当期损益或相关资产成本。</w:t>
      </w:r>
    </w:p>
    <w:p>
      <w:pPr>
        <w:pStyle w:val="Style34"/>
        <w:keepNext/>
        <w:keepLines/>
        <w:widowControl w:val="0"/>
        <w:numPr>
          <w:ilvl w:val="0"/>
          <w:numId w:val="29"/>
        </w:numPr>
        <w:shd w:val="clear" w:color="auto" w:fill="auto"/>
        <w:bidi w:val="0"/>
        <w:spacing w:before="0" w:after="260" w:line="240" w:lineRule="auto"/>
        <w:ind w:left="0" w:right="0" w:firstLine="140"/>
        <w:jc w:val="left"/>
      </w:pPr>
      <w:bookmarkStart w:id="951" w:name="bookmark951"/>
      <w:bookmarkStart w:id="952" w:name="bookmark952"/>
      <w:bookmarkStart w:id="953" w:name="bookmark953"/>
      <w:bookmarkStart w:id="954" w:name="bookmark954"/>
      <w:bookmarkEnd w:id="953"/>
      <w:r>
        <w:rPr>
          <w:color w:val="000000"/>
          <w:spacing w:val="0"/>
          <w:w w:val="100"/>
          <w:position w:val="0"/>
        </w:rPr>
        <w:t>辞退福利的会计处理方法</w:t>
      </w:r>
      <w:bookmarkEnd w:id="951"/>
      <w:bookmarkEnd w:id="952"/>
      <w:bookmarkEnd w:id="954"/>
    </w:p>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本集团在职工劳动合同到期之前解除与职工的劳动关系，或者为鼓励职工自愿接受裁减而提出给予补偿的建议，在下列两者 孰早日，确认辞退福利产生的负债，同时计入当期损益：</w:t>
      </w:r>
    </w:p>
    <w:p>
      <w:pPr>
        <w:pStyle w:val="Style21"/>
        <w:keepNext w:val="0"/>
        <w:keepLines w:val="0"/>
        <w:widowControl w:val="0"/>
        <w:numPr>
          <w:ilvl w:val="0"/>
          <w:numId w:val="19"/>
        </w:numPr>
        <w:shd w:val="clear" w:color="auto" w:fill="auto"/>
        <w:tabs>
          <w:tab w:pos="422" w:val="left"/>
        </w:tabs>
        <w:bidi w:val="0"/>
        <w:spacing w:before="0" w:after="0" w:line="360" w:lineRule="auto"/>
        <w:ind w:left="0" w:right="0" w:firstLine="0"/>
        <w:jc w:val="both"/>
      </w:pPr>
      <w:bookmarkStart w:id="955" w:name="bookmark955"/>
      <w:bookmarkEnd w:id="955"/>
      <w:r>
        <w:rPr>
          <w:color w:val="000000"/>
          <w:spacing w:val="0"/>
          <w:w w:val="100"/>
          <w:position w:val="0"/>
        </w:rPr>
        <w:t>本集团不能单方面撤回因解除劳动关系计划或裁减建议所提供的辞退福利时；</w:t>
      </w:r>
    </w:p>
    <w:p>
      <w:pPr>
        <w:pStyle w:val="Style21"/>
        <w:keepNext w:val="0"/>
        <w:keepLines w:val="0"/>
        <w:widowControl w:val="0"/>
        <w:numPr>
          <w:ilvl w:val="0"/>
          <w:numId w:val="19"/>
        </w:numPr>
        <w:shd w:val="clear" w:color="auto" w:fill="auto"/>
        <w:tabs>
          <w:tab w:pos="422" w:val="left"/>
        </w:tabs>
        <w:bidi w:val="0"/>
        <w:spacing w:before="0" w:after="380" w:line="312" w:lineRule="exact"/>
        <w:ind w:left="0" w:right="0" w:firstLine="0"/>
        <w:jc w:val="both"/>
      </w:pPr>
      <w:bookmarkStart w:id="956" w:name="bookmark956"/>
      <w:bookmarkEnd w:id="956"/>
      <w:r>
        <w:rPr>
          <w:color w:val="000000"/>
          <w:spacing w:val="0"/>
          <w:w w:val="100"/>
          <w:position w:val="0"/>
        </w:rPr>
        <w:t>本集团有详细、正式的涉及支付辞退福利的重组计划；并且，该重组计划已开始实施，或已向受其影响的各方通告了 该计划的主要内容，从而使各方形成了对本集团将实施重组的合理预期。</w:t>
      </w:r>
    </w:p>
    <w:p>
      <w:pPr>
        <w:pStyle w:val="Style34"/>
        <w:keepNext/>
        <w:keepLines/>
        <w:widowControl w:val="0"/>
        <w:shd w:val="clear" w:color="auto" w:fill="auto"/>
        <w:bidi w:val="0"/>
        <w:spacing w:before="0" w:after="260" w:line="240" w:lineRule="auto"/>
        <w:ind w:left="0" w:right="0" w:firstLine="0"/>
        <w:jc w:val="both"/>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2</w:t>
      </w:r>
      <w:bookmarkEnd w:id="959"/>
      <w:r>
        <w:rPr>
          <w:rFonts w:ascii="Times New Roman" w:eastAsia="Times New Roman" w:hAnsi="Times New Roman" w:cs="Times New Roman"/>
          <w:color w:val="000000"/>
          <w:spacing w:val="0"/>
          <w:w w:val="100"/>
          <w:position w:val="0"/>
        </w:rPr>
        <w:t>2</w:t>
      </w:r>
      <w:r>
        <w:rPr>
          <w:color w:val="000000"/>
          <w:spacing w:val="0"/>
          <w:w w:val="100"/>
          <w:position w:val="0"/>
        </w:rPr>
        <w:t>、预计负债</w:t>
      </w:r>
      <w:bookmarkEnd w:id="957"/>
      <w:bookmarkEnd w:id="958"/>
      <w:bookmarkEnd w:id="960"/>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如果与或有事项相关的义务是本集团承担的现时义务，且该义务的履行很可能会导致经济利益流出本集团，以及有关金额能 够可靠地计量，则本集团会确认预计负债。</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预计负债按照履行相关现时义务所需支出的最佳估计数进行初始计量。对于货币时间价值影响重大的，预计负债以预计未来 现金流量折现后的金额确定。在确定最佳估计数时，本集团综合考虑了与或有事项有关的风险、不确定性和货币时间价值等 因素。所需支出存在一个连续范围，且该范围内各种结果发生的可能性相同的，最佳估计数按照该范围内的中间值确定；在 其他情况下，最佳估计数分别下列情况处理：</w:t>
      </w:r>
    </w:p>
    <w:p>
      <w:pPr>
        <w:pStyle w:val="Style21"/>
        <w:keepNext w:val="0"/>
        <w:keepLines w:val="0"/>
        <w:widowControl w:val="0"/>
        <w:numPr>
          <w:ilvl w:val="0"/>
          <w:numId w:val="19"/>
        </w:numPr>
        <w:shd w:val="clear" w:color="auto" w:fill="auto"/>
        <w:tabs>
          <w:tab w:pos="422" w:val="left"/>
        </w:tabs>
        <w:bidi w:val="0"/>
        <w:spacing w:before="0" w:after="0" w:line="312" w:lineRule="exact"/>
        <w:ind w:left="0" w:right="0" w:firstLine="0"/>
        <w:jc w:val="both"/>
      </w:pPr>
      <w:bookmarkStart w:id="961" w:name="bookmark961"/>
      <w:bookmarkEnd w:id="961"/>
      <w:r>
        <w:rPr>
          <w:color w:val="000000"/>
          <w:spacing w:val="0"/>
          <w:w w:val="100"/>
          <w:position w:val="0"/>
        </w:rPr>
        <w:t>或有事项涉及单个项目的，按照最可能发生金额确定。</w:t>
      </w:r>
    </w:p>
    <w:p>
      <w:pPr>
        <w:pStyle w:val="Style21"/>
        <w:keepNext w:val="0"/>
        <w:keepLines w:val="0"/>
        <w:widowControl w:val="0"/>
        <w:numPr>
          <w:ilvl w:val="0"/>
          <w:numId w:val="19"/>
        </w:numPr>
        <w:shd w:val="clear" w:color="auto" w:fill="auto"/>
        <w:tabs>
          <w:tab w:pos="422" w:val="left"/>
        </w:tabs>
        <w:bidi w:val="0"/>
        <w:spacing w:before="0" w:after="0" w:line="312" w:lineRule="exact"/>
        <w:ind w:left="0" w:right="0" w:firstLine="0"/>
        <w:jc w:val="both"/>
      </w:pPr>
      <w:bookmarkStart w:id="962" w:name="bookmark962"/>
      <w:bookmarkEnd w:id="962"/>
      <w:r>
        <w:rPr>
          <w:color w:val="000000"/>
          <w:spacing w:val="0"/>
          <w:w w:val="100"/>
          <w:position w:val="0"/>
        </w:rPr>
        <w:t>或有事项涉及多个项目的，按照各种可能结果及相关概率计算确定。</w:t>
      </w:r>
    </w:p>
    <w:p>
      <w:pPr>
        <w:pStyle w:val="Style21"/>
        <w:keepNext w:val="0"/>
        <w:keepLines w:val="0"/>
        <w:widowControl w:val="0"/>
        <w:shd w:val="clear" w:color="auto" w:fill="auto"/>
        <w:bidi w:val="0"/>
        <w:spacing w:before="0" w:after="380" w:line="312" w:lineRule="exact"/>
        <w:ind w:left="0" w:right="0" w:firstLine="0"/>
        <w:jc w:val="both"/>
        <w:sectPr>
          <w:headerReference w:type="default" r:id="rId219"/>
          <w:footerReference w:type="default" r:id="rId220"/>
          <w:headerReference w:type="even" r:id="rId221"/>
          <w:footerReference w:type="even" r:id="rId222"/>
          <w:footnotePr>
            <w:pos w:val="pageBottom"/>
            <w:numFmt w:val="decimal"/>
            <w:numRestart w:val="continuous"/>
          </w:footnotePr>
          <w:pgSz w:w="11900" w:h="16840"/>
          <w:pgMar w:top="1404" w:right="1042" w:bottom="1266" w:left="1084" w:header="976" w:footer="3" w:gutter="0"/>
          <w:cols w:space="720"/>
          <w:noEndnote/>
          <w:rtlGutter w:val="0"/>
          <w:docGrid w:linePitch="360"/>
        </w:sectPr>
      </w:pPr>
      <w:r>
        <w:rPr>
          <w:color w:val="000000"/>
          <w:spacing w:val="0"/>
          <w:w w:val="100"/>
          <w:position w:val="0"/>
        </w:rPr>
        <w:t>本集团在资产负债表日对预计负债的账面价值进行复核，并按照当前最佳估计数对该账面价值进行调整。</w:t>
      </w:r>
    </w:p>
    <w:p>
      <w:pPr>
        <w:pStyle w:val="Style16"/>
        <w:keepNext/>
        <w:keepLines/>
        <w:widowControl w:val="0"/>
        <w:shd w:val="clear" w:color="auto" w:fill="auto"/>
        <w:tabs>
          <w:tab w:leader="underscore" w:pos="2702" w:val="left"/>
        </w:tabs>
        <w:bidi w:val="0"/>
        <w:spacing w:before="0" w:after="0" w:line="240" w:lineRule="auto"/>
        <w:ind w:left="0" w:right="0"/>
        <w:jc w:val="left"/>
      </w:pPr>
      <w:bookmarkStart w:id="963" w:name="bookmark963"/>
      <w:bookmarkStart w:id="964" w:name="bookmark964"/>
      <w:bookmarkStart w:id="965" w:name="bookmark965"/>
      <w:r>
        <w:rPr>
          <w:spacing w:val="0"/>
          <w:w w:val="100"/>
          <w:position w:val="0"/>
        </w:rPr>
        <w:t>i3R</w:t>
      </w:r>
      <w:r>
        <w:rPr>
          <w:color w:val="000000"/>
          <w:spacing w:val="0"/>
          <w:w w:val="100"/>
          <w:position w:val="0"/>
        </w:rPr>
        <w:tab/>
      </w:r>
      <w:bookmarkEnd w:id="963"/>
      <w:bookmarkEnd w:id="964"/>
      <w:bookmarkEnd w:id="965"/>
    </w:p>
    <w:p>
      <w:pPr>
        <w:pStyle w:val="Style34"/>
        <w:keepNext/>
        <w:keepLines/>
        <w:widowControl w:val="0"/>
        <w:shd w:val="clear" w:color="auto" w:fill="auto"/>
        <w:bidi w:val="0"/>
        <w:spacing w:before="0" w:after="280" w:line="240" w:lineRule="auto"/>
        <w:ind w:left="0" w:right="0" w:firstLine="0"/>
        <w:jc w:val="both"/>
      </w:pPr>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23</w:t>
      </w:r>
      <w:r>
        <w:rPr>
          <w:color w:val="000000"/>
          <w:spacing w:val="0"/>
          <w:w w:val="100"/>
          <w:position w:val="0"/>
        </w:rPr>
        <w:t>、收入</w:t>
      </w:r>
      <w:bookmarkEnd w:id="966"/>
      <w:bookmarkEnd w:id="967"/>
      <w:bookmarkEnd w:id="968"/>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收入确认和计量所采用的会计政策</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收入是本集团在日常活动中形成的、会导致股东权益增加且与股东投入资本无关的经济利益的总流入。 本集团在履行了合同中的履约义务，即在客户取得相关商品或服务的控制权时，确认收入。</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合同中包含两项或多项履约义务的，本集团在合同开始日，按照各单项履约义务所承诺商品或服务的单独售价的相对比例， 将交易价格分摊至各单项履约义务，按照分摊至各单项履约义务的交易价格计量收入。单独售价，是指本集团向客户单独销 售商品或提供服务的价格。单独售价无法直接观察的，本集团综合考虑能够合理取得的全部相关信息，并最大限度地采用可 观察的输入值估计单独售价。</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附有质量保证条款的合同，本集团对其所提供的质量保证的性质进行分析，如果质量保证在向客户保证所销售的商品符合既 定标准之外提供了一项单独服务，本集团将其作为单项履约义务。否则，本集团按照《企业会计准则第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号——或有事项》 的规定进行会计处理。</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交易价格是本集团因向客户转让商品或服务而预期有权收取的对价金额，不包括代第三方收取的款项。本集团确认的交易价 格不超过在相关不确定性消除时累计已确认收入极可能不会发生重大转回的金额。合同中存在重大融资成分的，本集团按照 假定客户在取得商品或服务控制权时即以现金支付的应付金额确定交易价格。该交易价格与合同对价之间的差额，在合同期 间内采用实际利率法摊销。合同开始日，本集团预计客户取得商品或服务控制权与客户支付价款间隔不超过一年的，不考虑 合同中存在的重大融资成分。</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满足下列条件之一时，本集团属于在某一时段内履行履约义务，否则，属于在某一时点履行履约义务：</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69" w:name="bookmark969"/>
      <w:bookmarkEnd w:id="969"/>
      <w:r>
        <w:rPr>
          <w:color w:val="000000"/>
          <w:spacing w:val="0"/>
          <w:w w:val="100"/>
          <w:position w:val="0"/>
        </w:rPr>
        <w:t>客户在本集团履约的同时即取得并消耗本集团履约所带来的经济利益；</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70" w:name="bookmark970"/>
      <w:bookmarkEnd w:id="970"/>
      <w:r>
        <w:rPr>
          <w:color w:val="000000"/>
          <w:spacing w:val="0"/>
          <w:w w:val="100"/>
          <w:position w:val="0"/>
        </w:rPr>
        <w:t>客户能够控制本集团履约过程中在建的商品；</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71" w:name="bookmark971"/>
      <w:bookmarkEnd w:id="971"/>
      <w:r>
        <w:rPr>
          <w:color w:val="000000"/>
          <w:spacing w:val="0"/>
          <w:w w:val="100"/>
          <w:position w:val="0"/>
        </w:rPr>
        <w:t>本集团履约过程中所产出的商品具有不可替代用途，且本集团在整个合同期间内有权就累计至今已完成的履约部分收 取款项。</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对于在某一时段内履行的履约义务，本集团在该段时间内按照履约进度确认收入。履约进度不能合理确定时，本集团已经发 生的成本预计能够得到补偿的，按照已经发生的成本金额确认收入，直到履约进度能够合理确定为止。</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对于在某一时点履行的履约义务，本集团在客户取得相关商品或服务控制权时点确认收入。在判断客户是否已取得商品或服 务控制权时，本集团会考虑下列迹象：</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72" w:name="bookmark972"/>
      <w:bookmarkEnd w:id="972"/>
      <w:r>
        <w:rPr>
          <w:color w:val="000000"/>
          <w:spacing w:val="0"/>
          <w:w w:val="100"/>
          <w:position w:val="0"/>
        </w:rPr>
        <w:t>本集团就该商品或服务享有现时收款权利；</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73" w:name="bookmark973"/>
      <w:bookmarkEnd w:id="973"/>
      <w:r>
        <w:rPr>
          <w:color w:val="000000"/>
          <w:spacing w:val="0"/>
          <w:w w:val="100"/>
          <w:position w:val="0"/>
        </w:rPr>
        <w:t>本集团已将该商品的实物转移给客户；</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74" w:name="bookmark974"/>
      <w:bookmarkEnd w:id="974"/>
      <w:r>
        <w:rPr>
          <w:color w:val="000000"/>
          <w:spacing w:val="0"/>
          <w:w w:val="100"/>
          <w:position w:val="0"/>
        </w:rPr>
        <w:t>本集团已将该商品的法定所有权或所有权上的主要风险和报酬转移给客户；</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75" w:name="bookmark975"/>
      <w:bookmarkEnd w:id="975"/>
      <w:r>
        <w:rPr>
          <w:color w:val="000000"/>
          <w:spacing w:val="0"/>
          <w:w w:val="100"/>
          <w:position w:val="0"/>
        </w:rPr>
        <w:t>客户已接受该商品或服务等。</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本集团根据在向客户转让商品或服务前是否拥有对该商品或服务的控制权，来判断本集团从事交易时的身份是主要责任人 还是代理人。本集团在向客户转让商品或服务前能够控制该商品或服务的，本集团为主要责任人，按照已收或应收对价总额 确认收入；否则，本集团为代理人，按照预期有权收取的佣金或手续费的金额确认收入，该金额按照已收或应收对价总额扣 除应支付给其他相关方的价款后的净额，或者按照既定的佣金金额或比例等确定。</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对于经合同各方批准的对原合同范围或价格作出的变更，本集团区分下列情形对合同变更分别进行会计处理：</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76" w:name="bookmark976"/>
      <w:bookmarkEnd w:id="976"/>
      <w:r>
        <w:rPr>
          <w:color w:val="000000"/>
          <w:spacing w:val="0"/>
          <w:w w:val="100"/>
          <w:position w:val="0"/>
        </w:rPr>
        <w:t>合同变更增加了可明确区分的商品及合同价款，且新增合同价款反映了新增商品单独售价的，将该合同变更部分作为 一份单独的合同进行会计处理；</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77" w:name="bookmark977"/>
      <w:bookmarkEnd w:id="977"/>
      <w:r>
        <w:rPr>
          <w:color w:val="000000"/>
          <w:spacing w:val="0"/>
          <w:w w:val="100"/>
          <w:position w:val="0"/>
        </w:rPr>
        <w:t>合同变更不属于上述情形，且在合同变更日已转让的商品或已提供的服务与未转让的商品或未提供的服务之间可明确 区分的，视为原合同终止，同时，将原合同未履约部分与合同变更部分合并为新合同进行会计处理；</w:t>
      </w:r>
    </w:p>
    <w:p>
      <w:pPr>
        <w:pStyle w:val="Style21"/>
        <w:keepNext w:val="0"/>
        <w:keepLines w:val="0"/>
        <w:widowControl w:val="0"/>
        <w:numPr>
          <w:ilvl w:val="0"/>
          <w:numId w:val="19"/>
        </w:numPr>
        <w:shd w:val="clear" w:color="auto" w:fill="auto"/>
        <w:tabs>
          <w:tab w:pos="423" w:val="left"/>
        </w:tabs>
        <w:bidi w:val="0"/>
        <w:spacing w:before="0" w:after="0" w:line="311" w:lineRule="exact"/>
        <w:ind w:left="0" w:right="0" w:firstLine="0"/>
        <w:jc w:val="both"/>
      </w:pPr>
      <w:bookmarkStart w:id="978" w:name="bookmark978"/>
      <w:bookmarkEnd w:id="978"/>
      <w:r>
        <w:rPr>
          <w:color w:val="000000"/>
          <w:spacing w:val="0"/>
          <w:w w:val="100"/>
          <w:position w:val="0"/>
        </w:rPr>
        <w:t>合同变更不属于上述情形，即在合同变更日已转让的商品或已提供的服务与未转让的商品或未提供的服务之间不可明 确区分的，将该合同变更部分作为原合同的组成部分进行会计处理，由此产生的对已确认收入的影响，在合同变更日调整当 期收入。</w:t>
      </w:r>
    </w:p>
    <w:p>
      <w:pPr>
        <w:pStyle w:val="Style21"/>
        <w:keepNext w:val="0"/>
        <w:keepLines w:val="0"/>
        <w:widowControl w:val="0"/>
        <w:shd w:val="clear" w:color="auto" w:fill="auto"/>
        <w:bidi w:val="0"/>
        <w:spacing w:before="0" w:after="0" w:line="311" w:lineRule="exact"/>
        <w:ind w:left="0" w:right="0" w:firstLine="0"/>
        <w:jc w:val="both"/>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1047" w:right="1023" w:bottom="1162" w:left="1104" w:header="0" w:footer="3" w:gutter="0"/>
          <w:cols w:space="720"/>
          <w:noEndnote/>
          <w:rtlGutter w:val="0"/>
          <w:docGrid w:linePitch="360"/>
        </w:sectPr>
      </w:pPr>
      <w:r>
        <w:rPr>
          <w:color w:val="000000"/>
          <w:spacing w:val="0"/>
          <w:w w:val="100"/>
          <w:position w:val="0"/>
        </w:rPr>
        <w:t>本集团已向客户转让商品或服务而有权收取对价的权利（且该权利取决于时间流逝之外的其他因素）作为合同资产列示，合 同资产以预期信用损失为基础计提减值（参见附注五、</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））。本集团拥有的、无条件（仅取决于时间流逝）向客户收取</w:t>
      </w:r>
    </w:p>
    <w:p>
      <w:pPr>
        <w:widowControl w:val="0"/>
        <w:spacing w:line="1" w:lineRule="exact"/>
      </w:pPr>
      <w:r>
        <w:drawing>
          <wp:anchor distT="0" distB="0" distL="114300" distR="114300" simplePos="0" relativeHeight="125829412" behindDoc="0" locked="0" layoutInCell="1" allowOverlap="1">
            <wp:simplePos x="0" y="0"/>
            <wp:positionH relativeFrom="page">
              <wp:posOffset>711835</wp:posOffset>
            </wp:positionH>
            <wp:positionV relativeFrom="paragraph">
              <wp:posOffset>12700</wp:posOffset>
            </wp:positionV>
            <wp:extent cx="774065" cy="396240"/>
            <wp:wrapSquare wrapText="bothSides"/>
            <wp:docPr id="598" name="Shape 598"/>
            <a:graphic xmlns:a="http://schemas.openxmlformats.org/drawingml/2006/main">
              <a:graphicData uri="http://schemas.openxmlformats.org/drawingml/2006/picture">
                <pic:pic xmlns:pic="http://schemas.openxmlformats.org/drawingml/2006/picture">
                  <pic:nvPicPr>
                    <pic:cNvPr id="599" name="Picture box 599"/>
                    <pic:cNvPicPr/>
                  </pic:nvPicPr>
                  <pic:blipFill>
                    <a:blip r:embed="rId227"/>
                    <a:stretch/>
                  </pic:blipFill>
                  <pic:spPr>
                    <a:xfrm>
                      <a:ext cx="774065" cy="396240"/>
                    </a:xfrm>
                    <a:prstGeom prst="rect"/>
                  </pic:spPr>
                </pic:pic>
              </a:graphicData>
            </a:graphic>
          </wp:anchor>
        </w:drawing>
      </w:r>
    </w:p>
    <w:p>
      <w:pPr>
        <w:pStyle w:val="Style21"/>
        <w:keepNext w:val="0"/>
        <w:keepLines w:val="0"/>
        <w:widowControl w:val="0"/>
        <w:shd w:val="clear" w:color="auto" w:fill="auto"/>
        <w:bidi w:val="0"/>
        <w:spacing w:before="0" w:after="0" w:line="316" w:lineRule="exact"/>
        <w:ind w:left="0" w:right="0" w:firstLine="3620"/>
        <w:jc w:val="left"/>
      </w:pP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对价的权利作为应收款项列示。本集团已收或应收客户对价而 本集团主营业务主要分为：建筑设计、绿色建筑咨询、生态城市规划、</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及项目全过程管理和公信业务等。与本集团取得 收入的主要活动相关的具体描述如下：</w:t>
      </w:r>
    </w:p>
    <w:p>
      <w:pPr>
        <w:pStyle w:val="Style21"/>
        <w:keepNext w:val="0"/>
        <w:keepLines w:val="0"/>
        <w:widowControl w:val="0"/>
        <w:shd w:val="clear" w:color="auto" w:fill="auto"/>
        <w:tabs>
          <w:tab w:pos="445" w:val="left"/>
        </w:tabs>
        <w:bidi w:val="0"/>
        <w:spacing w:before="0" w:after="0" w:line="316" w:lineRule="exact"/>
        <w:ind w:left="0" w:right="0" w:firstLine="0"/>
        <w:jc w:val="both"/>
      </w:pPr>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建筑设计业务</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参照《工程勘察设计收费标准》（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年修订本，国家发展计划委员会、建设部编写）规定，公司建筑设计业务具体工作流 程一般分为业务承接、方案设计、初步设计、施工图设计和施工配合等五个阶段，各阶段业务活动具体情况如下：</w:t>
      </w:r>
    </w:p>
    <w:p>
      <w:pPr>
        <w:pStyle w:val="Style21"/>
        <w:keepNext w:val="0"/>
        <w:keepLines w:val="0"/>
        <w:widowControl w:val="0"/>
        <w:numPr>
          <w:ilvl w:val="0"/>
          <w:numId w:val="31"/>
        </w:numPr>
        <w:shd w:val="clear" w:color="auto" w:fill="auto"/>
        <w:tabs>
          <w:tab w:pos="287" w:val="left"/>
        </w:tabs>
        <w:bidi w:val="0"/>
        <w:spacing w:before="0" w:after="0" w:line="316" w:lineRule="exact"/>
        <w:ind w:left="0" w:right="0" w:firstLine="0"/>
        <w:jc w:val="both"/>
      </w:pPr>
      <w:bookmarkStart w:id="980" w:name="bookmark980"/>
      <w:bookmarkEnd w:id="980"/>
      <w:r>
        <w:rPr>
          <w:color w:val="000000"/>
          <w:spacing w:val="0"/>
          <w:w w:val="100"/>
          <w:position w:val="0"/>
        </w:rPr>
        <w:t>业务承接阶段：该阶段公司与委托方签订设计合同之后，一般会收取合同首期款，该款项属于预收款性质，公司在收到时 作为项目合同负债，不确认收入；</w:t>
      </w:r>
    </w:p>
    <w:p>
      <w:pPr>
        <w:pStyle w:val="Style21"/>
        <w:keepNext w:val="0"/>
        <w:keepLines w:val="0"/>
        <w:widowControl w:val="0"/>
        <w:numPr>
          <w:ilvl w:val="0"/>
          <w:numId w:val="31"/>
        </w:numPr>
        <w:shd w:val="clear" w:color="auto" w:fill="auto"/>
        <w:tabs>
          <w:tab w:pos="349" w:val="left"/>
        </w:tabs>
        <w:bidi w:val="0"/>
        <w:spacing w:before="0" w:after="0" w:line="316" w:lineRule="exact"/>
        <w:ind w:left="0" w:right="0" w:firstLine="0"/>
        <w:jc w:val="both"/>
      </w:pPr>
      <w:bookmarkStart w:id="981" w:name="bookmark981"/>
      <w:bookmarkEnd w:id="981"/>
      <w:r>
        <w:rPr>
          <w:color w:val="000000"/>
          <w:spacing w:val="0"/>
          <w:w w:val="100"/>
          <w:position w:val="0"/>
        </w:rPr>
        <w:t>方案设计阶段：该阶段主要工作是公司设计部门根据合同要求进行总体方案设计；</w:t>
      </w:r>
    </w:p>
    <w:p>
      <w:pPr>
        <w:pStyle w:val="Style21"/>
        <w:keepNext w:val="0"/>
        <w:keepLines w:val="0"/>
        <w:widowControl w:val="0"/>
        <w:numPr>
          <w:ilvl w:val="0"/>
          <w:numId w:val="31"/>
        </w:numPr>
        <w:shd w:val="clear" w:color="auto" w:fill="auto"/>
        <w:tabs>
          <w:tab w:pos="406" w:val="left"/>
        </w:tabs>
        <w:bidi w:val="0"/>
        <w:spacing w:before="0" w:after="0" w:line="316" w:lineRule="exact"/>
        <w:ind w:left="0" w:right="0" w:firstLine="0"/>
        <w:jc w:val="both"/>
      </w:pPr>
      <w:bookmarkStart w:id="982" w:name="bookmark982"/>
      <w:bookmarkEnd w:id="982"/>
      <w:r>
        <w:rPr>
          <w:color w:val="000000"/>
          <w:spacing w:val="0"/>
          <w:w w:val="100"/>
          <w:position w:val="0"/>
        </w:rPr>
        <w:t>初步设计阶段：该阶段主要工作系设计部门对方案进行深入设计；</w:t>
      </w:r>
    </w:p>
    <w:p>
      <w:pPr>
        <w:pStyle w:val="Style21"/>
        <w:keepNext w:val="0"/>
        <w:keepLines w:val="0"/>
        <w:widowControl w:val="0"/>
        <w:numPr>
          <w:ilvl w:val="0"/>
          <w:numId w:val="31"/>
        </w:numPr>
        <w:shd w:val="clear" w:color="auto" w:fill="auto"/>
        <w:tabs>
          <w:tab w:pos="421" w:val="left"/>
        </w:tabs>
        <w:bidi w:val="0"/>
        <w:spacing w:before="0" w:after="0" w:line="316" w:lineRule="exact"/>
        <w:ind w:left="0" w:right="0" w:firstLine="0"/>
        <w:jc w:val="both"/>
      </w:pPr>
      <w:bookmarkStart w:id="983" w:name="bookmark983"/>
      <w:bookmarkEnd w:id="983"/>
      <w:r>
        <w:rPr>
          <w:color w:val="000000"/>
          <w:spacing w:val="0"/>
          <w:w w:val="100"/>
          <w:position w:val="0"/>
        </w:rPr>
        <w:t>施工图设计阶段：该阶段主要工作系设计部门根据初步设计成果进行详细的施工图设计；</w:t>
      </w:r>
    </w:p>
    <w:p>
      <w:pPr>
        <w:pStyle w:val="Style21"/>
        <w:keepNext w:val="0"/>
        <w:keepLines w:val="0"/>
        <w:widowControl w:val="0"/>
        <w:numPr>
          <w:ilvl w:val="0"/>
          <w:numId w:val="31"/>
        </w:numPr>
        <w:shd w:val="clear" w:color="auto" w:fill="auto"/>
        <w:tabs>
          <w:tab w:pos="421" w:val="left"/>
        </w:tabs>
        <w:bidi w:val="0"/>
        <w:spacing w:before="0" w:after="0" w:line="316" w:lineRule="exact"/>
        <w:ind w:left="0" w:right="0" w:firstLine="0"/>
        <w:jc w:val="both"/>
      </w:pPr>
      <w:bookmarkStart w:id="984" w:name="bookmark984"/>
      <w:bookmarkEnd w:id="984"/>
      <w:r>
        <w:rPr>
          <w:color w:val="000000"/>
          <w:spacing w:val="0"/>
          <w:w w:val="100"/>
          <w:position w:val="0"/>
        </w:rPr>
        <w:t>施工配合阶段：该阶段工作主要系设计部门在出具施工图之后，配合委托方进行详细的施工、处理施工过程中的临时工 程施工障碍等，并在必要时进行设计修改。</w:t>
      </w:r>
    </w:p>
    <w:p>
      <w:pPr>
        <w:pStyle w:val="Style21"/>
        <w:keepNext w:val="0"/>
        <w:keepLines w:val="0"/>
        <w:widowControl w:val="0"/>
        <w:shd w:val="clear" w:color="auto" w:fill="auto"/>
        <w:tabs>
          <w:tab w:pos="445" w:val="left"/>
        </w:tabs>
        <w:bidi w:val="0"/>
        <w:spacing w:before="0" w:after="0" w:line="316" w:lineRule="exact"/>
        <w:ind w:left="0" w:right="0" w:firstLine="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绿色建筑咨询业务</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公司绿建咨询业务的具体工作流程一般分为业务接洽、方案评估、初步设计审查、施工图审查和绿色建筑标识申报等五个阶 段，各阶段业务活动具体情况如下：</w:t>
      </w:r>
    </w:p>
    <w:p>
      <w:pPr>
        <w:pStyle w:val="Style21"/>
        <w:keepNext w:val="0"/>
        <w:keepLines w:val="0"/>
        <w:widowControl w:val="0"/>
        <w:numPr>
          <w:ilvl w:val="0"/>
          <w:numId w:val="33"/>
        </w:numPr>
        <w:shd w:val="clear" w:color="auto" w:fill="auto"/>
        <w:tabs>
          <w:tab w:pos="287" w:val="left"/>
        </w:tabs>
        <w:bidi w:val="0"/>
        <w:spacing w:before="0" w:after="0" w:line="316" w:lineRule="exact"/>
        <w:ind w:left="0" w:right="0" w:firstLine="0"/>
        <w:jc w:val="both"/>
      </w:pPr>
      <w:bookmarkStart w:id="986" w:name="bookmark986"/>
      <w:bookmarkEnd w:id="986"/>
      <w:r>
        <w:rPr>
          <w:color w:val="000000"/>
          <w:spacing w:val="0"/>
          <w:w w:val="100"/>
          <w:position w:val="0"/>
        </w:rPr>
        <w:t>业务承接阶段：该阶段公司与委托方签订绿建咨询合同之后，一般会收取合同首期款，该款项属于预收款性质，公司在收 到时作为项目合同负债，不确认收入；</w:t>
      </w:r>
    </w:p>
    <w:p>
      <w:pPr>
        <w:pStyle w:val="Style21"/>
        <w:keepNext w:val="0"/>
        <w:keepLines w:val="0"/>
        <w:widowControl w:val="0"/>
        <w:numPr>
          <w:ilvl w:val="0"/>
          <w:numId w:val="33"/>
        </w:numPr>
        <w:shd w:val="clear" w:color="auto" w:fill="auto"/>
        <w:tabs>
          <w:tab w:pos="349" w:val="left"/>
        </w:tabs>
        <w:bidi w:val="0"/>
        <w:spacing w:before="0" w:after="0" w:line="316" w:lineRule="exact"/>
        <w:ind w:left="0" w:right="0" w:firstLine="0"/>
        <w:jc w:val="both"/>
      </w:pPr>
      <w:bookmarkStart w:id="987" w:name="bookmark987"/>
      <w:bookmarkEnd w:id="987"/>
      <w:r>
        <w:rPr>
          <w:color w:val="000000"/>
          <w:spacing w:val="0"/>
          <w:w w:val="100"/>
          <w:position w:val="0"/>
        </w:rPr>
        <w:t>方案评估阶段：该阶段主要工作系公司咨询部门根据合同要求对设计方案进行分析、评估，并提出优化建议；</w:t>
      </w:r>
    </w:p>
    <w:p>
      <w:pPr>
        <w:pStyle w:val="Style21"/>
        <w:keepNext w:val="0"/>
        <w:keepLines w:val="0"/>
        <w:widowControl w:val="0"/>
        <w:numPr>
          <w:ilvl w:val="0"/>
          <w:numId w:val="33"/>
        </w:numPr>
        <w:shd w:val="clear" w:color="auto" w:fill="auto"/>
        <w:tabs>
          <w:tab w:pos="406" w:val="left"/>
        </w:tabs>
        <w:bidi w:val="0"/>
        <w:spacing w:before="0" w:after="0" w:line="316" w:lineRule="exact"/>
        <w:ind w:left="0" w:right="0" w:firstLine="0"/>
        <w:jc w:val="both"/>
      </w:pPr>
      <w:bookmarkStart w:id="988" w:name="bookmark988"/>
      <w:bookmarkEnd w:id="988"/>
      <w:r>
        <w:rPr>
          <w:color w:val="000000"/>
          <w:spacing w:val="0"/>
          <w:w w:val="100"/>
          <w:position w:val="0"/>
        </w:rPr>
        <w:t>初步设计审查阶段：该阶段主要工作系公司咨询部门根据项目绿色建筑目标，针对初步设计图纸进行专项分析；</w:t>
      </w:r>
    </w:p>
    <w:p>
      <w:pPr>
        <w:pStyle w:val="Style21"/>
        <w:keepNext w:val="0"/>
        <w:keepLines w:val="0"/>
        <w:widowControl w:val="0"/>
        <w:numPr>
          <w:ilvl w:val="0"/>
          <w:numId w:val="33"/>
        </w:numPr>
        <w:shd w:val="clear" w:color="auto" w:fill="auto"/>
        <w:tabs>
          <w:tab w:pos="421" w:val="left"/>
        </w:tabs>
        <w:bidi w:val="0"/>
        <w:spacing w:before="0" w:after="0" w:line="316" w:lineRule="exact"/>
        <w:ind w:left="0" w:right="0" w:firstLine="0"/>
        <w:jc w:val="both"/>
      </w:pPr>
      <w:bookmarkStart w:id="989" w:name="bookmark989"/>
      <w:bookmarkEnd w:id="989"/>
      <w:r>
        <w:rPr>
          <w:color w:val="000000"/>
          <w:spacing w:val="0"/>
          <w:w w:val="100"/>
          <w:position w:val="0"/>
        </w:rPr>
        <w:t>施工图审查阶段：该阶段主要工作系公司咨询部门根据就施工图设计文件的绿色建筑达标情况进行审查，并对项目星级 达标情况进行评估；</w:t>
      </w:r>
    </w:p>
    <w:p>
      <w:pPr>
        <w:pStyle w:val="Style21"/>
        <w:keepNext w:val="0"/>
        <w:keepLines w:val="0"/>
        <w:widowControl w:val="0"/>
        <w:numPr>
          <w:ilvl w:val="0"/>
          <w:numId w:val="33"/>
        </w:numPr>
        <w:shd w:val="clear" w:color="auto" w:fill="auto"/>
        <w:tabs>
          <w:tab w:pos="421" w:val="left"/>
        </w:tabs>
        <w:bidi w:val="0"/>
        <w:spacing w:before="0" w:after="0" w:line="316" w:lineRule="exact"/>
        <w:ind w:left="0" w:right="0" w:firstLine="0"/>
        <w:jc w:val="both"/>
      </w:pPr>
      <w:bookmarkStart w:id="990" w:name="bookmark990"/>
      <w:bookmarkEnd w:id="990"/>
      <w:r>
        <w:rPr>
          <w:color w:val="000000"/>
          <w:spacing w:val="0"/>
          <w:w w:val="100"/>
          <w:position w:val="0"/>
        </w:rPr>
        <w:t>绿色标识认证阶段:该阶段工作主要系公司咨询部门在审查施工图之后，对委托方项目的绿色建筑认证等级进行自评估。</w:t>
      </w:r>
    </w:p>
    <w:p>
      <w:pPr>
        <w:pStyle w:val="Style21"/>
        <w:keepNext w:val="0"/>
        <w:keepLines w:val="0"/>
        <w:widowControl w:val="0"/>
        <w:shd w:val="clear" w:color="auto" w:fill="auto"/>
        <w:tabs>
          <w:tab w:pos="445" w:val="left"/>
        </w:tabs>
        <w:bidi w:val="0"/>
        <w:spacing w:before="0" w:after="0" w:line="316" w:lineRule="exact"/>
        <w:ind w:left="0" w:right="0" w:firstLine="0"/>
        <w:jc w:val="both"/>
      </w:pPr>
      <w:bookmarkStart w:id="991" w:name="bookmark991"/>
      <w:r>
        <w:rPr>
          <w:color w:val="000000"/>
          <w:spacing w:val="0"/>
          <w:w w:val="100"/>
          <w:position w:val="0"/>
        </w:rPr>
        <w:t>（</w:t>
      </w:r>
      <w:bookmarkEnd w:id="9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生态城市规划业务</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公司规划业务的具体工作流程一般划分为业务接洽、规划初稿、规划送审稿、规划成果通过评审等四个阶段，各阶段业务活 动具体情况如下：</w:t>
      </w:r>
    </w:p>
    <w:p>
      <w:pPr>
        <w:pStyle w:val="Style21"/>
        <w:keepNext w:val="0"/>
        <w:keepLines w:val="0"/>
        <w:widowControl w:val="0"/>
        <w:numPr>
          <w:ilvl w:val="0"/>
          <w:numId w:val="35"/>
        </w:numPr>
        <w:shd w:val="clear" w:color="auto" w:fill="auto"/>
        <w:tabs>
          <w:tab w:pos="287" w:val="left"/>
        </w:tabs>
        <w:bidi w:val="0"/>
        <w:spacing w:before="0" w:after="0" w:line="316" w:lineRule="exact"/>
        <w:ind w:left="0" w:right="0" w:firstLine="0"/>
        <w:jc w:val="both"/>
      </w:pPr>
      <w:bookmarkStart w:id="992" w:name="bookmark992"/>
      <w:bookmarkEnd w:id="992"/>
      <w:r>
        <w:rPr>
          <w:color w:val="000000"/>
          <w:spacing w:val="0"/>
          <w:w w:val="100"/>
          <w:position w:val="0"/>
        </w:rPr>
        <w:t>业务承接阶段：该阶段公司与委托方签订规划合同之后，一般会收取合同首期款，该款项属于预收款性质，公司在收到时 作为项目合同负债，不确认收入；</w:t>
      </w:r>
    </w:p>
    <w:p>
      <w:pPr>
        <w:pStyle w:val="Style21"/>
        <w:keepNext w:val="0"/>
        <w:keepLines w:val="0"/>
        <w:widowControl w:val="0"/>
        <w:numPr>
          <w:ilvl w:val="0"/>
          <w:numId w:val="35"/>
        </w:numPr>
        <w:shd w:val="clear" w:color="auto" w:fill="auto"/>
        <w:tabs>
          <w:tab w:pos="349" w:val="left"/>
        </w:tabs>
        <w:bidi w:val="0"/>
        <w:spacing w:before="0" w:after="0" w:line="316" w:lineRule="exact"/>
        <w:ind w:left="0" w:right="0" w:firstLine="0"/>
        <w:jc w:val="both"/>
      </w:pPr>
      <w:bookmarkStart w:id="993" w:name="bookmark993"/>
      <w:bookmarkEnd w:id="993"/>
      <w:r>
        <w:rPr>
          <w:color w:val="000000"/>
          <w:spacing w:val="0"/>
          <w:w w:val="100"/>
          <w:position w:val="0"/>
        </w:rPr>
        <w:t>规划初稿阶段：该阶段主要工作系公司规划部门根据合同要求设计项目规划的初稿；</w:t>
      </w:r>
    </w:p>
    <w:p>
      <w:pPr>
        <w:pStyle w:val="Style21"/>
        <w:keepNext w:val="0"/>
        <w:keepLines w:val="0"/>
        <w:widowControl w:val="0"/>
        <w:numPr>
          <w:ilvl w:val="0"/>
          <w:numId w:val="35"/>
        </w:numPr>
        <w:shd w:val="clear" w:color="auto" w:fill="auto"/>
        <w:tabs>
          <w:tab w:pos="406" w:val="left"/>
        </w:tabs>
        <w:bidi w:val="0"/>
        <w:spacing w:before="0" w:after="0" w:line="316" w:lineRule="exact"/>
        <w:ind w:left="0" w:right="0" w:firstLine="0"/>
        <w:jc w:val="both"/>
      </w:pPr>
      <w:bookmarkStart w:id="994" w:name="bookmark994"/>
      <w:bookmarkEnd w:id="994"/>
      <w:r>
        <w:rPr>
          <w:color w:val="000000"/>
          <w:spacing w:val="0"/>
          <w:w w:val="100"/>
          <w:position w:val="0"/>
        </w:rPr>
        <w:t>规划送审稿阶段：该阶段主要工作系公司规划部门根据初步规划方案设计规划送审稿；</w:t>
      </w:r>
    </w:p>
    <w:p>
      <w:pPr>
        <w:pStyle w:val="Style21"/>
        <w:keepNext w:val="0"/>
        <w:keepLines w:val="0"/>
        <w:widowControl w:val="0"/>
        <w:numPr>
          <w:ilvl w:val="0"/>
          <w:numId w:val="35"/>
        </w:numPr>
        <w:shd w:val="clear" w:color="auto" w:fill="auto"/>
        <w:tabs>
          <w:tab w:pos="421" w:val="left"/>
        </w:tabs>
        <w:bidi w:val="0"/>
        <w:spacing w:before="0" w:after="0" w:line="316" w:lineRule="exact"/>
        <w:ind w:left="0" w:right="0" w:firstLine="0"/>
        <w:jc w:val="both"/>
      </w:pPr>
      <w:bookmarkStart w:id="995" w:name="bookmark995"/>
      <w:bookmarkEnd w:id="995"/>
      <w:r>
        <w:rPr>
          <w:color w:val="000000"/>
          <w:spacing w:val="0"/>
          <w:w w:val="100"/>
          <w:position w:val="0"/>
        </w:rPr>
        <w:t>规划成果通过评审阶段：该阶段主要工作系公司规划部门协助规划方案通过外部专家的评审（或者项目获得绿色建筑的 认证）等。</w:t>
      </w:r>
    </w:p>
    <w:p>
      <w:pPr>
        <w:pStyle w:val="Style21"/>
        <w:keepNext w:val="0"/>
        <w:keepLines w:val="0"/>
        <w:widowControl w:val="0"/>
        <w:shd w:val="clear" w:color="auto" w:fill="auto"/>
        <w:tabs>
          <w:tab w:pos="445" w:val="left"/>
        </w:tabs>
        <w:bidi w:val="0"/>
        <w:spacing w:before="0" w:after="0" w:line="316" w:lineRule="exact"/>
        <w:ind w:left="0" w:right="0" w:firstLine="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及项目全过程管理业务</w:t>
      </w:r>
    </w:p>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及项目全过程管理业务包括</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总承包、全过程代建和全过程咨询等建设项目管理业务。</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总承包指公司受业主委托， 按照合同约定对工程建设项目的设计、采购、施工、试运行等全过程或若干阶段的承包。全过程代建是指公司接受建设单位 （委托单位）委托，按照合同约定履行代建项目全过程中的建设管理职责，项目竣工验收后移交委托单位。全过程咨询业务 是指公司作为专业化项目管理单位，按照合同约定实施工程项目管理、工程监理以及其他工程咨询工作。</w:t>
      </w:r>
    </w:p>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及项目全过程管理业务的具体工程流程一般分为业务接洽、勘察设计阶段、施工阶段和竣工结算阶段等四个阶段。</w:t>
      </w:r>
    </w:p>
    <w:p>
      <w:pPr>
        <w:pStyle w:val="Style21"/>
        <w:keepNext w:val="0"/>
        <w:keepLines w:val="0"/>
        <w:widowControl w:val="0"/>
        <w:shd w:val="clear" w:color="auto" w:fill="auto"/>
        <w:tabs>
          <w:tab w:pos="445" w:val="left"/>
        </w:tabs>
        <w:bidi w:val="0"/>
        <w:spacing w:before="0" w:after="0" w:line="316" w:lineRule="exact"/>
        <w:ind w:left="0" w:right="0" w:firstLine="0"/>
        <w:jc w:val="both"/>
      </w:pPr>
      <w:bookmarkStart w:id="997" w:name="bookmark997"/>
      <w:r>
        <w:rPr>
          <w:color w:val="000000"/>
          <w:spacing w:val="0"/>
          <w:w w:val="100"/>
          <w:position w:val="0"/>
        </w:rPr>
        <w:t>（</w:t>
      </w:r>
      <w:bookmarkEnd w:id="99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公信业务</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本集团公信业务主要为检测业务，业务流程通常为签订业务合同、执行检测服务并提交检测报告。</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对于建筑设计业务、绿色建筑咨询业务、生态城市规划业务及</w:t>
      </w:r>
      <w:r>
        <w:rPr>
          <w:rFonts w:ascii="Times New Roman" w:eastAsia="Times New Roman" w:hAnsi="Times New Roman" w:cs="Times New Roman"/>
          <w:color w:val="000000"/>
          <w:spacing w:val="0"/>
          <w:w w:val="100"/>
          <w:position w:val="0"/>
          <w:sz w:val="18"/>
          <w:szCs w:val="18"/>
        </w:rPr>
        <w:t>EPC</w:t>
      </w:r>
      <w:r>
        <w:rPr>
          <w:color w:val="000000"/>
          <w:spacing w:val="0"/>
          <w:w w:val="100"/>
          <w:position w:val="0"/>
        </w:rPr>
        <w:t>及项目全过程管理业务，由于本集团履约过程中所提供的 服务具有不可替代用途，且本集团在整个合同期间内有权就累计至今已完成的履约部分收取款项，因此本集团将其作为在某 一时段内履行的履约义务，按照履约进度确认收入。</w:t>
      </w:r>
    </w:p>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本集团按照产出法确定提供服务的履约进度，即根据合同约定履约义务的各个阶段，在提交阶段成果并取得经客户确认的成</w:t>
      </w:r>
      <w:r>
        <w:br w:type="page"/>
      </w:r>
    </w:p>
    <w:p>
      <w:pPr>
        <w:pStyle w:val="Style21"/>
        <w:keepNext w:val="0"/>
        <w:keepLines w:val="0"/>
        <w:widowControl w:val="0"/>
        <w:shd w:val="clear" w:color="auto" w:fill="auto"/>
        <w:bidi w:val="0"/>
        <w:spacing w:before="0" w:after="0" w:line="312" w:lineRule="exact"/>
        <w:ind w:left="0" w:right="0" w:firstLine="3620"/>
        <w:jc w:val="left"/>
      </w:pPr>
      <w:r>
        <w:drawing>
          <wp:anchor distT="0" distB="0" distL="114300" distR="114300" simplePos="0" relativeHeight="125829413" behindDoc="0" locked="0" layoutInCell="1" allowOverlap="1">
            <wp:simplePos x="0" y="0"/>
            <wp:positionH relativeFrom="page">
              <wp:posOffset>684530</wp:posOffset>
            </wp:positionH>
            <wp:positionV relativeFrom="margin">
              <wp:posOffset>-207010</wp:posOffset>
            </wp:positionV>
            <wp:extent cx="774065" cy="396240"/>
            <wp:wrapSquare wrapText="bothSides"/>
            <wp:docPr id="600" name="Shape 600"/>
            <a:graphic xmlns:a="http://schemas.openxmlformats.org/drawingml/2006/main">
              <a:graphicData uri="http://schemas.openxmlformats.org/drawingml/2006/picture">
                <pic:pic xmlns:pic="http://schemas.openxmlformats.org/drawingml/2006/picture">
                  <pic:nvPicPr>
                    <pic:cNvPr id="601" name="Picture box 601"/>
                    <pic:cNvPicPr/>
                  </pic:nvPicPr>
                  <pic:blipFill>
                    <a:blip r:embed="rId229"/>
                    <a:stretch/>
                  </pic:blipFill>
                  <pic:spPr>
                    <a:xfrm>
                      <a:ext cx="774065" cy="396240"/>
                    </a:xfrm>
                    <a:prstGeom prst="rect"/>
                  </pic:spPr>
                </pic:pic>
              </a:graphicData>
            </a:graphic>
          </wp:anchor>
        </w:drawing>
      </w:r>
      <w:r>
        <w:rPr>
          <w:color w:val="000000"/>
          <w:spacing w:val="0"/>
          <w:w w:val="100"/>
          <w:position w:val="0"/>
          <w:u w:val="single"/>
        </w:rPr>
        <w:t>深圳市建筑科学研究院股份有限公司</w:t>
      </w:r>
      <w:r>
        <w:rPr>
          <w:rFonts w:ascii="Times New Roman" w:eastAsia="Times New Roman" w:hAnsi="Times New Roman" w:cs="Times New Roman"/>
          <w:color w:val="000000"/>
          <w:spacing w:val="0"/>
          <w:w w:val="100"/>
          <w:position w:val="0"/>
          <w:sz w:val="18"/>
          <w:szCs w:val="18"/>
          <w:u w:val="single"/>
        </w:rPr>
        <w:t>2020</w:t>
      </w:r>
      <w:r>
        <w:rPr>
          <w:color w:val="000000"/>
          <w:spacing w:val="0"/>
          <w:w w:val="100"/>
          <w:position w:val="0"/>
          <w:u w:val="single"/>
        </w:rPr>
        <w:t xml:space="preserve">年年度报告全文 </w:t>
      </w:r>
      <w:r>
        <w:rPr>
          <w:color w:val="000000"/>
          <w:spacing w:val="0"/>
          <w:w w:val="100"/>
          <w:position w:val="0"/>
        </w:rPr>
        <w:t>果交付件等确认证明、政府批文、第三方审验证明或其他能够证明该阶段工作已完成的合理证据时，确定提供服务的履约进 度。对于履约进度不能合理确定时，本集团已经发生的成本预计能够得到补偿的，按照已经发生的成本金额确认收入，直到 履约进度能够合理确定为止。</w:t>
      </w:r>
    </w:p>
    <w:p>
      <w:pPr>
        <w:pStyle w:val="Style21"/>
        <w:keepNext w:val="0"/>
        <w:keepLines w:val="0"/>
        <w:widowControl w:val="0"/>
        <w:shd w:val="clear" w:color="auto" w:fill="auto"/>
        <w:bidi w:val="0"/>
        <w:spacing w:before="0" w:after="160" w:line="312" w:lineRule="exact"/>
        <w:ind w:left="0" w:right="0" w:firstLine="0"/>
        <w:jc w:val="left"/>
      </w:pPr>
      <w:r>
        <w:rPr>
          <w:color w:val="000000"/>
          <w:spacing w:val="0"/>
          <w:w w:val="100"/>
          <w:position w:val="0"/>
        </w:rPr>
        <w:t>对于公信类业务，本集团在向客户提交相关检测报告时确认收入。</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同类业务采用不同经营模式导致收入确认会计政策存在差异的情况 </w:t>
      </w:r>
      <w:r>
        <w:rPr>
          <w:color w:val="000000"/>
          <w:spacing w:val="0"/>
          <w:w w:val="100"/>
          <w:position w:val="0"/>
        </w:rPr>
        <w:t>无。</w:t>
      </w:r>
    </w:p>
    <w:p>
      <w:pPr>
        <w:pStyle w:val="Style34"/>
        <w:keepNext/>
        <w:keepLines/>
        <w:widowControl w:val="0"/>
        <w:shd w:val="clear" w:color="auto" w:fill="auto"/>
        <w:bidi w:val="0"/>
        <w:spacing w:before="0" w:after="26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2</w:t>
      </w:r>
      <w:bookmarkEnd w:id="1000"/>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001"/>
      <w:bookmarkEnd w:id="998"/>
      <w:bookmarkEnd w:id="999"/>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政府补助是本集团从政府无偿取得的货币性资产或非货币性资产，但不包括政府以投资者身份向本集团投入的资本。 政府补助在能够满足政府补助所附条件，并能够收到时，予以确认。</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政府补助为货币性资产的，按照收到或应收的金额计量。政府补助为非货币性资产的，按照公允价值计量。</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本集团取得的、用于购建或以其他方式形成长期资产的政府补助作为与资产相关的政府补助。本集团取得的与资产相关之外 的其他政府补助作为与收益相关的政府补助。与资产相关的政府补助，本集团将其确认为递延收益，并在相关资产使用寿命 内按照合理、系统的方法分期计入其他收益或营业外收入。与收益相关的政府补助，如果用于补偿本集团以后期间的相关成 本费用或损失的，本集团将其确认为递延收益，并在确认相关成本费用或损失的期间，计入其他收益或营业外收入；否则直 接计入其他收益或营业外收入。</w:t>
      </w:r>
    </w:p>
    <w:p>
      <w:pPr>
        <w:pStyle w:val="Style34"/>
        <w:keepNext/>
        <w:keepLines/>
        <w:widowControl w:val="0"/>
        <w:shd w:val="clear" w:color="auto" w:fill="auto"/>
        <w:bidi w:val="0"/>
        <w:spacing w:before="0" w:after="260" w:line="240" w:lineRule="auto"/>
        <w:ind w:left="0" w:right="0" w:firstLine="0"/>
        <w:jc w:val="left"/>
      </w:pPr>
      <w:bookmarkStart w:id="1002" w:name="bookmark1002"/>
      <w:bookmarkStart w:id="1003" w:name="bookmark1003"/>
      <w:bookmarkStart w:id="1004" w:name="bookmark1004"/>
      <w:bookmarkStart w:id="1005" w:name="bookmark1005"/>
      <w:r>
        <w:rPr>
          <w:rFonts w:ascii="Times New Roman" w:eastAsia="Times New Roman" w:hAnsi="Times New Roman" w:cs="Times New Roman"/>
          <w:color w:val="000000"/>
          <w:spacing w:val="0"/>
          <w:w w:val="100"/>
          <w:position w:val="0"/>
        </w:rPr>
        <w:t>2</w:t>
      </w:r>
      <w:bookmarkEnd w:id="1004"/>
      <w:r>
        <w:rPr>
          <w:rFonts w:ascii="Times New Roman" w:eastAsia="Times New Roman" w:hAnsi="Times New Roman" w:cs="Times New Roman"/>
          <w:color w:val="000000"/>
          <w:spacing w:val="0"/>
          <w:w w:val="100"/>
          <w:position w:val="0"/>
        </w:rPr>
        <w:t>5</w:t>
      </w:r>
      <w:r>
        <w:rPr>
          <w:color w:val="000000"/>
          <w:spacing w:val="0"/>
          <w:w w:val="100"/>
          <w:position w:val="0"/>
        </w:rPr>
        <w:t>、所得税</w:t>
      </w:r>
      <w:bookmarkEnd w:id="1002"/>
      <w:bookmarkEnd w:id="1003"/>
      <w:bookmarkEnd w:id="1005"/>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除因企业合并和直接计入所有者权益（包括其他综合收益）的交易或者事项产生的所得税外，本集团将当期所得税和递延所 得税计入当期损益。</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当期所得税是按本年度应税所得额，根据税法规定的税率计算的预期应交所得税，加上以往年度应付所得税的调整。</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资产负债表日，如果本集团拥有以净额结算的法定权利并且意图以净额结算或取得资产、清偿负债同时进行，那么当期所得 税资产及当期所得税负债以抵销后的净额列示。</w:t>
      </w:r>
    </w:p>
    <w:p>
      <w:pPr>
        <w:pStyle w:val="Style34"/>
        <w:keepNext/>
        <w:keepLines/>
        <w:widowControl w:val="0"/>
        <w:shd w:val="clear" w:color="auto" w:fill="auto"/>
        <w:bidi w:val="0"/>
        <w:spacing w:before="0" w:after="260" w:line="240" w:lineRule="auto"/>
        <w:ind w:left="0" w:right="0" w:firstLine="0"/>
        <w:jc w:val="left"/>
      </w:pPr>
      <w:bookmarkStart w:id="1006" w:name="bookmark1006"/>
      <w:bookmarkStart w:id="1007" w:name="bookmark1007"/>
      <w:bookmarkStart w:id="1008" w:name="bookmark1008"/>
      <w:bookmarkStart w:id="1009" w:name="bookmark1009"/>
      <w:r>
        <w:rPr>
          <w:rFonts w:ascii="Times New Roman" w:eastAsia="Times New Roman" w:hAnsi="Times New Roman" w:cs="Times New Roman"/>
          <w:color w:val="000000"/>
          <w:spacing w:val="0"/>
          <w:w w:val="100"/>
          <w:position w:val="0"/>
        </w:rPr>
        <w:t>2</w:t>
      </w:r>
      <w:bookmarkEnd w:id="1008"/>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6"/>
      <w:bookmarkEnd w:id="1007"/>
      <w:bookmarkEnd w:id="1009"/>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递延所得税资产与递延所得税负债分别根据可抵扣暂时性差异和应纳税暂时性差异确定。暂时性差异是指资产或负债的账 面价值与其计税基础之间的差额，包括能够结转以后年度的可抵扣亏损和税款抵减。递延所得税资产的确认以很可能取得用 来抵扣可抵扣暂时性差异的应纳税所得额为限。</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如果不属于企业合并交易且交易发生时既不影响会计利润也不影响应纳税所得额（或可抵扣亏损），则该项交易中产生的暂 时性差异不会产生递延所得税。商誉的初始确认导致的暂时性差异也不产生相关的递延所得税。</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资产负债表日，本集团根据递延所得税资产和负债的预期收回或结算方式，依据已颁布的税法规定，按照预期收回该资产或 清偿该负债期间的适用税率计量该递延所得税资产和负债的账面金额。</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资产负债表日，本集团对递延所得税资产的账面价值进行复核。如果未来期间很可能无法获得足够的应纳税所得额用以抵扣 递延所得税资产的利益，则减记递延所得税资产的账面价值。在很可能获得足够的应纳税所得额时，减记的金额予以转回。 资产负债表日，递延所得税资产及递延所得税负债在同时满足以下条件时以抵销后的净额列示：</w:t>
      </w:r>
    </w:p>
    <w:p>
      <w:pPr>
        <w:pStyle w:val="Style21"/>
        <w:keepNext w:val="0"/>
        <w:keepLines w:val="0"/>
        <w:widowControl w:val="0"/>
        <w:numPr>
          <w:ilvl w:val="0"/>
          <w:numId w:val="19"/>
        </w:numPr>
        <w:shd w:val="clear" w:color="auto" w:fill="auto"/>
        <w:tabs>
          <w:tab w:pos="422" w:val="left"/>
        </w:tabs>
        <w:bidi w:val="0"/>
        <w:spacing w:before="0" w:after="0" w:line="313" w:lineRule="exact"/>
        <w:ind w:left="0" w:right="0" w:firstLine="0"/>
        <w:jc w:val="left"/>
      </w:pPr>
      <w:bookmarkStart w:id="1010" w:name="bookmark1010"/>
      <w:bookmarkEnd w:id="1010"/>
      <w:r>
        <w:rPr>
          <w:color w:val="000000"/>
          <w:spacing w:val="0"/>
          <w:w w:val="100"/>
          <w:position w:val="0"/>
        </w:rPr>
        <w:t>纳税主体拥有以净额结算当期所得税资产及当期所得税负债的法定权利；</w:t>
      </w:r>
    </w:p>
    <w:p>
      <w:pPr>
        <w:pStyle w:val="Style21"/>
        <w:keepNext w:val="0"/>
        <w:keepLines w:val="0"/>
        <w:widowControl w:val="0"/>
        <w:numPr>
          <w:ilvl w:val="0"/>
          <w:numId w:val="19"/>
        </w:numPr>
        <w:shd w:val="clear" w:color="auto" w:fill="auto"/>
        <w:tabs>
          <w:tab w:pos="422" w:val="left"/>
        </w:tabs>
        <w:bidi w:val="0"/>
        <w:spacing w:before="0" w:after="260" w:line="313" w:lineRule="exact"/>
        <w:ind w:left="0" w:right="0" w:firstLine="0"/>
        <w:jc w:val="left"/>
        <w:sectPr>
          <w:headerReference w:type="default" r:id="rId231"/>
          <w:footerReference w:type="default" r:id="rId232"/>
          <w:headerReference w:type="even" r:id="rId233"/>
          <w:footerReference w:type="even" r:id="rId234"/>
          <w:footnotePr>
            <w:pos w:val="pageBottom"/>
            <w:numFmt w:val="decimal"/>
            <w:numRestart w:val="continuous"/>
          </w:footnotePr>
          <w:pgSz w:w="11900" w:h="16840"/>
          <w:pgMar w:top="1153" w:right="1045" w:bottom="1438" w:left="1083" w:header="725" w:footer="3" w:gutter="0"/>
          <w:cols w:space="720"/>
          <w:noEndnote/>
          <w:rtlGutter w:val="0"/>
          <w:docGrid w:linePitch="360"/>
        </w:sectPr>
      </w:pPr>
      <w:bookmarkStart w:id="1011" w:name="bookmark1011"/>
      <w:bookmarkEnd w:id="1011"/>
      <w:r>
        <w:rPr>
          <w:color w:val="000000"/>
          <w:spacing w:val="0"/>
          <w:w w:val="100"/>
          <w:position w:val="0"/>
        </w:rPr>
        <w:t>递延所得税资产及递延所得税负债是与同一税收征管部门对同一纳税主体征收的所得税相关或者是对不同的纳税主体 相关，但在未来每一具有重要性的递延所得税资产及负债转回的期间内，涉及的纳税主体意图以净额结算当期所得税资产和 负债或是同时取得资产、清偿负债。</w:t>
      </w:r>
    </w:p>
    <w:p>
      <w:pPr>
        <w:pStyle w:val="Style34"/>
        <w:keepNext/>
        <w:keepLines/>
        <w:widowControl w:val="0"/>
        <w:shd w:val="clear" w:color="auto" w:fill="auto"/>
        <w:bidi w:val="0"/>
        <w:spacing w:before="0" w:after="380" w:line="240" w:lineRule="auto"/>
        <w:ind w:left="0" w:right="0" w:firstLine="0"/>
        <w:jc w:val="both"/>
      </w:pPr>
      <w:bookmarkStart w:id="1012" w:name="bookmark1012"/>
      <w:bookmarkStart w:id="1013" w:name="bookmark1013"/>
      <w:bookmarkStart w:id="1014" w:name="bookmark1014"/>
      <w:r>
        <w:rPr>
          <w:rFonts w:ascii="Times New Roman" w:eastAsia="Times New Roman" w:hAnsi="Times New Roman" w:cs="Times New Roman"/>
          <w:color w:val="000000"/>
          <w:spacing w:val="0"/>
          <w:w w:val="100"/>
          <w:position w:val="0"/>
        </w:rPr>
        <w:t>27</w:t>
      </w:r>
      <w:r>
        <w:rPr>
          <w:color w:val="000000"/>
          <w:spacing w:val="0"/>
          <w:w w:val="100"/>
          <w:position w:val="0"/>
        </w:rPr>
        <w:t>、租赁</w:t>
      </w:r>
      <w:bookmarkEnd w:id="1012"/>
      <w:bookmarkEnd w:id="1013"/>
      <w:bookmarkEnd w:id="1014"/>
    </w:p>
    <w:p>
      <w:pPr>
        <w:pStyle w:val="Style34"/>
        <w:keepNext/>
        <w:keepLines/>
        <w:widowControl w:val="0"/>
        <w:shd w:val="clear" w:color="auto" w:fill="auto"/>
        <w:bidi w:val="0"/>
        <w:spacing w:before="0" w:after="280" w:line="240" w:lineRule="auto"/>
        <w:ind w:left="0" w:right="0" w:firstLine="0"/>
        <w:jc w:val="both"/>
      </w:pPr>
      <w:bookmarkStart w:id="1012" w:name="bookmark1012"/>
      <w:bookmarkStart w:id="1013" w:name="bookmark1013"/>
      <w:bookmarkStart w:id="1015" w:name="bookmark1015"/>
      <w:bookmarkStart w:id="1016" w:name="bookmark1016"/>
      <w:r>
        <w:rPr>
          <w:color w:val="000000"/>
          <w:spacing w:val="0"/>
          <w:w w:val="100"/>
          <w:position w:val="0"/>
        </w:rPr>
        <w:t>（</w:t>
      </w:r>
      <w:bookmarkEnd w:id="1015"/>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12"/>
      <w:bookmarkEnd w:id="1013"/>
      <w:bookmarkEnd w:id="1016"/>
    </w:p>
    <w:p>
      <w:pPr>
        <w:pStyle w:val="Style21"/>
        <w:keepNext w:val="0"/>
        <w:keepLines w:val="0"/>
        <w:widowControl w:val="0"/>
        <w:shd w:val="clear" w:color="auto" w:fill="auto"/>
        <w:bidi w:val="0"/>
        <w:spacing w:before="0" w:after="0" w:line="310" w:lineRule="exact"/>
        <w:ind w:left="0" w:right="0" w:firstLine="0"/>
        <w:jc w:val="both"/>
      </w:pPr>
      <w:bookmarkStart w:id="1017" w:name="bookmark1017"/>
      <w:r>
        <w:rPr>
          <w:color w:val="000000"/>
          <w:spacing w:val="0"/>
          <w:w w:val="100"/>
          <w:position w:val="0"/>
        </w:rPr>
        <w:t>租</w:t>
      </w:r>
      <w:bookmarkEnd w:id="1017"/>
      <w:r>
        <w:rPr>
          <w:color w:val="000000"/>
          <w:spacing w:val="0"/>
          <w:w w:val="100"/>
          <w:position w:val="0"/>
        </w:rPr>
        <w:t>赁分为融资租赁和经营租赁。融资租赁是指无论所有权最终是否转移但实质上转移了与资产所有权有关的全部风险和报 酬的租赁。经营租赁是指除融资租赁以外的其他租赁。</w:t>
      </w:r>
    </w:p>
    <w:p>
      <w:pPr>
        <w:pStyle w:val="Style21"/>
        <w:keepNext w:val="0"/>
        <w:keepLines w:val="0"/>
        <w:widowControl w:val="0"/>
        <w:shd w:val="clear" w:color="auto" w:fill="auto"/>
        <w:tabs>
          <w:tab w:pos="445" w:val="left"/>
        </w:tabs>
        <w:bidi w:val="0"/>
        <w:spacing w:before="0" w:after="0" w:line="310" w:lineRule="exact"/>
        <w:ind w:left="0" w:right="0" w:firstLine="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经营租赁租入资产</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经营租赁租入资产的租金费用在租赁期内按直线法确认为相关资产成本或费用。</w:t>
      </w:r>
    </w:p>
    <w:p>
      <w:pPr>
        <w:pStyle w:val="Style21"/>
        <w:keepNext w:val="0"/>
        <w:keepLines w:val="0"/>
        <w:widowControl w:val="0"/>
        <w:shd w:val="clear" w:color="auto" w:fill="auto"/>
        <w:tabs>
          <w:tab w:pos="445" w:val="left"/>
        </w:tabs>
        <w:bidi w:val="0"/>
        <w:spacing w:before="0" w:after="0" w:line="310" w:lineRule="exact"/>
        <w:ind w:left="0" w:right="0" w:firstLine="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经营租赁租出资产</w:t>
      </w:r>
    </w:p>
    <w:p>
      <w:pPr>
        <w:pStyle w:val="Style21"/>
        <w:keepNext w:val="0"/>
        <w:keepLines w:val="0"/>
        <w:widowControl w:val="0"/>
        <w:shd w:val="clear" w:color="auto" w:fill="auto"/>
        <w:bidi w:val="0"/>
        <w:spacing w:before="0" w:after="380" w:line="310" w:lineRule="exact"/>
        <w:ind w:left="0" w:right="0" w:firstLine="0"/>
        <w:jc w:val="both"/>
      </w:pPr>
      <w:r>
        <w:rPr>
          <w:color w:val="000000"/>
          <w:spacing w:val="0"/>
          <w:w w:val="100"/>
          <w:position w:val="0"/>
        </w:rPr>
        <w:t>经营租赁租出的固定资产按固定资产的折旧方法所述的折旧政策计提折旧，按除存货及金融资产外的其他资产减值所述的 会计政策计提减值准备。经营租赁的租金收入在租赁期内按直线法确认为收入。经营租赁租出资产发生的初始直接费用，金 额较大时予以资本化，在整个租赁期内按照与确认租金收入相同的基础分期计入当期损益;金额较小时,直接计入当期损益。</w:t>
      </w:r>
    </w:p>
    <w:p>
      <w:pPr>
        <w:pStyle w:val="Style34"/>
        <w:keepNext/>
        <w:keepLines/>
        <w:widowControl w:val="0"/>
        <w:shd w:val="clear" w:color="auto" w:fill="auto"/>
        <w:bidi w:val="0"/>
        <w:spacing w:before="0" w:after="280" w:line="240" w:lineRule="auto"/>
        <w:ind w:left="0" w:right="0" w:firstLine="0"/>
        <w:jc w:val="both"/>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2</w:t>
      </w:r>
      <w:bookmarkEnd w:id="1022"/>
      <w:r>
        <w:rPr>
          <w:rFonts w:ascii="Times New Roman" w:eastAsia="Times New Roman" w:hAnsi="Times New Roman" w:cs="Times New Roman"/>
          <w:color w:val="000000"/>
          <w:spacing w:val="0"/>
          <w:w w:val="100"/>
          <w:position w:val="0"/>
        </w:rPr>
        <w:t>8</w:t>
      </w:r>
      <w:r>
        <w:rPr>
          <w:color w:val="000000"/>
          <w:spacing w:val="0"/>
          <w:w w:val="100"/>
          <w:position w:val="0"/>
        </w:rPr>
        <w:t>、其他重要的会计政策和会计估计</w:t>
      </w:r>
      <w:bookmarkEnd w:id="1020"/>
      <w:bookmarkEnd w:id="1021"/>
      <w:bookmarkEnd w:id="1023"/>
    </w:p>
    <w:p>
      <w:pPr>
        <w:pStyle w:val="Style21"/>
        <w:keepNext w:val="0"/>
        <w:keepLines w:val="0"/>
        <w:widowControl w:val="0"/>
        <w:shd w:val="clear" w:color="auto" w:fill="auto"/>
        <w:tabs>
          <w:tab w:pos="445" w:val="left"/>
        </w:tabs>
        <w:bidi w:val="0"/>
        <w:spacing w:before="0" w:after="0" w:line="312" w:lineRule="exact"/>
        <w:ind w:left="0" w:right="0" w:firstLine="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公允价值的计量</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除特别声明外，本集团按下述原则计量公允价值：</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本集团估计公允价值时，考虑市场参与者在计量日对相关资产或负债进行定价时考虑的特征（包括资产状况及所在位置、对 资产出售或者使用的限制等），并采用在当前情况下适用并且有足够可利用数据和其他信息支持的估值技术。使用的估值技 术主要包括市场法、收益法和成本法。</w:t>
      </w:r>
    </w:p>
    <w:p>
      <w:pPr>
        <w:pStyle w:val="Style21"/>
        <w:keepNext w:val="0"/>
        <w:keepLines w:val="0"/>
        <w:widowControl w:val="0"/>
        <w:shd w:val="clear" w:color="auto" w:fill="auto"/>
        <w:tabs>
          <w:tab w:pos="445" w:val="left"/>
        </w:tabs>
        <w:bidi w:val="0"/>
        <w:spacing w:before="0" w:after="0" w:line="312" w:lineRule="exact"/>
        <w:ind w:left="0" w:right="0" w:firstLine="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股利分配</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资产负债表日后，经审议批准的利润分配方案中拟分配的股利或利润，不确认为资产负债表日的负债，在附注中单独披露。</w:t>
      </w:r>
    </w:p>
    <w:p>
      <w:pPr>
        <w:pStyle w:val="Style21"/>
        <w:keepNext w:val="0"/>
        <w:keepLines w:val="0"/>
        <w:widowControl w:val="0"/>
        <w:shd w:val="clear" w:color="auto" w:fill="auto"/>
        <w:tabs>
          <w:tab w:pos="445" w:val="left"/>
        </w:tabs>
        <w:bidi w:val="0"/>
        <w:spacing w:before="0" w:after="0" w:line="312" w:lineRule="exact"/>
        <w:ind w:left="0" w:right="0" w:firstLine="0"/>
        <w:jc w:val="both"/>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关联方</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一方控制、共同控制另一方或对另一方施加重大影响，以及两方或两方以上同受一方控制、共同控制的，构成关联方。关联 方可为个人或企业。仅仅同受国家控制而不存在其他关联方关系的企业，不构成关联方。</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此外，本公司同时根据证监会颁布的《上市公司信息披露管理办法》确定本集团或本公司的关联方。</w:t>
      </w:r>
    </w:p>
    <w:p>
      <w:pPr>
        <w:pStyle w:val="Style21"/>
        <w:keepNext w:val="0"/>
        <w:keepLines w:val="0"/>
        <w:widowControl w:val="0"/>
        <w:shd w:val="clear" w:color="auto" w:fill="auto"/>
        <w:tabs>
          <w:tab w:pos="445" w:val="left"/>
        </w:tabs>
        <w:bidi w:val="0"/>
        <w:spacing w:before="0" w:after="0" w:line="312" w:lineRule="exact"/>
        <w:ind w:left="0" w:right="0" w:firstLine="0"/>
        <w:jc w:val="both"/>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分部报告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本集团以内部组织结构、管理要求、内部报告制度为依据确定经营分部。如果两个或多个经营分部存在相似经济特征且同时 在各单项产品或劳务的性质、生产过程的性质、产品或劳务的客户类型、销售产品或提供劳务的方式、生产产品及提供劳务 受法律及行政法规的影响等方面具有相同或相似性的，可以合并为一个经营分部。本集团以经营分部为基础考虑重要性原则 后确定报告分部。</w:t>
      </w:r>
    </w:p>
    <w:p>
      <w:pPr>
        <w:pStyle w:val="Style21"/>
        <w:keepNext w:val="0"/>
        <w:keepLines w:val="0"/>
        <w:widowControl w:val="0"/>
        <w:shd w:val="clear" w:color="auto" w:fill="auto"/>
        <w:tabs>
          <w:tab w:pos="445" w:val="left"/>
        </w:tabs>
        <w:bidi w:val="0"/>
        <w:spacing w:before="0" w:after="0" w:line="312" w:lineRule="exact"/>
        <w:ind w:left="0" w:right="0" w:firstLine="0"/>
        <w:jc w:val="both"/>
      </w:pPr>
      <w:bookmarkStart w:id="1028" w:name="bookmark1028"/>
      <w:r>
        <w:rPr>
          <w:color w:val="000000"/>
          <w:spacing w:val="0"/>
          <w:w w:val="100"/>
          <w:position w:val="0"/>
        </w:rPr>
        <w:t>（</w:t>
      </w:r>
      <w:bookmarkEnd w:id="102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主要会计估计及判断</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编制财务报表时，本集团管理层需要运用估计和假设，这些估计和假设会对会计政策的应用及资产、负债、收入及费用的金 额产生影响。实际情况可能与这些估计不同。本集团管理层对估计涉及的关键假设和不确定因素的判断进行持续评估，会计 估计变更的影响在变更当期和未来期间予以确认。</w:t>
      </w:r>
    </w:p>
    <w:p>
      <w:pPr>
        <w:pStyle w:val="Style21"/>
        <w:keepNext w:val="0"/>
        <w:keepLines w:val="0"/>
        <w:widowControl w:val="0"/>
        <w:numPr>
          <w:ilvl w:val="0"/>
          <w:numId w:val="19"/>
        </w:numPr>
        <w:shd w:val="clear" w:color="auto" w:fill="auto"/>
        <w:tabs>
          <w:tab w:pos="372" w:val="left"/>
        </w:tabs>
        <w:bidi w:val="0"/>
        <w:spacing w:before="0" w:after="0" w:line="312" w:lineRule="exact"/>
        <w:ind w:left="0" w:right="0" w:firstLine="0"/>
        <w:jc w:val="both"/>
      </w:pPr>
      <w:bookmarkStart w:id="1029" w:name="bookmark1029"/>
      <w:bookmarkEnd w:id="1029"/>
      <w:r>
        <w:rPr>
          <w:color w:val="000000"/>
          <w:spacing w:val="0"/>
          <w:w w:val="100"/>
          <w:position w:val="0"/>
        </w:rPr>
        <w:t>主要会计估计</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除固定资产及无形资产等资产的折旧及摊销和各类资产减值涉及的会计估计外，其他主要的会计估计如下：</w:t>
      </w:r>
    </w:p>
    <w:p>
      <w:pPr>
        <w:pStyle w:val="Style21"/>
        <w:keepNext w:val="0"/>
        <w:keepLines w:val="0"/>
        <w:widowControl w:val="0"/>
        <w:shd w:val="clear" w:color="auto" w:fill="auto"/>
        <w:bidi w:val="0"/>
        <w:spacing w:before="0" w:after="0" w:line="312" w:lineRule="exact"/>
        <w:ind w:left="0" w:right="0" w:firstLine="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sz w:val="18"/>
          <w:szCs w:val="18"/>
        </w:rPr>
        <w:t>I</w:t>
      </w:r>
      <w:r>
        <w:rPr>
          <w:color w:val="000000"/>
          <w:spacing w:val="0"/>
          <w:w w:val="100"/>
          <w:position w:val="0"/>
        </w:rPr>
        <w:t>） 附注七、</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递延所得税资产的确认；</w:t>
      </w:r>
    </w:p>
    <w:p>
      <w:pPr>
        <w:pStyle w:val="Style21"/>
        <w:keepNext w:val="0"/>
        <w:keepLines w:val="0"/>
        <w:widowControl w:val="0"/>
        <w:shd w:val="clear" w:color="auto" w:fill="auto"/>
        <w:tabs>
          <w:tab w:pos="454" w:val="left"/>
        </w:tabs>
        <w:bidi w:val="0"/>
        <w:spacing w:before="0" w:after="0" w:line="312" w:lineRule="exact"/>
        <w:ind w:left="0" w:right="0" w:firstLine="0"/>
        <w:jc w:val="both"/>
      </w:pPr>
      <w:bookmarkStart w:id="1031" w:name="bookmark1031"/>
      <w:r>
        <w:rPr>
          <w:color w:val="000000"/>
          <w:spacing w:val="0"/>
          <w:w w:val="100"/>
          <w:position w:val="0"/>
        </w:rPr>
        <w:t>（</w:t>
      </w:r>
      <w:bookmarkEnd w:id="1031"/>
      <w:r>
        <w:rPr>
          <w:rFonts w:ascii="Times New Roman" w:eastAsia="Times New Roman" w:hAnsi="Times New Roman" w:cs="Times New Roman"/>
          <w:color w:val="000000"/>
          <w:spacing w:val="0"/>
          <w:w w:val="100"/>
          <w:position w:val="0"/>
          <w:sz w:val="18"/>
          <w:szCs w:val="18"/>
        </w:rPr>
        <w:t>II</w:t>
      </w:r>
      <w:r>
        <w:rPr>
          <w:color w:val="000000"/>
          <w:spacing w:val="0"/>
          <w:w w:val="100"/>
          <w:position w:val="0"/>
        </w:rPr>
        <w:t>）</w:t>
        <w:tab/>
        <w:t>附注十一、金融工具的公允价值估值；</w:t>
      </w:r>
    </w:p>
    <w:p>
      <w:pPr>
        <w:pStyle w:val="Style21"/>
        <w:keepNext w:val="0"/>
        <w:keepLines w:val="0"/>
        <w:widowControl w:val="0"/>
        <w:numPr>
          <w:ilvl w:val="0"/>
          <w:numId w:val="19"/>
        </w:numPr>
        <w:shd w:val="clear" w:color="auto" w:fill="auto"/>
        <w:tabs>
          <w:tab w:pos="372" w:val="left"/>
        </w:tabs>
        <w:bidi w:val="0"/>
        <w:spacing w:before="0" w:after="0" w:line="312" w:lineRule="exact"/>
        <w:ind w:left="0" w:right="0" w:firstLine="0"/>
        <w:jc w:val="both"/>
      </w:pPr>
      <w:bookmarkStart w:id="1032" w:name="bookmark1032"/>
      <w:bookmarkEnd w:id="1032"/>
      <w:r>
        <w:rPr>
          <w:color w:val="000000"/>
          <w:spacing w:val="0"/>
          <w:w w:val="100"/>
          <w:position w:val="0"/>
        </w:rPr>
        <w:t>主要会计判断</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本集团在运用会计政策过程中做出的重要判断如下：</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附注九、在其他主体中的权益披露对其他主体实施控制、共同控制或重大影响的重大判断和假设。</w:t>
      </w:r>
      <w:r>
        <w:br w:type="page"/>
      </w:r>
    </w:p>
    <w:p>
      <w:pPr>
        <w:pStyle w:val="Style34"/>
        <w:keepNext/>
        <w:keepLines/>
        <w:widowControl w:val="0"/>
        <w:shd w:val="clear" w:color="auto" w:fill="auto"/>
        <w:bidi w:val="0"/>
        <w:spacing w:before="0" w:line="240" w:lineRule="auto"/>
        <w:ind w:left="0" w:right="0" w:firstLine="0"/>
        <w:jc w:val="both"/>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bookmarkEnd w:id="1035"/>
      <w:r>
        <w:rPr>
          <w:rFonts w:ascii="Times New Roman" w:eastAsia="Times New Roman" w:hAnsi="Times New Roman" w:cs="Times New Roman"/>
          <w:color w:val="000000"/>
          <w:spacing w:val="0"/>
          <w:w w:val="100"/>
          <w:position w:val="0"/>
        </w:rPr>
        <w:t>9</w:t>
      </w:r>
      <w:r>
        <w:rPr>
          <w:color w:val="000000"/>
          <w:spacing w:val="0"/>
          <w:w w:val="100"/>
          <w:position w:val="0"/>
        </w:rPr>
        <w:t>、重要会计政策和会计估计变更</w:t>
      </w:r>
      <w:bookmarkEnd w:id="1033"/>
      <w:bookmarkEnd w:id="1034"/>
      <w:bookmarkEnd w:id="1036"/>
    </w:p>
    <w:p>
      <w:pPr>
        <w:pStyle w:val="Style34"/>
        <w:keepNext/>
        <w:keepLines/>
        <w:widowControl w:val="0"/>
        <w:shd w:val="clear" w:color="auto" w:fill="auto"/>
        <w:bidi w:val="0"/>
        <w:spacing w:before="0" w:line="240" w:lineRule="auto"/>
        <w:ind w:left="0" w:right="0" w:firstLine="0"/>
        <w:jc w:val="both"/>
      </w:pPr>
      <w:bookmarkStart w:id="1033" w:name="bookmark1033"/>
      <w:bookmarkStart w:id="1034" w:name="bookmark1034"/>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3"/>
      <w:bookmarkEnd w:id="1034"/>
      <w:bookmarkEnd w:id="1038"/>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072"/>
        <w:gridCol w:w="1416"/>
        <w:gridCol w:w="20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582" w:hRule="exact"/>
        </w:trPr>
        <w:tc>
          <w:tcPr>
            <w:tcBorders>
              <w:top w:val="single" w:sz="4"/>
              <w:left w:val="single" w:sz="4"/>
            </w:tcBorders>
            <w:shd w:val="clear" w:color="auto" w:fill="FFFFFF"/>
            <w:vAlign w:val="center"/>
          </w:tcPr>
          <w:p>
            <w:pPr>
              <w:pStyle w:val="Style27"/>
              <w:keepNext w:val="0"/>
              <w:keepLines w:val="0"/>
              <w:widowControl w:val="0"/>
              <w:shd w:val="clear" w:color="auto" w:fill="auto"/>
              <w:tabs>
                <w:tab w:leader="hyphen" w:pos="758" w:val="left"/>
              </w:tabs>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日颁布了《关于修订印发</w:t>
            </w:r>
            <w:r>
              <w:rPr>
                <w:color w:val="000000"/>
                <w:spacing w:val="0"/>
                <w:w w:val="100"/>
                <w:position w:val="0"/>
                <w:sz w:val="18"/>
                <w:szCs w:val="18"/>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号一 一收入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color w:val="000000"/>
                <w:spacing w:val="0"/>
                <w:w w:val="100"/>
                <w:position w:val="0"/>
              </w:rPr>
              <w:t>要求在境内外同时上市的企业以及在 境外上市并采用国际财务报告准则或企业会计准则编制财务报表的企业</w:t>
            </w:r>
            <w:r>
              <w:rPr>
                <w:color w:val="000000"/>
                <w:spacing w:val="0"/>
                <w:w w:val="100"/>
                <w:position w:val="0"/>
                <w:sz w:val="18"/>
                <w:szCs w:val="18"/>
              </w:rPr>
              <w:t>，</w:t>
            </w:r>
            <w:r>
              <w:rPr>
                <w:color w:val="000000"/>
                <w:spacing w:val="0"/>
                <w:w w:val="100"/>
                <w:position w:val="0"/>
              </w:rPr>
              <w:t xml:space="preserve">自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 公司按照财政部于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日颁布了《关于修订印发</w:t>
            </w:r>
            <w:r>
              <w:rPr>
                <w:color w:val="000000"/>
                <w:spacing w:val="0"/>
                <w:w w:val="100"/>
                <w:position w:val="0"/>
                <w:sz w:val="18"/>
                <w:szCs w:val="18"/>
              </w:rPr>
              <w:t>〈</w:t>
            </w:r>
            <w:r>
              <w:rPr>
                <w:color w:val="000000"/>
                <w:spacing w:val="0"/>
                <w:w w:val="100"/>
                <w:position w:val="0"/>
              </w:rPr>
              <w:t xml:space="preserve">企业会计准则第 </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tab/>
              <w:t>收入</w:t>
            </w:r>
            <w:r>
              <w:rPr>
                <w:color w:val="000000"/>
                <w:spacing w:val="0"/>
                <w:w w:val="100"/>
                <w:position w:val="0"/>
                <w:sz w:val="18"/>
                <w:szCs w:val="18"/>
              </w:rPr>
              <w:t>〉</w:t>
            </w:r>
            <w:r>
              <w:rPr>
                <w:color w:val="000000"/>
                <w:spacing w:val="0"/>
                <w:w w:val="100"/>
                <w:position w:val="0"/>
              </w:rPr>
              <w:t>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的相关规定执行，其他未变更</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部分仍按照财政部前期颁布的《企业会计准则一基本准则》和相关具体准 则、企业会计准则应用指南、企业会计准则解释及其他相关规定执行。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公司第二届董事 会第十六次临时 会议、第二届监 事会第十六次临 时会议审议通过 相关会计政策变 更议案。</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 在巨潮资讯网披露《关于 会计政策变更的公告》</w:t>
            </w:r>
          </w:p>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2020-005</w:t>
            </w:r>
            <w:r>
              <w:rPr>
                <w:color w:val="000000"/>
                <w:spacing w:val="0"/>
                <w:w w:val="100"/>
                <w:position w:val="0"/>
              </w:rPr>
              <w:t>）</w:t>
            </w:r>
          </w:p>
        </w:tc>
      </w:tr>
      <w:tr>
        <w:trPr>
          <w:trHeight w:val="383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日发布了《企业会计准则解释第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日起施行，不 要求追溯调整。①关联方的认定解释第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号明确了以下情形构成关联方： 企业与其所属企业集团的其他成员单位（包括母公司和子公司）的合营企业 或联营企业；企业的合营企业与企业的其他合营企业或联营企业。此外，解 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号也明确了仅仅同受一方重大影响的两方或两方以上的企业不构成 关联方，并补充说明了联营企业包括联营企业及其子公司，合营企业包括合 营企业及其子公司。②业务的定义解释第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号完善了业务构成的三个要 素，细化了构成业务的判断条件，同时引入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选择，以在一定程 度上简化非同一控制下取得组合是否构成业务的判断等问题。本公司自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号，比较财务报表不做调整，执行解释第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 未对本公司财务状况和经营成果产生重大影响。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日发布了《新冠肺炎疫情相关租金减让会计处理规 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日起施行，允许企业对</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日至该规定施行日之间发生的相关租金减让进行调整。按照该规 定，对于满足条件的由新冠肺炎疫情直接引发的租金减免、延期支付租金等 租金减让，企业可以选择采用简化方法进行会计处理。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本集团自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年度起执行了财政部近年颁布的以下企业会计准则相关规定:</w:t>
      </w:r>
    </w:p>
    <w:p>
      <w:pPr>
        <w:pStyle w:val="Style21"/>
        <w:keepNext w:val="0"/>
        <w:keepLines w:val="0"/>
        <w:widowControl w:val="0"/>
        <w:numPr>
          <w:ilvl w:val="0"/>
          <w:numId w:val="19"/>
        </w:numPr>
        <w:shd w:val="clear" w:color="auto" w:fill="auto"/>
        <w:tabs>
          <w:tab w:pos="514" w:val="left"/>
        </w:tabs>
        <w:bidi w:val="0"/>
        <w:spacing w:before="0" w:after="0" w:line="315" w:lineRule="exact"/>
        <w:ind w:left="0" w:right="0" w:firstLine="0"/>
        <w:jc w:val="both"/>
      </w:pPr>
      <w:bookmarkStart w:id="1039" w:name="bookmark1039"/>
      <w:bookmarkEnd w:id="1039"/>
      <w:r>
        <w:rPr>
          <w:color w:val="000000"/>
          <w:spacing w:val="0"/>
          <w:w w:val="100"/>
          <w:position w:val="0"/>
        </w:rPr>
        <w:t>《企业会计准则第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号——收入（修订）》（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numPr>
          <w:ilvl w:val="0"/>
          <w:numId w:val="19"/>
        </w:numPr>
        <w:shd w:val="clear" w:color="auto" w:fill="auto"/>
        <w:tabs>
          <w:tab w:pos="514" w:val="left"/>
        </w:tabs>
        <w:bidi w:val="0"/>
        <w:spacing w:before="0" w:after="0" w:line="315" w:lineRule="exact"/>
        <w:ind w:left="0" w:right="0" w:firstLine="0"/>
        <w:jc w:val="both"/>
      </w:pPr>
      <w:bookmarkStart w:id="1040" w:name="bookmark1040"/>
      <w:bookmarkEnd w:id="1040"/>
      <w:r>
        <w:rPr>
          <w:color w:val="000000"/>
          <w:spacing w:val="0"/>
          <w:w w:val="100"/>
          <w:position w:val="0"/>
        </w:rPr>
        <w:t>《企业会计准则解释第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号》（财会</w:t>
      </w: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numPr>
          <w:ilvl w:val="0"/>
          <w:numId w:val="19"/>
        </w:numPr>
        <w:shd w:val="clear" w:color="auto" w:fill="auto"/>
        <w:tabs>
          <w:tab w:pos="514" w:val="left"/>
          <w:tab w:pos="5365" w:val="left"/>
        </w:tabs>
        <w:bidi w:val="0"/>
        <w:spacing w:before="0" w:after="0" w:line="315" w:lineRule="exact"/>
        <w:ind w:left="0" w:right="0" w:firstLine="0"/>
        <w:jc w:val="both"/>
      </w:pPr>
      <w:bookmarkStart w:id="1041" w:name="bookmark1041"/>
      <w:bookmarkEnd w:id="1041"/>
      <w:r>
        <w:rPr>
          <w:color w:val="000000"/>
          <w:spacing w:val="0"/>
          <w:w w:val="100"/>
          <w:position w:val="0"/>
        </w:rPr>
        <w:t>《新冠肺炎疫情相关租金减让会计处理规定》（财会〔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新收入准则</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新收入准则取代了财政部于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年颁布的《企业会计准则第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号——收入》及《企业会计准则第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号——建造合同》（统称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原收入准则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315" w:lineRule="exact"/>
        <w:ind w:left="0" w:right="0" w:firstLine="0"/>
        <w:jc w:val="both"/>
        <w:sectPr>
          <w:headerReference w:type="default" r:id="rId235"/>
          <w:footerReference w:type="default" r:id="rId236"/>
          <w:headerReference w:type="even" r:id="rId237"/>
          <w:footerReference w:type="even" r:id="rId238"/>
          <w:headerReference w:type="first" r:id="rId239"/>
          <w:footerReference w:type="first" r:id="rId240"/>
          <w:footnotePr>
            <w:pos w:val="pageBottom"/>
            <w:numFmt w:val="decimal"/>
            <w:numRestart w:val="continuous"/>
          </w:footnotePr>
          <w:pgSz w:w="11900" w:h="16840"/>
          <w:pgMar w:top="1534" w:right="980" w:bottom="1367" w:left="1003" w:header="0" w:footer="3" w:gutter="0"/>
          <w:cols w:space="720"/>
          <w:noEndnote/>
          <w:titlePg/>
          <w:rtlGutter w:val="0"/>
          <w:docGrid w:linePitch="360"/>
        </w:sectPr>
      </w:pPr>
      <w:r>
        <w:rPr>
          <w:color w:val="000000"/>
          <w:spacing w:val="0"/>
          <w:w w:val="100"/>
          <w:position w:val="0"/>
        </w:rPr>
        <w:t>在原收入准则下，本集团以风险报酬转移作为收入确认时点的判断标准。本集团销售商品收入在同时满足下列条件时予以确 认，即：商品所有权上的主要风险和报酬已转移给购货方，收入的金额及相关成本能够可靠计量，相关的经济利益很可能流 入本集团，本集团既没有保留通常与所有权相联系的继续管理权，也没有对已售出的商品实施有效控制。提供劳务收入和建 造合同收入按照资产负债表日的完工百分比法进行确认。</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在新收入准则下，本集团以控制权转移作为收入确认时点的判断标准:</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本集团在履行了合同中的履约义务，即在客户取得相关商品或服务的控制权时，确认收入。在满足一定条件时，本集 团属于在某一时段内履行履约义务，否则，属于在某一时点履行履约义务。合同中包含两项或多项履约义务的，本集团在合 同开始日，按照各单项履约义务所承诺商品或服务的单独售价的相对比例，将交易价格分摊至各单项履约义务，按照分摊至 各单项履约义务的交易价格计量收入。交易价格是本集团因向客户转让商品或服务而预期有权收取的对价金额，不包括代第 三方收取的款项。本集团确认的交易价格不超过在相关不确定性消除时累计已确认收入极可能不会发生重大转回的金额。合 同中存在重大融资成分的，本集团按照假定客户在取得商品或服务控制权时即以现金支付的应付金额确定交易价格。该交易 价格与合同对价之间的差额，在合同期间内采用实际利率法摊销。</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1042" w:name="bookmark1042"/>
      <w:bookmarkEnd w:id="1042"/>
      <w:r>
        <w:rPr>
          <w:color w:val="000000"/>
          <w:spacing w:val="0"/>
          <w:w w:val="100"/>
          <w:position w:val="0"/>
        </w:rPr>
        <w:t>本集团依据新收入准则有关特定事项或交易的具体规定调整了相关会计政策。例如：质保金、主要责任人和代理人的 区分、预收款等。</w:t>
      </w:r>
    </w:p>
    <w:p>
      <w:pPr>
        <w:pStyle w:val="Style21"/>
        <w:keepNext w:val="0"/>
        <w:keepLines w:val="0"/>
        <w:widowControl w:val="0"/>
        <w:numPr>
          <w:ilvl w:val="0"/>
          <w:numId w:val="19"/>
        </w:numPr>
        <w:shd w:val="clear" w:color="auto" w:fill="auto"/>
        <w:tabs>
          <w:tab w:pos="421" w:val="left"/>
        </w:tabs>
        <w:bidi w:val="0"/>
        <w:spacing w:before="0" w:after="0" w:line="312" w:lineRule="exact"/>
        <w:ind w:left="0" w:right="0" w:firstLine="0"/>
        <w:jc w:val="both"/>
      </w:pPr>
      <w:bookmarkStart w:id="1043" w:name="bookmark1043"/>
      <w:bookmarkEnd w:id="1043"/>
      <w:r>
        <w:rPr>
          <w:color w:val="000000"/>
          <w:spacing w:val="0"/>
          <w:w w:val="100"/>
          <w:position w:val="0"/>
        </w:rPr>
        <w:t>本集团依据新收入准则的规定，根据履行履约义务与客户付款之间的关系在资产负债表中列示合同资产或合同负债。 同时，本集团依据新收入准则对与收入相关的信息披露要求提供更多披露，例如相关会计政策、有重大影响的判断、与客户 合同相关的信息等。</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本集团根据首次执行新收入准则的累积影响数，调整本集团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年年初留存收益及财务报表其他相关项目金额，未对比较财 务报表数据进行调整。本集团仅对在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日尚未完成的合同的累积影响数调整本集团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年年初留存收益及财务报 表其他相关项目金额。</w:t>
      </w:r>
    </w:p>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采用变更后会计政策编制的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年度合并利润表及母公司利润表各项目、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日合并资产负债表及母公司资产负 债表各项目，与假定采用变更前会计政策编制的这些报表项目相比，受影响项目的增减情况如下：</w:t>
      </w:r>
    </w:p>
    <w:p>
      <w:pPr>
        <w:pStyle w:val="Style21"/>
        <w:keepNext w:val="0"/>
        <w:keepLines w:val="0"/>
        <w:widowControl w:val="0"/>
        <w:shd w:val="clear" w:color="auto" w:fill="auto"/>
        <w:tabs>
          <w:tab w:pos="421" w:val="left"/>
        </w:tabs>
        <w:bidi w:val="0"/>
        <w:spacing w:before="0" w:after="120" w:line="326" w:lineRule="exact"/>
        <w:ind w:left="0" w:right="0" w:firstLine="0"/>
        <w:jc w:val="both"/>
      </w:pPr>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会计政策变更对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年度合并利润表及母公司利润表各项目的影响分析：</w:t>
      </w: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4210"/>
        <w:gridCol w:w="2846"/>
        <w:gridCol w:w="2818"/>
      </w:tblGrid>
      <w:tr>
        <w:trPr>
          <w:trHeight w:val="35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采用变更后会计政策增加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（减少）当期报表项目金额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本集团</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17,512,828.13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15,492,498.11</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4,337,589.40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4,058,381.80</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-319,682.03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-1,267,161.92</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1,319,682.03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1,267,161.92</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13,175,238.73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11,434,116.31</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80" w:right="0" w:firstLine="0"/>
              <w:jc w:val="left"/>
              <w:rPr>
                <w:sz w:val="18"/>
                <w:szCs w:val="18"/>
              </w:rPr>
            </w:pPr>
            <w:r>
              <w:rPr>
                <w:rFonts w:ascii="Times New Roman" w:eastAsia="Times New Roman" w:hAnsi="Times New Roman" w:cs="Times New Roman"/>
                <w:color w:val="000000"/>
                <w:spacing w:val="0"/>
                <w:w w:val="100"/>
                <w:position w:val="0"/>
                <w:sz w:val="18"/>
                <w:szCs w:val="18"/>
              </w:rPr>
              <w:t>1,976,285.81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1,715,117.45</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11,198,952.92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9,718,998.86</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其中：归属于母公司股东的净利润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11,198,952.92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9,718,998.86</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其中：归属于母公司股东的综合收益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11,198,952.92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both"/>
              <w:rPr>
                <w:sz w:val="18"/>
                <w:szCs w:val="18"/>
              </w:rPr>
            </w:pPr>
            <w:r>
              <w:rPr>
                <w:rFonts w:ascii="Times New Roman" w:eastAsia="Times New Roman" w:hAnsi="Times New Roman" w:cs="Times New Roman"/>
                <w:color w:val="000000"/>
                <w:spacing w:val="0"/>
                <w:w w:val="100"/>
                <w:position w:val="0"/>
                <w:sz w:val="18"/>
                <w:szCs w:val="18"/>
              </w:rPr>
              <w:t>9,718,998.86</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归属于少数股东的综合收益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389" w:right="0" w:firstLine="0"/>
        <w:jc w:val="left"/>
      </w:pPr>
      <w:r>
        <w:rPr>
          <w:color w:val="000000"/>
          <w:spacing w:val="0"/>
          <w:w w:val="100"/>
          <w:position w:val="0"/>
        </w:rPr>
        <w:t>会计政策变更对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日合并资产负债表及母公司资产负债表各项目的影响分析:</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4243"/>
        <w:gridCol w:w="2837"/>
        <w:gridCol w:w="2794"/>
      </w:tblGrid>
      <w:tr>
        <w:trPr>
          <w:trHeight w:val="350"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采用变更后会计政策增加</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（减少）报表项目金额</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本集团</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72,479,031.74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70,465,974.90</w:t>
            </w:r>
          </w:p>
        </w:tc>
      </w:tr>
    </w:tbl>
    <w:p>
      <w:pPr>
        <w:widowControl w:val="0"/>
        <w:spacing w:line="1" w:lineRule="exact"/>
      </w:pPr>
      <w:r>
        <w:br w:type="page"/>
      </w:r>
    </w:p>
    <w:tbl>
      <w:tblPr>
        <w:tblOverlap w:val="never"/>
        <w:jc w:val="center"/>
        <w:tblLayout w:type="fixed"/>
      </w:tblPr>
      <w:tblGrid>
        <w:gridCol w:w="4243"/>
        <w:gridCol w:w="2837"/>
        <w:gridCol w:w="2794"/>
      </w:tblGrid>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(53,915,433.92)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(54,043,926.90)</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(24,705,474.92)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(9,904,180.97)</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24,705,474.92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9,904,180.97</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4,337,589.40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4,058,381.80</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3,027,055.50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2,644,667.34</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11,198,952.92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9,718,998.86</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numPr>
          <w:ilvl w:val="0"/>
          <w:numId w:val="37"/>
        </w:numPr>
        <w:shd w:val="clear" w:color="auto" w:fill="auto"/>
        <w:tabs>
          <w:tab w:pos="445" w:val="left"/>
        </w:tabs>
        <w:bidi w:val="0"/>
        <w:spacing w:before="0" w:after="0" w:line="322" w:lineRule="exact"/>
        <w:ind w:left="0" w:right="0" w:firstLine="0"/>
        <w:jc w:val="left"/>
      </w:pPr>
      <w:bookmarkStart w:id="1044" w:name="bookmark1044"/>
      <w:bookmarkEnd w:id="1044"/>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号修订了业务构成的三个要素，细化了业务的判断条件，对非同一控制下企业合并的购买方在判断取得的经营活动 或资产的组合是否构成一项业务时，引入了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集中度测试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的选择。</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此外，解释第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号进一步明确了企业的关联方还包括企业所属企业集团的其他成员单位(包括母公司和子公司)的合营企业 或联营企业，以及对企业实施共同控制的投资方的其他合营企业或联营企业等。</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解释第</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日起施行，本集团采用未来适用法对上述会计政策变更进行会计处理。采用该解释未对本集团的财 务状况、经营成果和关联方披露产生重大影响。</w:t>
      </w:r>
    </w:p>
    <w:p>
      <w:pPr>
        <w:pStyle w:val="Style21"/>
        <w:keepNext w:val="0"/>
        <w:keepLines w:val="0"/>
        <w:widowControl w:val="0"/>
        <w:numPr>
          <w:ilvl w:val="0"/>
          <w:numId w:val="37"/>
        </w:numPr>
        <w:shd w:val="clear" w:color="auto" w:fill="auto"/>
        <w:tabs>
          <w:tab w:pos="445" w:val="left"/>
          <w:tab w:pos="1506" w:val="left"/>
        </w:tabs>
        <w:bidi w:val="0"/>
        <w:spacing w:before="0" w:after="0" w:line="322" w:lineRule="exact"/>
        <w:ind w:left="0" w:right="0" w:firstLine="0"/>
        <w:jc w:val="left"/>
      </w:pPr>
      <w:bookmarkStart w:id="1045" w:name="bookmark1045"/>
      <w:bookmarkEnd w:id="1045"/>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w:t>
      </w:r>
    </w:p>
    <w:p>
      <w:pPr>
        <w:pStyle w:val="Style21"/>
        <w:keepNext w:val="0"/>
        <w:keepLines w:val="0"/>
        <w:widowControl w:val="0"/>
        <w:shd w:val="clear" w:color="auto" w:fill="auto"/>
        <w:bidi w:val="0"/>
        <w:spacing w:before="0" w:after="0" w:line="324" w:lineRule="exact"/>
        <w:ind w:left="0" w:right="0" w:firstLine="0"/>
        <w:jc w:val="left"/>
      </w:pPr>
      <w:r>
        <w:rPr>
          <w:color w:val="000000"/>
          <w:spacing w:val="0"/>
          <w:w w:val="100"/>
          <w:position w:val="0"/>
        </w:rPr>
        <w:t>财会</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号对于满足一定条件的，由新冠肺炎疫情直接引发的租金减让提供了简化方法。如果企业选择采用简化方法， 则不需要评估是否发生租赁变更，也不需要重新评估租赁分类。</w:t>
      </w:r>
    </w:p>
    <w:p>
      <w:pPr>
        <w:pStyle w:val="Style21"/>
        <w:keepNext w:val="0"/>
        <w:keepLines w:val="0"/>
        <w:widowControl w:val="0"/>
        <w:shd w:val="clear" w:color="auto" w:fill="auto"/>
        <w:bidi w:val="0"/>
        <w:spacing w:before="0" w:after="380" w:line="324" w:lineRule="exact"/>
        <w:ind w:left="0" w:right="0" w:firstLine="0"/>
        <w:jc w:val="left"/>
      </w:pP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日起施行，可以对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日至该规定施行日之间发生的相关租金减让根据该规定进行 调整，采用上述规定未对本集团的财务状况和经营成果产生重大影响。</w:t>
      </w:r>
    </w:p>
    <w:p>
      <w:pPr>
        <w:pStyle w:val="Style34"/>
        <w:keepNext/>
        <w:keepLines/>
        <w:widowControl w:val="0"/>
        <w:numPr>
          <w:ilvl w:val="0"/>
          <w:numId w:val="39"/>
        </w:numPr>
        <w:shd w:val="clear" w:color="auto" w:fill="auto"/>
        <w:tabs>
          <w:tab w:pos="493" w:val="left"/>
        </w:tabs>
        <w:bidi w:val="0"/>
        <w:spacing w:before="0" w:after="240" w:line="240" w:lineRule="auto"/>
        <w:ind w:left="0" w:right="0" w:firstLine="0"/>
        <w:jc w:val="left"/>
      </w:pPr>
      <w:bookmarkStart w:id="1046" w:name="bookmark1046"/>
      <w:bookmarkStart w:id="1047" w:name="bookmark1047"/>
      <w:bookmarkStart w:id="1048" w:name="bookmark1048"/>
      <w:bookmarkStart w:id="1049" w:name="bookmark1049"/>
      <w:bookmarkEnd w:id="1048"/>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年起首次执行新收入准则调整执行当年年初财务报表相关项目情况</w:t>
      </w:r>
      <w:bookmarkEnd w:id="1046"/>
      <w:bookmarkEnd w:id="1047"/>
      <w:bookmarkEnd w:id="1049"/>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适用</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是否需要调整年初资产负债表科目</w:t>
      </w:r>
    </w:p>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合并资产负债表</w:t>
      </w:r>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288,851,268.48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243,583,677.07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-45,267,591.41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50,484,331.30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50,484,331.30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593,433,894.96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598,650,634.84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5,216,739.88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1,057,460,482.19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1,062,677,222.07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5,216,739.88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17,636,555.95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1,271,832.05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-16,364,723.90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16,364,723.90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16,364,723.90</w:t>
            </w: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158,167,897.71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160,812,297.71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2,644,400.00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40,162,932.20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41,203,810.93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1,040,878.73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16,239,474.55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16,424,900.63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185,426.08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14,118,832.08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14,414,119.24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295,287.16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371,125,785.67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375,291,777.64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4,165,991.97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567,762,214.75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571,928,206.72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4,165,991.97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179,021,444.99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180,072,192.90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1,050,747.91</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469,624,578.88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470,675,326.79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1,050,747.91</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489,698,267.44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490,749,015.35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1,050,747.91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1,057,460,482.19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1,062,677,222.07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5,216,739.88</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调整情况说明</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236,516,622.22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191,249,030.81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-45,267,591.41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49,346,609.49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49,346,609.49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509,578,219.06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513,657,237.14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4,079,018.08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969,656,851.76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973,735,869.84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4,079,018.08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157,568,495.21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160,212,895.21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2,644,400.00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9,298,516.70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196,986.00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-9,101,530.70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9,101,530.70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9,101,530.70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应付职工薪酬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29,501,761.52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30,408,410.76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906,649.24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应交税费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10,416,061.87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10,460,624.02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44,562.15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12,012,265.71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12,243,153.53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230,887.82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358,177,378.82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362,003,878.03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3,826,499.21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547,514,057.98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551,340,557.19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3,826,499.21</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131,081,237.77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131,333,756.64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252,518.87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422,142,793.78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422,395,312.65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252,518.87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969,656,851.76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973,735,869.84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both"/>
              <w:rPr>
                <w:sz w:val="18"/>
                <w:szCs w:val="18"/>
              </w:rPr>
            </w:pPr>
            <w:r>
              <w:rPr>
                <w:rFonts w:ascii="Times New Roman" w:eastAsia="Times New Roman" w:hAnsi="Times New Roman" w:cs="Times New Roman"/>
                <w:color w:val="000000"/>
                <w:spacing w:val="0"/>
                <w:w w:val="100"/>
                <w:position w:val="0"/>
                <w:sz w:val="18"/>
                <w:szCs w:val="18"/>
              </w:rPr>
              <w:t>4,079,018.08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r>
        <w:br w:type="page"/>
      </w:r>
    </w:p>
    <w:p>
      <w:pPr>
        <w:pStyle w:val="Style34"/>
        <w:keepNext/>
        <w:keepLines/>
        <w:widowControl w:val="0"/>
        <w:shd w:val="clear" w:color="auto" w:fill="auto"/>
        <w:tabs>
          <w:tab w:pos="493" w:val="left"/>
        </w:tabs>
        <w:bidi w:val="0"/>
        <w:spacing w:before="0" w:line="240" w:lineRule="auto"/>
        <w:ind w:left="0" w:right="0" w:firstLine="0"/>
        <w:jc w:val="left"/>
      </w:pPr>
      <w:bookmarkStart w:id="1050" w:name="bookmark1050"/>
      <w:bookmarkStart w:id="1051" w:name="bookmark1051"/>
      <w:bookmarkStart w:id="1052" w:name="bookmark1052"/>
      <w:bookmarkStart w:id="1053" w:name="bookmark1053"/>
      <w:r>
        <w:rPr>
          <w:rFonts w:ascii="Times New Roman" w:eastAsia="Times New Roman" w:hAnsi="Times New Roman" w:cs="Times New Roman"/>
          <w:color w:val="000000"/>
          <w:spacing w:val="0"/>
          <w:w w:val="100"/>
          <w:position w:val="0"/>
          <w:shd w:val="clear" w:color="auto" w:fill="FFFFFF"/>
        </w:rPr>
        <w:t>（</w:t>
      </w:r>
      <w:bookmarkEnd w:id="1052"/>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年起首次执行新收入准则追溯调整前期比较数据说明</w:t>
      </w:r>
      <w:bookmarkEnd w:id="1050"/>
      <w:bookmarkEnd w:id="1051"/>
      <w:bookmarkEnd w:id="1053"/>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六</w:t>
      </w:r>
      <w:bookmarkEnd w:id="1056"/>
      <w:r>
        <w:rPr>
          <w:color w:val="000000"/>
          <w:spacing w:val="0"/>
          <w:w w:val="100"/>
          <w:position w:val="0"/>
        </w:rPr>
        <w:t>、税项</w:t>
      </w:r>
      <w:bookmarkEnd w:id="1054"/>
      <w:bookmarkEnd w:id="1055"/>
      <w:bookmarkEnd w:id="1057"/>
    </w:p>
    <w:p>
      <w:pPr>
        <w:pStyle w:val="Style34"/>
        <w:keepNext/>
        <w:keepLines/>
        <w:widowControl w:val="0"/>
        <w:shd w:val="clear" w:color="auto" w:fill="auto"/>
        <w:bidi w:val="0"/>
        <w:spacing w:before="0" w:after="320" w:line="240" w:lineRule="auto"/>
        <w:ind w:left="0" w:right="0" w:firstLine="0"/>
        <w:jc w:val="left"/>
      </w:pPr>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58"/>
      <w:bookmarkEnd w:id="1059"/>
      <w:bookmarkEnd w:id="1060"/>
    </w:p>
    <w:tbl>
      <w:tblPr>
        <w:tblOverlap w:val="never"/>
        <w:jc w:val="center"/>
        <w:tblLayout w:type="fixed"/>
      </w:tblPr>
      <w:tblGrid>
        <w:gridCol w:w="2102"/>
        <w:gridCol w:w="5102"/>
        <w:gridCol w:w="2381"/>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按税法规定计算的销售货物和应税劳务收入为基础计算销项税 额，在扣除当期允许抵扣的进项税额后，差额部分为应交增值税</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按实际缴纳的增值税计征</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5506"/>
        <w:gridCol w:w="408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北京艾科城工程技术有限公司（简称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北京艾科城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深圳市市政工程咨询中心有限公司（简称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市政中心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深圳市建研检测有限公司（简称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建研检测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雄安绿研检验认证有限公司（简称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绿研检验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深圳艾科筑业工程技术有限公司（简称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艾科筑业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深圳艾科城工程技术有限公司（简称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深圳艾科城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深圳玖伊绿色运营管理有限公司（简称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深圳玖伊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河北雄安玖壹生态科技有限公司（简称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雄安玖壹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深圳市建信筑和科技有限公司（简称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建信筑和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常州市城建艾科绿色技术有限公司（简称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常州城建艾科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深圳市迪赛恩科技有限公司（简称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迪赛恩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上海市爱轲城生态科技有限公司（简称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上海爱轲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湖北建胜工程技术咨询有限公司（简称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湖北建胜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湖北丰天工程技术服务有限公司（简称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丰天工程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湖北图强建设工程施工图咨询有限公司（简称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图强建设</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湖北精兴建设工程质量检测有限公司（简称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精兴建设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荆门市领航职业技能培训有限公司（简称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领航培训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湾区（深圳）城市规划设计有限公司（简称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湾区规划设计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5-10%</w:t>
            </w:r>
          </w:p>
        </w:tc>
      </w:tr>
    </w:tbl>
    <w:p>
      <w:pPr>
        <w:pStyle w:val="Style21"/>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240" w:lineRule="auto"/>
        <w:ind w:left="0" w:right="0" w:firstLine="0"/>
        <w:jc w:val="left"/>
      </w:pPr>
      <w:r>
        <mc:AlternateContent>
          <mc:Choice Requires="wps">
            <w:drawing>
              <wp:anchor distT="0" distB="0" distL="114300" distR="114300" simplePos="0" relativeHeight="125829414" behindDoc="0" locked="0" layoutInCell="1" allowOverlap="1">
                <wp:simplePos x="0" y="0"/>
                <wp:positionH relativeFrom="page">
                  <wp:posOffset>5338445</wp:posOffset>
                </wp:positionH>
                <wp:positionV relativeFrom="paragraph">
                  <wp:posOffset>12700</wp:posOffset>
                </wp:positionV>
                <wp:extent cx="335280" cy="143510"/>
                <wp:wrapSquare wrapText="left"/>
                <wp:docPr id="621" name="Shape 621"/>
                <a:graphic xmlns:a="http://schemas.openxmlformats.org/drawingml/2006/main">
                  <a:graphicData uri="http://schemas.microsoft.com/office/word/2010/wordprocessingShape">
                    <wps:wsp>
                      <wps:cNvSpPr txBox="1"/>
                      <wps:spPr>
                        <a:xfrm>
                          <a:ext cx="335280" cy="143510"/>
                        </a:xfrm>
                        <a:prstGeom prst="rect"/>
                        <a:noFill/>
                      </wps:spPr>
                      <wps:txbx>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xbxContent>
                      </wps:txbx>
                      <wps:bodyPr wrap="none" lIns="0" tIns="0" rIns="0" bIns="0">
                        <a:noAutoFit/>
                      </wps:bodyPr>
                    </wps:wsp>
                  </a:graphicData>
                </a:graphic>
              </wp:anchor>
            </w:drawing>
          </mc:Choice>
          <mc:Fallback>
            <w:pict>
              <v:shape id="_x0000_s1647" type="#_x0000_t202" style="position:absolute;margin-left:420.35000000000002pt;margin-top:1.pt;width:26.400000000000002pt;height:11.300000000000001pt;z-index:-125829339;mso-wrap-distance-left:9.pt;mso-wrap-distance-right:9.pt;mso-position-horizontal-relative:page" filled="f" stroked="f">
                <v:textbox inset="0,0,0,0">
                  <w:txbxContent>
                    <w:p>
                      <w:pPr>
                        <w:pStyle w:val="Style39"/>
                        <w:keepNext w:val="0"/>
                        <w:keepLines w:val="0"/>
                        <w:widowControl w:val="0"/>
                        <w:shd w:val="clear" w:color="auto" w:fill="auto"/>
                        <w:bidi w:val="0"/>
                        <w:spacing w:before="0" w:after="0" w:line="240" w:lineRule="auto"/>
                        <w:ind w:left="0" w:right="0" w:firstLine="0"/>
                        <w:jc w:val="left"/>
                      </w:pPr>
                      <w:r>
                        <w:rPr>
                          <w:color w:val="000000"/>
                          <w:spacing w:val="0"/>
                          <w:w w:val="100"/>
                          <w:position w:val="0"/>
                        </w:rPr>
                        <w:t>5-10%</w:t>
                      </w:r>
                    </w:p>
                  </w:txbxContent>
                </v:textbox>
                <w10:wrap type="square" side="left" anchorx="page"/>
              </v:shape>
            </w:pict>
          </mc:Fallback>
        </mc:AlternateContent>
      </w:r>
      <w:r>
        <w:rPr>
          <w:color w:val="000000"/>
          <w:spacing w:val="0"/>
          <w:w w:val="100"/>
          <w:position w:val="0"/>
        </w:rPr>
        <w:t>湾区（深圳）绿色技术有限公司（简称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湾区绿色技术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bidi w:val="0"/>
        <w:spacing w:before="0" w:after="280" w:line="240" w:lineRule="auto"/>
        <w:ind w:left="0" w:right="0" w:firstLine="0"/>
        <w:jc w:val="both"/>
      </w:pPr>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61"/>
      <w:bookmarkEnd w:id="1062"/>
      <w:bookmarkEnd w:id="1063"/>
    </w:p>
    <w:p>
      <w:pPr>
        <w:pStyle w:val="Style21"/>
        <w:keepNext w:val="0"/>
        <w:keepLines w:val="0"/>
        <w:widowControl w:val="0"/>
        <w:shd w:val="clear" w:color="auto" w:fill="auto"/>
        <w:tabs>
          <w:tab w:pos="550" w:val="left"/>
        </w:tabs>
        <w:bidi w:val="0"/>
        <w:spacing w:before="0" w:after="0" w:line="312" w:lineRule="exact"/>
        <w:ind w:left="0" w:right="0" w:firstLine="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日，本公司被认定为国家高新技术企业，证书编号：</w:t>
      </w:r>
      <w:r>
        <w:rPr>
          <w:rFonts w:ascii="Times New Roman" w:eastAsia="Times New Roman" w:hAnsi="Times New Roman" w:cs="Times New Roman"/>
          <w:color w:val="000000"/>
          <w:spacing w:val="0"/>
          <w:w w:val="100"/>
          <w:position w:val="0"/>
          <w:sz w:val="18"/>
          <w:szCs w:val="18"/>
        </w:rPr>
        <w:t>GR201744204015</w:t>
      </w:r>
      <w:r>
        <w:rPr>
          <w:color w:val="000000"/>
          <w:spacing w:val="0"/>
          <w:w w:val="100"/>
          <w:position w:val="0"/>
        </w:rPr>
        <w:t>,</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 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日，本公司到期续申国家高新技术企业，证书编号：</w:t>
      </w:r>
      <w:r>
        <w:rPr>
          <w:rFonts w:ascii="Times New Roman" w:eastAsia="Times New Roman" w:hAnsi="Times New Roman" w:cs="Times New Roman"/>
          <w:color w:val="000000"/>
          <w:spacing w:val="0"/>
          <w:w w:val="100"/>
          <w:position w:val="0"/>
          <w:sz w:val="18"/>
          <w:szCs w:val="18"/>
        </w:rPr>
        <w:t>GR202044204344</w:t>
      </w:r>
      <w:r>
        <w:rPr>
          <w:color w:val="000000"/>
          <w:spacing w:val="0"/>
          <w:w w:val="100"/>
          <w:position w:val="0"/>
        </w:rPr>
        <w:t>，</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1"/>
        <w:keepNext w:val="0"/>
        <w:keepLines w:val="0"/>
        <w:widowControl w:val="0"/>
        <w:shd w:val="clear" w:color="auto" w:fill="auto"/>
        <w:tabs>
          <w:tab w:pos="445" w:val="left"/>
        </w:tabs>
        <w:bidi w:val="0"/>
        <w:spacing w:before="0" w:after="0" w:line="312" w:lineRule="exact"/>
        <w:ind w:left="0" w:right="0" w:firstLine="0"/>
        <w:jc w:val="both"/>
        <w:rPr>
          <w:sz w:val="18"/>
          <w:szCs w:val="18"/>
        </w:rPr>
      </w:pPr>
      <w:bookmarkStart w:id="1065" w:name="bookmark1065"/>
      <w:r>
        <w:rPr>
          <w:color w:val="000000"/>
          <w:spacing w:val="0"/>
          <w:w w:val="100"/>
          <w:position w:val="0"/>
          <w:sz w:val="17"/>
          <w:szCs w:val="17"/>
        </w:rPr>
        <w:t>（</w:t>
      </w:r>
      <w:bookmarkEnd w:id="1065"/>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2017</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日，本公司之子公司北京艾科城被认定为国家高新技术企业，证书编号：</w:t>
      </w:r>
      <w:r>
        <w:rPr>
          <w:rFonts w:ascii="Times New Roman" w:eastAsia="Times New Roman" w:hAnsi="Times New Roman" w:cs="Times New Roman"/>
          <w:color w:val="000000"/>
          <w:spacing w:val="0"/>
          <w:w w:val="100"/>
          <w:position w:val="0"/>
          <w:sz w:val="18"/>
          <w:szCs w:val="18"/>
        </w:rPr>
        <w:t>GR201711002555</w:t>
      </w:r>
      <w:r>
        <w:rPr>
          <w:color w:val="000000"/>
          <w:spacing w:val="0"/>
          <w:w w:val="100"/>
          <w:position w:val="0"/>
          <w:sz w:val="17"/>
          <w:szCs w:val="17"/>
        </w:rPr>
        <w:t>,</w:t>
      </w:r>
      <w:r>
        <w:rPr>
          <w:color w:val="000000"/>
          <w:spacing w:val="0"/>
          <w:w w:val="100"/>
          <w:position w:val="0"/>
          <w:sz w:val="17"/>
          <w:szCs w:val="17"/>
        </w:rPr>
        <w:t>有效期为</w:t>
      </w:r>
      <w:r>
        <w:rPr>
          <w:rFonts w:ascii="Times New Roman" w:eastAsia="Times New Roman" w:hAnsi="Times New Roman" w:cs="Times New Roman"/>
          <w:color w:val="000000"/>
          <w:spacing w:val="0"/>
          <w:w w:val="100"/>
          <w:position w:val="0"/>
          <w:sz w:val="18"/>
          <w:szCs w:val="18"/>
        </w:rPr>
        <w:t>2017</w:t>
      </w:r>
    </w:p>
    <w:p>
      <w:pPr>
        <w:pStyle w:val="Style21"/>
        <w:keepNext w:val="0"/>
        <w:keepLines w:val="0"/>
        <w:widowControl w:val="0"/>
        <w:shd w:val="clear" w:color="auto" w:fill="auto"/>
        <w:tabs>
          <w:tab w:pos="3157" w:val="left"/>
        </w:tabs>
        <w:bidi w:val="0"/>
        <w:spacing w:before="0" w:after="0" w:line="312" w:lineRule="exact"/>
        <w:ind w:left="0" w:right="0" w:firstLine="0"/>
        <w:jc w:val="both"/>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日，本公司之子公司北京艾科城续申国家高新技术企业，证书编号：</w:t>
      </w:r>
    </w:p>
    <w:p>
      <w:pPr>
        <w:pStyle w:val="Style39"/>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GR202011007515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有效期为</w:t>
      </w:r>
      <w:r>
        <w:rPr>
          <w:color w:val="000000"/>
          <w:spacing w:val="0"/>
          <w:w w:val="100"/>
          <w:position w:val="0"/>
          <w:sz w:val="18"/>
          <w:szCs w:val="18"/>
        </w:rPr>
        <w:t>2020</w:t>
      </w:r>
      <w:r>
        <w:rPr>
          <w:rFonts w:ascii="SimSun" w:eastAsia="SimSun" w:hAnsi="SimSun" w:cs="SimSun"/>
          <w:color w:val="000000"/>
          <w:spacing w:val="0"/>
          <w:w w:val="100"/>
          <w:position w:val="0"/>
          <w:sz w:val="17"/>
          <w:szCs w:val="17"/>
        </w:rPr>
        <w:t>至</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年度，企业所得税税率为</w:t>
      </w:r>
      <w:r>
        <w:rPr>
          <w:color w:val="000000"/>
          <w:spacing w:val="0"/>
          <w:w w:val="100"/>
          <w:position w:val="0"/>
          <w:sz w:val="18"/>
          <w:szCs w:val="18"/>
        </w:rPr>
        <w:t>15%</w:t>
      </w:r>
      <w:r>
        <w:rPr>
          <w:rFonts w:ascii="SimSun" w:eastAsia="SimSun" w:hAnsi="SimSun" w:cs="SimSun"/>
          <w:color w:val="000000"/>
          <w:spacing w:val="0"/>
          <w:w w:val="100"/>
          <w:position w:val="0"/>
          <w:sz w:val="17"/>
          <w:szCs w:val="17"/>
        </w:rPr>
        <w:t>。</w:t>
      </w:r>
    </w:p>
    <w:p>
      <w:pPr>
        <w:pStyle w:val="Style21"/>
        <w:keepNext w:val="0"/>
        <w:keepLines w:val="0"/>
        <w:widowControl w:val="0"/>
        <w:shd w:val="clear" w:color="auto" w:fill="auto"/>
        <w:tabs>
          <w:tab w:pos="3190" w:val="left"/>
        </w:tabs>
        <w:bidi w:val="0"/>
        <w:spacing w:before="0" w:after="0" w:line="312" w:lineRule="exact"/>
        <w:ind w:left="0" w:right="0" w:firstLine="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日，本公司之子公司市政中心被认定为国家高新技术企业，证书编号：</w:t>
      </w:r>
      <w:r>
        <w:rPr>
          <w:rFonts w:ascii="Times New Roman" w:eastAsia="Times New Roman" w:hAnsi="Times New Roman" w:cs="Times New Roman"/>
          <w:color w:val="000000"/>
          <w:spacing w:val="0"/>
          <w:w w:val="100"/>
          <w:position w:val="0"/>
          <w:sz w:val="18"/>
          <w:szCs w:val="18"/>
        </w:rPr>
        <w:t>GR201744205019</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日，本公司之子公司市政中心续申国家高新技术企业，证书编号： </w:t>
      </w:r>
      <w:r>
        <w:rPr>
          <w:rFonts w:ascii="Times New Roman" w:eastAsia="Times New Roman" w:hAnsi="Times New Roman" w:cs="Times New Roman"/>
          <w:color w:val="000000"/>
          <w:spacing w:val="0"/>
          <w:w w:val="100"/>
          <w:position w:val="0"/>
          <w:sz w:val="18"/>
          <w:szCs w:val="18"/>
        </w:rPr>
        <w:t>GR202044201076</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both"/>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日，本公司之子公司建研检测被认定为国家高新技术企业，证书编号：</w:t>
      </w:r>
      <w:r>
        <w:rPr>
          <w:rFonts w:ascii="Times New Roman" w:eastAsia="Times New Roman" w:hAnsi="Times New Roman" w:cs="Times New Roman"/>
          <w:color w:val="000000"/>
          <w:spacing w:val="0"/>
          <w:w w:val="100"/>
          <w:position w:val="0"/>
          <w:sz w:val="18"/>
          <w:szCs w:val="18"/>
        </w:rPr>
        <w:t>GR201944205532</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both"/>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日，本公司之子公司绿研检验被认定为国家高新技术企业，证书编号：</w:t>
      </w:r>
      <w:r>
        <w:rPr>
          <w:rFonts w:ascii="Times New Roman" w:eastAsia="Times New Roman" w:hAnsi="Times New Roman" w:cs="Times New Roman"/>
          <w:color w:val="000000"/>
          <w:spacing w:val="0"/>
          <w:w w:val="100"/>
          <w:position w:val="0"/>
          <w:sz w:val="18"/>
          <w:szCs w:val="18"/>
        </w:rPr>
        <w:t>GR201913002794</w:t>
      </w:r>
      <w:r>
        <w:rPr>
          <w:color w:val="000000"/>
          <w:spacing w:val="0"/>
          <w:w w:val="100"/>
          <w:position w:val="0"/>
        </w:rPr>
        <w:t>，</w:t>
      </w:r>
      <w:r>
        <w:rPr>
          <w:color w:val="000000"/>
          <w:spacing w:val="0"/>
          <w:w w:val="100"/>
          <w:position w:val="0"/>
        </w:rPr>
        <w:t>有效期为</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21"/>
        <w:keepNext w:val="0"/>
        <w:keepLines w:val="0"/>
        <w:widowControl w:val="0"/>
        <w:shd w:val="clear" w:color="auto" w:fill="auto"/>
        <w:tabs>
          <w:tab w:pos="445" w:val="left"/>
        </w:tabs>
        <w:bidi w:val="0"/>
        <w:spacing w:before="0" w:after="0" w:line="312" w:lineRule="exact"/>
        <w:ind w:left="0" w:right="0" w:firstLine="0"/>
        <w:jc w:val="both"/>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本公司之子公司常州城建艾科、迪赛恩、上海爱轲和湖北建胜及其下属子公司（丰天工程、图强建设、精兴建设、领</w:t>
      </w:r>
    </w:p>
    <w:p>
      <w:pPr>
        <w:pStyle w:val="Style21"/>
        <w:keepNext w:val="0"/>
        <w:keepLines w:val="0"/>
        <w:widowControl w:val="0"/>
        <w:shd w:val="clear" w:color="auto" w:fill="auto"/>
        <w:tabs>
          <w:tab w:pos="4587" w:val="left"/>
        </w:tabs>
        <w:bidi w:val="0"/>
        <w:spacing w:before="0" w:after="0" w:line="312" w:lineRule="exact"/>
        <w:ind w:left="0" w:right="0" w:firstLine="0"/>
        <w:jc w:val="both"/>
      </w:pPr>
      <w:r>
        <w:rPr>
          <w:color w:val="000000"/>
          <w:spacing w:val="0"/>
          <w:w w:val="100"/>
          <w:position w:val="0"/>
        </w:rPr>
        <w:t>航培训）符合财政部和国家税务总局发布的财税〔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号《关于实施小微企业普惠性税收减免政策的通知》（有效期：</w:t>
      </w:r>
    </w:p>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日）中的相关条件，执行：当年应纳税所得额不超过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 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 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21"/>
        <w:keepNext w:val="0"/>
        <w:keepLines w:val="0"/>
        <w:widowControl w:val="0"/>
        <w:shd w:val="clear" w:color="auto" w:fill="auto"/>
        <w:tabs>
          <w:tab w:pos="445" w:val="left"/>
          <w:tab w:pos="4174" w:val="left"/>
        </w:tabs>
        <w:bidi w:val="0"/>
        <w:spacing w:before="0" w:after="360" w:line="312" w:lineRule="exact"/>
        <w:ind w:left="0" w:right="0" w:firstLine="0"/>
        <w:jc w:val="both"/>
      </w:pPr>
      <w:bookmarkStart w:id="1070" w:name="bookmark1070"/>
      <w:r>
        <w:rPr>
          <w:color w:val="000000"/>
          <w:spacing w:val="0"/>
          <w:w w:val="100"/>
          <w:position w:val="0"/>
        </w:rPr>
        <w:t>（</w:t>
      </w:r>
      <w:bookmarkEnd w:id="107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其他子公司适用法定企业所得税率</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both"/>
      </w:pPr>
      <w:bookmarkStart w:id="1071" w:name="bookmark1071"/>
      <w:bookmarkStart w:id="1072" w:name="bookmark1072"/>
      <w:bookmarkStart w:id="1073" w:name="bookmark1073"/>
      <w:bookmarkStart w:id="1074" w:name="bookmark1074"/>
      <w:r>
        <w:rPr>
          <w:color w:val="000000"/>
          <w:spacing w:val="0"/>
          <w:w w:val="100"/>
          <w:position w:val="0"/>
        </w:rPr>
        <w:t>七</w:t>
      </w:r>
      <w:bookmarkEnd w:id="1073"/>
      <w:r>
        <w:rPr>
          <w:color w:val="000000"/>
          <w:spacing w:val="0"/>
          <w:w w:val="100"/>
          <w:position w:val="0"/>
        </w:rPr>
        <w:t>、合并财务报表项目注释</w:t>
      </w:r>
      <w:bookmarkEnd w:id="1071"/>
      <w:bookmarkEnd w:id="1072"/>
      <w:bookmarkEnd w:id="1074"/>
    </w:p>
    <w:p>
      <w:pPr>
        <w:pStyle w:val="Style34"/>
        <w:keepNext/>
        <w:keepLines/>
        <w:widowControl w:val="0"/>
        <w:shd w:val="clear" w:color="auto" w:fill="auto"/>
        <w:bidi w:val="0"/>
        <w:spacing w:before="0" w:line="240" w:lineRule="auto"/>
        <w:ind w:left="0" w:right="0" w:firstLine="0"/>
        <w:jc w:val="both"/>
      </w:pPr>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75"/>
      <w:bookmarkEnd w:id="1076"/>
      <w:bookmarkEnd w:id="107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121,967.34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241,269,045.44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200,663,059.85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49,805,499.26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10,075,354.76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291,165,712.09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210,860,381.95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2,297,968.43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399,888.00</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代建户监管资金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47,507,530.83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9,675,466.76</w:t>
            </w:r>
          </w:p>
        </w:tc>
      </w:tr>
      <w:tr>
        <w:trPr>
          <w:trHeight w:val="442"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49,805,499.26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10,075,354.76</w:t>
            </w:r>
          </w:p>
        </w:tc>
      </w:tr>
    </w:tbl>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日，保函保证金共人民币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,297,968.43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399,888.00</w:t>
      </w:r>
      <w:r>
        <w:rPr>
          <w:color w:val="000000"/>
          <w:spacing w:val="0"/>
          <w:w w:val="100"/>
          <w:position w:val="0"/>
        </w:rPr>
        <w:t xml:space="preserve">元)，为本集团向银行申请开具无条 </w:t>
      </w:r>
      <w:r>
        <w:rPr>
          <w:color w:val="000000"/>
          <w:spacing w:val="0"/>
          <w:w w:val="100"/>
          <w:position w:val="0"/>
        </w:rPr>
        <w:t>件、不可撤销的担保函所存入的保证金存款，其使用受到限制。</w:t>
      </w:r>
    </w:p>
    <w:p>
      <w:pPr>
        <w:pStyle w:val="Style21"/>
        <w:keepNext w:val="0"/>
        <w:keepLines w:val="0"/>
        <w:widowControl w:val="0"/>
        <w:shd w:val="clear" w:color="auto" w:fill="auto"/>
        <w:bidi w:val="0"/>
        <w:spacing w:before="0" w:after="360" w:line="32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日，代建户监管资金共人民币</w:t>
      </w:r>
      <w:r>
        <w:rPr>
          <w:rFonts w:ascii="Times New Roman" w:eastAsia="Times New Roman" w:hAnsi="Times New Roman" w:cs="Times New Roman"/>
          <w:color w:val="000000"/>
          <w:spacing w:val="0"/>
          <w:w w:val="100"/>
          <w:position w:val="0"/>
          <w:sz w:val="18"/>
          <w:szCs w:val="18"/>
        </w:rPr>
        <w:t>47,507,530.83</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9,675,466.76</w:t>
      </w:r>
      <w:r>
        <w:rPr>
          <w:color w:val="000000"/>
          <w:spacing w:val="0"/>
          <w:w w:val="100"/>
          <w:position w:val="0"/>
        </w:rPr>
        <w:t xml:space="preserve">元)，为以本集团名义在银行 开立的三方监管账户余额，根据有关的《三方监管协议》，这些监管账户的资金仅可用于代建项目工程建设资金的支付，其 </w:t>
      </w:r>
      <w:r>
        <w:rPr>
          <w:color w:val="000000"/>
          <w:spacing w:val="0"/>
          <w:w w:val="100"/>
          <w:position w:val="0"/>
        </w:rPr>
        <w:t>使用受到限制。</w:t>
      </w:r>
    </w:p>
    <w:p>
      <w:pPr>
        <w:pStyle w:val="Style34"/>
        <w:keepNext/>
        <w:keepLines/>
        <w:widowControl w:val="0"/>
        <w:shd w:val="clear" w:color="auto" w:fill="auto"/>
        <w:bidi w:val="0"/>
        <w:spacing w:before="0" w:line="240" w:lineRule="auto"/>
        <w:ind w:left="0" w:right="0" w:firstLine="0"/>
        <w:jc w:val="both"/>
      </w:pPr>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78"/>
      <w:bookmarkEnd w:id="1079"/>
      <w:bookmarkEnd w:id="10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68"/>
        <w:gridCol w:w="2554"/>
        <w:gridCol w:w="2664"/>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43,779,895.89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43,779,895.89</w:t>
            </w:r>
          </w:p>
        </w:tc>
      </w:tr>
    </w:tbl>
    <w:p>
      <w:pPr>
        <w:pStyle w:val="Style21"/>
        <w:keepNext w:val="0"/>
        <w:keepLines w:val="0"/>
        <w:widowControl w:val="0"/>
        <w:shd w:val="clear" w:color="auto" w:fill="auto"/>
        <w:bidi w:val="0"/>
        <w:spacing w:before="0" w:after="40" w:line="317" w:lineRule="exact"/>
        <w:ind w:left="0" w:right="0" w:firstLine="0"/>
        <w:jc w:val="both"/>
      </w:pPr>
      <w:r>
        <w:rPr>
          <w:color w:val="000000"/>
          <w:spacing w:val="0"/>
          <w:w w:val="100"/>
          <w:position w:val="0"/>
        </w:rPr>
        <w:t>其他说明：</w:t>
      </w:r>
    </w:p>
    <w:p>
      <w:pPr>
        <w:pStyle w:val="Style21"/>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年末本集团以公允价值计量且其变动计入当期损益的金融资产为货币基金理财产品共人民币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日以公 允价值计量且其变动计入当期损益的金融资产为结构性理财产品，于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年赎回。</w:t>
      </w:r>
    </w:p>
    <w:p>
      <w:pPr>
        <w:pStyle w:val="Style34"/>
        <w:keepNext/>
        <w:keepLines/>
        <w:widowControl w:val="0"/>
        <w:shd w:val="clear" w:color="auto" w:fill="auto"/>
        <w:bidi w:val="0"/>
        <w:spacing w:before="0" w:line="240" w:lineRule="auto"/>
        <w:ind w:left="0" w:right="0" w:firstLine="0"/>
        <w:jc w:val="both"/>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color w:val="000000"/>
          <w:spacing w:val="0"/>
          <w:w w:val="100"/>
          <w:position w:val="0"/>
        </w:rPr>
        <w:t>、应收票据</w:t>
      </w:r>
      <w:bookmarkEnd w:id="1081"/>
      <w:bookmarkEnd w:id="1082"/>
      <w:bookmarkEnd w:id="1084"/>
    </w:p>
    <w:p>
      <w:pPr>
        <w:pStyle w:val="Style34"/>
        <w:keepNext/>
        <w:keepLines/>
        <w:widowControl w:val="0"/>
        <w:numPr>
          <w:ilvl w:val="0"/>
          <w:numId w:val="41"/>
        </w:numPr>
        <w:shd w:val="clear" w:color="auto" w:fill="auto"/>
        <w:bidi w:val="0"/>
        <w:spacing w:before="0" w:line="240" w:lineRule="auto"/>
        <w:ind w:left="0" w:right="0" w:firstLine="0"/>
        <w:jc w:val="both"/>
      </w:pPr>
      <w:bookmarkStart w:id="1081" w:name="bookmark1081"/>
      <w:bookmarkStart w:id="1082" w:name="bookmark1082"/>
      <w:bookmarkStart w:id="1085" w:name="bookmark1085"/>
      <w:bookmarkStart w:id="1086" w:name="bookmark1086"/>
      <w:bookmarkEnd w:id="1085"/>
      <w:r>
        <w:rPr>
          <w:color w:val="000000"/>
          <w:spacing w:val="0"/>
          <w:w w:val="100"/>
          <w:position w:val="0"/>
        </w:rPr>
        <w:t>应收票据分类列示</w:t>
      </w:r>
      <w:bookmarkEnd w:id="1081"/>
      <w:bookmarkEnd w:id="1082"/>
      <w:bookmarkEnd w:id="1086"/>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10,496,839.38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23,726,686.00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1,288,434.80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10,579,339.38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25,015,120.80</w:t>
            </w:r>
          </w:p>
        </w:tc>
      </w:tr>
    </w:tbl>
    <w:p>
      <w:pPr>
        <w:widowControl w:val="0"/>
        <w:spacing w:after="39" w:line="1" w:lineRule="exact"/>
      </w:pPr>
    </w:p>
    <w:p>
      <w:pPr>
        <w:pStyle w:val="Style21"/>
        <w:keepNext w:val="0"/>
        <w:keepLines w:val="0"/>
        <w:widowControl w:val="0"/>
        <w:numPr>
          <w:ilvl w:val="0"/>
          <w:numId w:val="43"/>
        </w:numPr>
        <w:shd w:val="clear" w:color="auto" w:fill="auto"/>
        <w:tabs>
          <w:tab w:pos="425" w:val="left"/>
        </w:tabs>
        <w:bidi w:val="0"/>
        <w:spacing w:before="0" w:after="40" w:line="240" w:lineRule="auto"/>
        <w:ind w:left="0" w:right="0" w:firstLine="0"/>
        <w:jc w:val="both"/>
      </w:pPr>
      <w:bookmarkStart w:id="1087" w:name="bookmark1087"/>
      <w:bookmarkEnd w:id="1087"/>
      <w:r>
        <w:rPr>
          <w:color w:val="000000"/>
          <w:spacing w:val="0"/>
          <w:w w:val="100"/>
          <w:position w:val="0"/>
        </w:rPr>
        <w:t>上述应收票据均为一年内到期。</w:t>
      </w:r>
    </w:p>
    <w:p>
      <w:pPr>
        <w:pStyle w:val="Style21"/>
        <w:keepNext w:val="0"/>
        <w:keepLines w:val="0"/>
        <w:widowControl w:val="0"/>
        <w:numPr>
          <w:ilvl w:val="0"/>
          <w:numId w:val="43"/>
        </w:numPr>
        <w:shd w:val="clear" w:color="auto" w:fill="auto"/>
        <w:tabs>
          <w:tab w:pos="425" w:val="left"/>
        </w:tabs>
        <w:bidi w:val="0"/>
        <w:spacing w:before="0" w:after="40" w:line="240" w:lineRule="auto"/>
        <w:ind w:left="0" w:right="0" w:firstLine="0"/>
        <w:jc w:val="both"/>
      </w:pPr>
      <w:bookmarkStart w:id="1088" w:name="bookmark1088"/>
      <w:bookmarkEnd w:id="1088"/>
      <w:r>
        <w:rPr>
          <w:color w:val="000000"/>
          <w:spacing w:val="0"/>
          <w:w w:val="100"/>
          <w:position w:val="0"/>
        </w:rPr>
        <w:t>年末本集团不存在已质押的应收票据。</w:t>
      </w:r>
    </w:p>
    <w:p>
      <w:pPr>
        <w:pStyle w:val="Style21"/>
        <w:keepNext w:val="0"/>
        <w:keepLines w:val="0"/>
        <w:widowControl w:val="0"/>
        <w:numPr>
          <w:ilvl w:val="0"/>
          <w:numId w:val="43"/>
        </w:numPr>
        <w:shd w:val="clear" w:color="auto" w:fill="auto"/>
        <w:tabs>
          <w:tab w:pos="425" w:val="left"/>
        </w:tabs>
        <w:bidi w:val="0"/>
        <w:spacing w:before="0" w:after="40" w:line="240" w:lineRule="auto"/>
        <w:ind w:left="0" w:right="0" w:firstLine="0"/>
        <w:jc w:val="both"/>
      </w:pPr>
      <w:bookmarkStart w:id="1089" w:name="bookmark1089"/>
      <w:bookmarkEnd w:id="1089"/>
      <w:r>
        <w:rPr>
          <w:color w:val="000000"/>
          <w:spacing w:val="0"/>
          <w:w w:val="100"/>
          <w:position w:val="0"/>
        </w:rPr>
        <w:t>年末本集团无已背书或贴现且在资产负债表日尚未到期的应收票据。</w:t>
      </w:r>
    </w:p>
    <w:p>
      <w:pPr>
        <w:pStyle w:val="Style21"/>
        <w:keepNext w:val="0"/>
        <w:keepLines w:val="0"/>
        <w:widowControl w:val="0"/>
        <w:numPr>
          <w:ilvl w:val="0"/>
          <w:numId w:val="43"/>
        </w:numPr>
        <w:shd w:val="clear" w:color="auto" w:fill="auto"/>
        <w:tabs>
          <w:tab w:pos="425" w:val="left"/>
        </w:tabs>
        <w:bidi w:val="0"/>
        <w:spacing w:before="0" w:after="360" w:line="240" w:lineRule="auto"/>
        <w:ind w:left="0" w:right="0" w:firstLine="0"/>
        <w:jc w:val="both"/>
      </w:pPr>
      <w:bookmarkStart w:id="1090" w:name="bookmark1090"/>
      <w:bookmarkEnd w:id="1090"/>
      <w:r>
        <w:rPr>
          <w:color w:val="000000"/>
          <w:spacing w:val="0"/>
          <w:w w:val="100"/>
          <w:position w:val="0"/>
        </w:rPr>
        <w:t>年末本集团无因出票人未履约而将其转应收账款的票据。</w:t>
      </w:r>
    </w:p>
    <w:p>
      <w:pPr>
        <w:pStyle w:val="Style34"/>
        <w:keepNext/>
        <w:keepLines/>
        <w:widowControl w:val="0"/>
        <w:shd w:val="clear" w:color="auto" w:fill="auto"/>
        <w:bidi w:val="0"/>
        <w:spacing w:before="0" w:line="240" w:lineRule="auto"/>
        <w:ind w:left="0" w:right="0" w:firstLine="0"/>
        <w:jc w:val="both"/>
      </w:pPr>
      <w:bookmarkStart w:id="1091" w:name="bookmark1091"/>
      <w:bookmarkStart w:id="1092" w:name="bookmark1092"/>
      <w:bookmarkStart w:id="1093" w:name="bookmark1093"/>
      <w:bookmarkStart w:id="1094" w:name="bookmark1094"/>
      <w:r>
        <w:rPr>
          <w:rFonts w:ascii="Times New Roman" w:eastAsia="Times New Roman" w:hAnsi="Times New Roman" w:cs="Times New Roman"/>
          <w:color w:val="000000"/>
          <w:spacing w:val="0"/>
          <w:w w:val="100"/>
          <w:position w:val="0"/>
        </w:rPr>
        <w:t>4</w:t>
      </w:r>
      <w:bookmarkEnd w:id="1093"/>
      <w:r>
        <w:rPr>
          <w:color w:val="000000"/>
          <w:spacing w:val="0"/>
          <w:w w:val="100"/>
          <w:position w:val="0"/>
        </w:rPr>
        <w:t>、应收账款</w:t>
      </w:r>
      <w:bookmarkEnd w:id="1091"/>
      <w:bookmarkEnd w:id="1092"/>
      <w:bookmarkEnd w:id="1094"/>
    </w:p>
    <w:p>
      <w:pPr>
        <w:pStyle w:val="Style34"/>
        <w:keepNext/>
        <w:keepLines/>
        <w:widowControl w:val="0"/>
        <w:numPr>
          <w:ilvl w:val="0"/>
          <w:numId w:val="45"/>
        </w:numPr>
        <w:shd w:val="clear" w:color="auto" w:fill="auto"/>
        <w:bidi w:val="0"/>
        <w:spacing w:before="0" w:line="240" w:lineRule="auto"/>
        <w:ind w:left="0" w:right="0" w:firstLine="0"/>
        <w:jc w:val="both"/>
      </w:pPr>
      <w:bookmarkStart w:id="1091" w:name="bookmark1091"/>
      <w:bookmarkStart w:id="1092" w:name="bookmark1092"/>
      <w:bookmarkStart w:id="1095" w:name="bookmark1095"/>
      <w:bookmarkStart w:id="1096" w:name="bookmark1096"/>
      <w:bookmarkEnd w:id="1095"/>
      <w:r>
        <w:rPr>
          <w:color w:val="000000"/>
          <w:spacing w:val="0"/>
          <w:w w:val="100"/>
          <w:position w:val="0"/>
        </w:rPr>
        <w:t>按客户类别分析如下：</w:t>
      </w:r>
      <w:bookmarkEnd w:id="1091"/>
      <w:bookmarkEnd w:id="1092"/>
      <w:bookmarkEnd w:id="1096"/>
    </w:p>
    <w:tbl>
      <w:tblPr>
        <w:tblOverlap w:val="never"/>
        <w:jc w:val="center"/>
        <w:tblLayout w:type="fixed"/>
      </w:tblPr>
      <w:tblGrid>
        <w:gridCol w:w="2568"/>
        <w:gridCol w:w="2299"/>
        <w:gridCol w:w="2467"/>
        <w:gridCol w:w="2386"/>
      </w:tblGrid>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客户类别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386, 864, </w:t>
            </w:r>
            <w:r>
              <w:rPr>
                <w:color w:val="000000"/>
                <w:spacing w:val="0"/>
                <w:w w:val="100"/>
                <w:position w:val="0"/>
                <w:sz w:val="16"/>
                <w:szCs w:val="16"/>
              </w:rPr>
              <w:t xml:space="preserve">426.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293,726, </w:t>
            </w:r>
            <w:r>
              <w:rPr>
                <w:color w:val="000000"/>
                <w:spacing w:val="0"/>
                <w:w w:val="100"/>
                <w:position w:val="0"/>
                <w:sz w:val="16"/>
                <w:szCs w:val="16"/>
              </w:rPr>
              <w:t xml:space="preserve">931.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342,023,582.94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8, 085, </w:t>
            </w:r>
            <w:r>
              <w:rPr>
                <w:color w:val="000000"/>
                <w:spacing w:val="0"/>
                <w:w w:val="100"/>
                <w:position w:val="0"/>
                <w:sz w:val="16"/>
                <w:szCs w:val="16"/>
              </w:rPr>
              <w:t xml:space="preserve">709.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12,711,907.60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12,711,907.60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394, 950, </w:t>
            </w:r>
            <w:r>
              <w:rPr>
                <w:color w:val="000000"/>
                <w:spacing w:val="0"/>
                <w:w w:val="100"/>
                <w:position w:val="0"/>
                <w:sz w:val="16"/>
                <w:szCs w:val="16"/>
              </w:rPr>
              <w:t xml:space="preserve">136.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 xml:space="preserve">306, 438, </w:t>
            </w:r>
            <w:r>
              <w:rPr>
                <w:color w:val="000000"/>
                <w:spacing w:val="0"/>
                <w:w w:val="100"/>
                <w:position w:val="0"/>
                <w:sz w:val="16"/>
                <w:szCs w:val="16"/>
              </w:rPr>
              <w:t xml:space="preserve">839. </w:t>
            </w:r>
            <w:r>
              <w:rPr>
                <w:color w:val="000000"/>
                <w:spacing w:val="0"/>
                <w:w w:val="100"/>
                <w:position w:val="0"/>
                <w:sz w:val="16"/>
                <w:szCs w:val="16"/>
              </w:rPr>
              <w:t>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354, 735, </w:t>
            </w:r>
            <w:r>
              <w:rPr>
                <w:color w:val="000000"/>
                <w:spacing w:val="0"/>
                <w:w w:val="100"/>
                <w:position w:val="0"/>
                <w:sz w:val="16"/>
                <w:szCs w:val="16"/>
              </w:rPr>
              <w:t xml:space="preserve">490. </w:t>
            </w:r>
            <w:r>
              <w:rPr>
                <w:color w:val="000000"/>
                <w:spacing w:val="0"/>
                <w:w w:val="100"/>
                <w:position w:val="0"/>
                <w:sz w:val="16"/>
                <w:szCs w:val="16"/>
              </w:rPr>
              <w:t>54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72,458, </w:t>
            </w:r>
            <w:r>
              <w:rPr>
                <w:color w:val="000000"/>
                <w:spacing w:val="0"/>
                <w:w w:val="100"/>
                <w:position w:val="0"/>
                <w:sz w:val="16"/>
                <w:szCs w:val="16"/>
              </w:rPr>
              <w:t xml:space="preserve">674.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62,855, </w:t>
            </w:r>
            <w:r>
              <w:rPr>
                <w:color w:val="000000"/>
                <w:spacing w:val="0"/>
                <w:w w:val="100"/>
                <w:position w:val="0"/>
                <w:sz w:val="16"/>
                <w:szCs w:val="16"/>
              </w:rPr>
              <w:t xml:space="preserve">162.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65,884,222.06</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both"/>
              <w:rPr>
                <w:sz w:val="16"/>
                <w:szCs w:val="16"/>
              </w:rPr>
            </w:pPr>
            <w:r>
              <w:rPr>
                <w:color w:val="000000"/>
                <w:spacing w:val="0"/>
                <w:w w:val="100"/>
                <w:position w:val="0"/>
                <w:sz w:val="16"/>
                <w:szCs w:val="16"/>
              </w:rPr>
              <w:t xml:space="preserve">322, </w:t>
            </w:r>
            <w:r>
              <w:rPr>
                <w:color w:val="000000"/>
                <w:spacing w:val="0"/>
                <w:w w:val="100"/>
                <w:position w:val="0"/>
                <w:sz w:val="16"/>
                <w:szCs w:val="16"/>
              </w:rPr>
              <w:t xml:space="preserve">491,461.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left"/>
              <w:rPr>
                <w:sz w:val="16"/>
                <w:szCs w:val="16"/>
              </w:rPr>
            </w:pPr>
            <w:r>
              <w:rPr>
                <w:color w:val="000000"/>
                <w:spacing w:val="0"/>
                <w:w w:val="100"/>
                <w:position w:val="0"/>
                <w:sz w:val="16"/>
                <w:szCs w:val="16"/>
              </w:rPr>
              <w:t>243,583,677.07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288, </w:t>
            </w:r>
            <w:r>
              <w:rPr>
                <w:color w:val="000000"/>
                <w:spacing w:val="0"/>
                <w:w w:val="100"/>
                <w:position w:val="0"/>
                <w:sz w:val="16"/>
                <w:szCs w:val="16"/>
              </w:rPr>
              <w:t>851,268.48</w:t>
            </w:r>
          </w:p>
        </w:tc>
      </w:tr>
    </w:tbl>
    <w:p>
      <w:pPr>
        <w:pStyle w:val="Style21"/>
        <w:keepNext w:val="0"/>
        <w:keepLines w:val="0"/>
        <w:widowControl w:val="0"/>
        <w:shd w:val="clear" w:color="auto" w:fill="auto"/>
        <w:bidi w:val="0"/>
        <w:spacing w:before="0" w:after="380" w:line="326" w:lineRule="exact"/>
        <w:ind w:left="0" w:right="0" w:firstLine="0"/>
        <w:jc w:val="both"/>
        <w:sectPr>
          <w:headerReference w:type="default" r:id="rId241"/>
          <w:footerReference w:type="default" r:id="rId242"/>
          <w:headerReference w:type="even" r:id="rId243"/>
          <w:footerReference w:type="even" r:id="rId244"/>
          <w:footnotePr>
            <w:pos w:val="pageBottom"/>
            <w:numFmt w:val="decimal"/>
            <w:numRestart w:val="continuous"/>
          </w:footnotePr>
          <w:type w:val="continuous"/>
          <w:pgSz w:w="11900" w:h="16840"/>
          <w:pgMar w:top="1534" w:right="980" w:bottom="1367" w:left="100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日列示金额为适用新收入准则后的已调整金额，</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日列示金额为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年期末数。以下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期末数未对比较数据进行调整列示。合同资产、预收账款、合同负债、应付账款、应交税费、其他流动资产等受新收入准则 </w:t>
      </w:r>
    </w:p>
    <w:p>
      <w:pPr>
        <w:pStyle w:val="Style21"/>
        <w:keepNext w:val="0"/>
        <w:keepLines w:val="0"/>
        <w:widowControl w:val="0"/>
        <w:shd w:val="clear" w:color="auto" w:fill="auto"/>
        <w:bidi w:val="0"/>
        <w:spacing w:before="0" w:after="380" w:line="326" w:lineRule="exact"/>
        <w:ind w:left="0" w:right="0" w:firstLine="0"/>
        <w:jc w:val="both"/>
      </w:pPr>
      <w:r>
        <w:rPr>
          <w:color w:val="000000"/>
          <w:spacing w:val="0"/>
          <w:w w:val="100"/>
          <w:position w:val="0"/>
        </w:rPr>
        <w:t>影响调整的科目列示原则与应收账款一致。</w:t>
      </w:r>
    </w:p>
    <w:p>
      <w:pPr>
        <w:pStyle w:val="Style34"/>
        <w:keepNext/>
        <w:keepLines/>
        <w:widowControl w:val="0"/>
        <w:shd w:val="clear" w:color="auto" w:fill="auto"/>
        <w:tabs>
          <w:tab w:pos="836" w:val="left"/>
        </w:tabs>
        <w:bidi w:val="0"/>
        <w:spacing w:before="0" w:after="340" w:line="240" w:lineRule="auto"/>
        <w:ind w:left="0" w:right="0" w:firstLine="140"/>
        <w:jc w:val="left"/>
      </w:pPr>
      <w:bookmarkStart w:id="1097" w:name="bookmark1097"/>
      <w:bookmarkStart w:id="1098" w:name="bookmark1098"/>
      <w:bookmarkStart w:id="1099" w:name="bookmark1099"/>
      <w:bookmarkStart w:id="1100" w:name="bookmark1100"/>
      <w:r>
        <w:rPr>
          <w:color w:val="000000"/>
          <w:spacing w:val="0"/>
          <w:w w:val="100"/>
          <w:position w:val="0"/>
          <w:sz w:val="20"/>
          <w:szCs w:val="20"/>
        </w:rPr>
        <w:t>（</w:t>
      </w:r>
      <w:bookmarkEnd w:id="1099"/>
      <w:r>
        <w:rPr>
          <w:color w:val="000000"/>
          <w:spacing w:val="0"/>
          <w:w w:val="100"/>
          <w:position w:val="0"/>
          <w:sz w:val="20"/>
          <w:szCs w:val="20"/>
        </w:rPr>
        <w:t>2）</w:t>
        <w:tab/>
      </w:r>
      <w:r>
        <w:rPr>
          <w:color w:val="000000"/>
          <w:spacing w:val="0"/>
          <w:w w:val="100"/>
          <w:position w:val="0"/>
        </w:rPr>
        <w:t>按账龄分析如下:</w:t>
      </w:r>
      <w:bookmarkEnd w:id="1097"/>
      <w:bookmarkEnd w:id="1098"/>
      <w:bookmarkEnd w:id="1100"/>
    </w:p>
    <w:tbl>
      <w:tblPr>
        <w:tblOverlap w:val="never"/>
        <w:jc w:val="center"/>
        <w:tblLayout w:type="fixed"/>
      </w:tblPr>
      <w:tblGrid>
        <w:gridCol w:w="2717"/>
        <w:gridCol w:w="3710"/>
        <w:gridCol w:w="3293"/>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233, 826, </w:t>
            </w:r>
            <w:r>
              <w:rPr>
                <w:color w:val="000000"/>
                <w:spacing w:val="0"/>
                <w:w w:val="100"/>
                <w:position w:val="0"/>
                <w:sz w:val="16"/>
                <w:szCs w:val="16"/>
              </w:rPr>
              <w:t xml:space="preserve">956. </w:t>
            </w:r>
            <w:r>
              <w:rPr>
                <w:color w:val="000000"/>
                <w:spacing w:val="0"/>
                <w:w w:val="100"/>
                <w:position w:val="0"/>
                <w:sz w:val="16"/>
                <w:szCs w:val="16"/>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229,727, </w:t>
            </w:r>
            <w:r>
              <w:rPr>
                <w:color w:val="000000"/>
                <w:spacing w:val="0"/>
                <w:w w:val="100"/>
                <w:position w:val="0"/>
                <w:sz w:val="16"/>
                <w:szCs w:val="16"/>
              </w:rPr>
              <w:t xml:space="preserve">658. </w:t>
            </w:r>
            <w:r>
              <w:rPr>
                <w:color w:val="000000"/>
                <w:spacing w:val="0"/>
                <w:w w:val="100"/>
                <w:position w:val="0"/>
                <w:sz w:val="16"/>
                <w:szCs w:val="16"/>
              </w:rPr>
              <w:t>28</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年至</w:t>
            </w:r>
            <w:r>
              <w:rPr>
                <w:color w:val="000000"/>
                <w:spacing w:val="0"/>
                <w:w w:val="100"/>
                <w:position w:val="0"/>
                <w:sz w:val="16"/>
                <w:szCs w:val="16"/>
              </w:rPr>
              <w:t>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left"/>
              <w:rPr>
                <w:sz w:val="16"/>
                <w:szCs w:val="16"/>
              </w:rPr>
            </w:pPr>
            <w:r>
              <w:rPr>
                <w:color w:val="000000"/>
                <w:spacing w:val="0"/>
                <w:w w:val="100"/>
                <w:position w:val="0"/>
                <w:sz w:val="16"/>
                <w:szCs w:val="16"/>
              </w:rPr>
              <w:t xml:space="preserve">64, </w:t>
            </w:r>
            <w:r>
              <w:rPr>
                <w:color w:val="000000"/>
                <w:spacing w:val="0"/>
                <w:w w:val="100"/>
                <w:position w:val="0"/>
                <w:sz w:val="16"/>
                <w:szCs w:val="16"/>
              </w:rPr>
              <w:t>452,491.41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52,616,116.08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w:t>
            </w:r>
            <w:r>
              <w:rPr>
                <w:color w:val="000000"/>
                <w:spacing w:val="0"/>
                <w:w w:val="100"/>
                <w:position w:val="0"/>
              </w:rPr>
              <w:t>年至</w:t>
            </w:r>
            <w:r>
              <w:rPr>
                <w:color w:val="000000"/>
                <w:spacing w:val="0"/>
                <w:w w:val="100"/>
                <w:position w:val="0"/>
                <w:sz w:val="16"/>
                <w:szCs w:val="16"/>
              </w:rPr>
              <w:t>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left"/>
              <w:rPr>
                <w:sz w:val="16"/>
                <w:szCs w:val="16"/>
              </w:rPr>
            </w:pPr>
            <w:r>
              <w:rPr>
                <w:color w:val="000000"/>
                <w:spacing w:val="0"/>
                <w:w w:val="100"/>
                <w:position w:val="0"/>
                <w:sz w:val="16"/>
                <w:szCs w:val="16"/>
              </w:rPr>
              <w:t xml:space="preserve">35, 084, </w:t>
            </w:r>
            <w:r>
              <w:rPr>
                <w:color w:val="000000"/>
                <w:spacing w:val="0"/>
                <w:w w:val="100"/>
                <w:position w:val="0"/>
                <w:sz w:val="16"/>
                <w:szCs w:val="16"/>
              </w:rPr>
              <w:t xml:space="preserve">146.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 xml:space="preserve">17,659, </w:t>
            </w:r>
            <w:r>
              <w:rPr>
                <w:color w:val="000000"/>
                <w:spacing w:val="0"/>
                <w:w w:val="100"/>
                <w:position w:val="0"/>
                <w:sz w:val="16"/>
                <w:szCs w:val="16"/>
              </w:rPr>
              <w:t xml:space="preserve">107. </w:t>
            </w:r>
            <w:r>
              <w:rPr>
                <w:color w:val="000000"/>
                <w:spacing w:val="0"/>
                <w:w w:val="100"/>
                <w:position w:val="0"/>
                <w:sz w:val="16"/>
                <w:szCs w:val="16"/>
              </w:rPr>
              <w:t>16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3</w:t>
            </w:r>
            <w:r>
              <w:rPr>
                <w:color w:val="000000"/>
                <w:spacing w:val="0"/>
                <w:w w:val="100"/>
                <w:position w:val="0"/>
              </w:rPr>
              <w:t>年至</w:t>
            </w:r>
            <w:r>
              <w:rPr>
                <w:color w:val="000000"/>
                <w:spacing w:val="0"/>
                <w:w w:val="100"/>
                <w:position w:val="0"/>
                <w:sz w:val="16"/>
                <w:szCs w:val="16"/>
              </w:rPr>
              <w:t>4</w:t>
            </w:r>
            <w:r>
              <w:rPr>
                <w:color w:val="000000"/>
                <w:spacing w:val="0"/>
                <w:w w:val="100"/>
                <w:position w:val="0"/>
              </w:rPr>
              <w:t>年（含</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left"/>
              <w:rPr>
                <w:sz w:val="16"/>
                <w:szCs w:val="16"/>
              </w:rPr>
            </w:pPr>
            <w:r>
              <w:rPr>
                <w:color w:val="000000"/>
                <w:spacing w:val="0"/>
                <w:w w:val="100"/>
                <w:position w:val="0"/>
                <w:sz w:val="16"/>
                <w:szCs w:val="16"/>
              </w:rPr>
              <w:t xml:space="preserve">14, 935, </w:t>
            </w:r>
            <w:r>
              <w:rPr>
                <w:color w:val="000000"/>
                <w:spacing w:val="0"/>
                <w:w w:val="100"/>
                <w:position w:val="0"/>
                <w:sz w:val="16"/>
                <w:szCs w:val="16"/>
              </w:rPr>
              <w:t xml:space="preserve">548.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14,771,803.44</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4</w:t>
            </w:r>
            <w:r>
              <w:rPr>
                <w:color w:val="000000"/>
                <w:spacing w:val="0"/>
                <w:w w:val="100"/>
                <w:position w:val="0"/>
              </w:rPr>
              <w:t>年至</w:t>
            </w:r>
            <w:r>
              <w:rPr>
                <w:color w:val="000000"/>
                <w:spacing w:val="0"/>
                <w:w w:val="100"/>
                <w:position w:val="0"/>
                <w:sz w:val="16"/>
                <w:szCs w:val="16"/>
              </w:rPr>
              <w:t>5</w:t>
            </w:r>
            <w:r>
              <w:rPr>
                <w:color w:val="000000"/>
                <w:spacing w:val="0"/>
                <w:w w:val="100"/>
                <w:position w:val="0"/>
              </w:rPr>
              <w:t>年（含</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left"/>
              <w:rPr>
                <w:sz w:val="16"/>
                <w:szCs w:val="16"/>
              </w:rPr>
            </w:pPr>
            <w:r>
              <w:rPr>
                <w:color w:val="000000"/>
                <w:spacing w:val="0"/>
                <w:w w:val="100"/>
                <w:position w:val="0"/>
                <w:sz w:val="16"/>
                <w:szCs w:val="16"/>
              </w:rPr>
              <w:t>13, 136,</w:t>
            </w:r>
            <w:r>
              <w:rPr>
                <w:color w:val="000000"/>
                <w:spacing w:val="0"/>
                <w:w w:val="100"/>
                <w:position w:val="0"/>
                <w:sz w:val="16"/>
                <w:szCs w:val="16"/>
              </w:rPr>
              <w:t>832.</w:t>
            </w:r>
            <w:r>
              <w:rPr>
                <w:color w:val="000000"/>
                <w:spacing w:val="0"/>
                <w:w w:val="100"/>
                <w:position w:val="0"/>
                <w:sz w:val="16"/>
                <w:szCs w:val="16"/>
              </w:rPr>
              <w:t>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15,546,502.45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left"/>
              <w:rPr>
                <w:sz w:val="16"/>
                <w:szCs w:val="16"/>
              </w:rPr>
            </w:pPr>
            <w:r>
              <w:rPr>
                <w:color w:val="000000"/>
                <w:spacing w:val="0"/>
                <w:w w:val="100"/>
                <w:position w:val="0"/>
                <w:sz w:val="16"/>
                <w:szCs w:val="16"/>
              </w:rPr>
              <w:t>33,514,160.70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 xml:space="preserve">24,414,303. </w:t>
            </w:r>
            <w:r>
              <w:rPr>
                <w:color w:val="000000"/>
                <w:spacing w:val="0"/>
                <w:w w:val="100"/>
                <w:position w:val="0"/>
                <w:sz w:val="16"/>
                <w:szCs w:val="16"/>
              </w:rPr>
              <w:t>13</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both"/>
              <w:rPr>
                <w:sz w:val="16"/>
                <w:szCs w:val="16"/>
              </w:rPr>
            </w:pPr>
            <w:r>
              <w:rPr>
                <w:color w:val="000000"/>
                <w:spacing w:val="0"/>
                <w:w w:val="100"/>
                <w:position w:val="0"/>
                <w:sz w:val="16"/>
                <w:szCs w:val="16"/>
              </w:rPr>
              <w:t xml:space="preserve">394, 950, </w:t>
            </w:r>
            <w:r>
              <w:rPr>
                <w:color w:val="000000"/>
                <w:spacing w:val="0"/>
                <w:w w:val="100"/>
                <w:position w:val="0"/>
                <w:sz w:val="16"/>
                <w:szCs w:val="16"/>
              </w:rPr>
              <w:t xml:space="preserve">136.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354, 735, </w:t>
            </w:r>
            <w:r>
              <w:rPr>
                <w:color w:val="000000"/>
                <w:spacing w:val="0"/>
                <w:w w:val="100"/>
                <w:position w:val="0"/>
                <w:sz w:val="16"/>
                <w:szCs w:val="16"/>
              </w:rPr>
              <w:t xml:space="preserve">490. </w:t>
            </w:r>
            <w:r>
              <w:rPr>
                <w:color w:val="000000"/>
                <w:spacing w:val="0"/>
                <w:w w:val="100"/>
                <w:position w:val="0"/>
                <w:sz w:val="16"/>
                <w:szCs w:val="16"/>
              </w:rPr>
              <w:t>54</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80" w:right="0" w:firstLine="0"/>
              <w:jc w:val="left"/>
              <w:rPr>
                <w:sz w:val="16"/>
                <w:szCs w:val="16"/>
              </w:rPr>
            </w:pPr>
            <w:r>
              <w:rPr>
                <w:color w:val="000000"/>
                <w:spacing w:val="0"/>
                <w:w w:val="100"/>
                <w:position w:val="0"/>
                <w:sz w:val="16"/>
                <w:szCs w:val="16"/>
              </w:rPr>
              <w:t xml:space="preserve">72,458, </w:t>
            </w:r>
            <w:r>
              <w:rPr>
                <w:color w:val="000000"/>
                <w:spacing w:val="0"/>
                <w:w w:val="100"/>
                <w:position w:val="0"/>
                <w:sz w:val="16"/>
                <w:szCs w:val="16"/>
              </w:rPr>
              <w:t xml:space="preserve">674.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40" w:right="0" w:firstLine="0"/>
              <w:jc w:val="left"/>
              <w:rPr>
                <w:sz w:val="16"/>
                <w:szCs w:val="16"/>
              </w:rPr>
            </w:pPr>
            <w:r>
              <w:rPr>
                <w:color w:val="000000"/>
                <w:spacing w:val="0"/>
                <w:w w:val="100"/>
                <w:position w:val="0"/>
                <w:sz w:val="16"/>
                <w:szCs w:val="16"/>
              </w:rPr>
              <w:t>65,884,222.06</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00" w:right="0" w:firstLine="0"/>
              <w:jc w:val="left"/>
              <w:rPr>
                <w:sz w:val="16"/>
                <w:szCs w:val="16"/>
              </w:rPr>
            </w:pPr>
            <w:r>
              <w:rPr>
                <w:color w:val="000000"/>
                <w:spacing w:val="0"/>
                <w:w w:val="100"/>
                <w:position w:val="0"/>
                <w:sz w:val="16"/>
                <w:szCs w:val="16"/>
              </w:rPr>
              <w:t xml:space="preserve">322, </w:t>
            </w:r>
            <w:r>
              <w:rPr>
                <w:color w:val="000000"/>
                <w:spacing w:val="0"/>
                <w:w w:val="100"/>
                <w:position w:val="0"/>
                <w:sz w:val="16"/>
                <w:szCs w:val="16"/>
              </w:rPr>
              <w:t xml:space="preserve">491,461. </w:t>
            </w:r>
            <w:r>
              <w:rPr>
                <w:color w:val="000000"/>
                <w:spacing w:val="0"/>
                <w:w w:val="100"/>
                <w:position w:val="0"/>
                <w:sz w:val="16"/>
                <w:szCs w:val="16"/>
              </w:rPr>
              <w:t>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40" w:right="0" w:firstLine="0"/>
              <w:jc w:val="left"/>
              <w:rPr>
                <w:sz w:val="16"/>
                <w:szCs w:val="16"/>
              </w:rPr>
            </w:pPr>
            <w:r>
              <w:rPr>
                <w:color w:val="000000"/>
                <w:spacing w:val="0"/>
                <w:w w:val="100"/>
                <w:position w:val="0"/>
                <w:sz w:val="16"/>
                <w:szCs w:val="16"/>
              </w:rPr>
              <w:t xml:space="preserve">288, </w:t>
            </w:r>
            <w:r>
              <w:rPr>
                <w:color w:val="000000"/>
                <w:spacing w:val="0"/>
                <w:w w:val="100"/>
                <w:position w:val="0"/>
                <w:sz w:val="16"/>
                <w:szCs w:val="16"/>
              </w:rPr>
              <w:t xml:space="preserve">851,268. </w:t>
            </w:r>
            <w:r>
              <w:rPr>
                <w:color w:val="000000"/>
                <w:spacing w:val="0"/>
                <w:w w:val="100"/>
                <w:position w:val="0"/>
                <w:sz w:val="16"/>
                <w:szCs w:val="16"/>
              </w:rPr>
              <w:t>48</w:t>
            </w:r>
          </w:p>
        </w:tc>
      </w:tr>
    </w:tbl>
    <w:p>
      <w:pPr>
        <w:pStyle w:val="Style37"/>
        <w:keepNext w:val="0"/>
        <w:keepLines w:val="0"/>
        <w:widowControl w:val="0"/>
        <w:shd w:val="clear" w:color="auto" w:fill="auto"/>
        <w:bidi w:val="0"/>
        <w:spacing w:before="0" w:after="0" w:line="240" w:lineRule="auto"/>
        <w:ind w:left="29" w:right="0" w:firstLine="0"/>
        <w:jc w:val="left"/>
      </w:pPr>
      <w:r>
        <w:rPr>
          <w:color w:val="000000"/>
          <w:spacing w:val="0"/>
          <w:w w:val="100"/>
          <w:position w:val="0"/>
        </w:rPr>
        <w:t>账龄自应收账款确认日起开始计算。</w:t>
      </w:r>
    </w:p>
    <w:p>
      <w:pPr>
        <w:widowControl w:val="0"/>
        <w:spacing w:after="379" w:line="1" w:lineRule="exact"/>
      </w:pPr>
    </w:p>
    <w:p>
      <w:pPr>
        <w:pStyle w:val="Style34"/>
        <w:keepNext/>
        <w:keepLines/>
        <w:widowControl w:val="0"/>
        <w:shd w:val="clear" w:color="auto" w:fill="auto"/>
        <w:bidi w:val="0"/>
        <w:spacing w:before="0" w:after="34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sz w:val="20"/>
          <w:szCs w:val="20"/>
        </w:rPr>
        <w:t>（</w:t>
      </w:r>
      <w:bookmarkEnd w:id="1103"/>
      <w:r>
        <w:rPr>
          <w:color w:val="000000"/>
          <w:spacing w:val="0"/>
          <w:w w:val="100"/>
          <w:position w:val="0"/>
          <w:sz w:val="20"/>
          <w:szCs w:val="20"/>
        </w:rPr>
        <w:t>3）</w:t>
      </w:r>
      <w:r>
        <w:rPr>
          <w:color w:val="000000"/>
          <w:spacing w:val="0"/>
          <w:w w:val="100"/>
          <w:position w:val="0"/>
        </w:rPr>
        <w:t>应收账款按坏账准备计提方法分类披露</w:t>
      </w:r>
      <w:bookmarkEnd w:id="1101"/>
      <w:bookmarkEnd w:id="1102"/>
      <w:bookmarkEnd w:id="1104"/>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6"/>
          <w:szCs w:val="16"/>
        </w:rPr>
        <w:t xml:space="preserve">（a） </w:t>
      </w:r>
      <w:r>
        <w:rPr>
          <w:color w:val="000000"/>
          <w:spacing w:val="0"/>
          <w:w w:val="100"/>
          <w:position w:val="0"/>
        </w:rPr>
        <w:t>应收账款预期信用损失的评估：</w:t>
      </w:r>
    </w:p>
    <w:p>
      <w:pPr>
        <w:pStyle w:val="Style21"/>
        <w:keepNext w:val="0"/>
        <w:keepLines w:val="0"/>
        <w:widowControl w:val="0"/>
        <w:shd w:val="clear" w:color="auto" w:fill="auto"/>
        <w:bidi w:val="0"/>
        <w:spacing w:before="0" w:after="480" w:line="312" w:lineRule="exact"/>
        <w:ind w:left="560" w:right="0" w:firstLine="40"/>
        <w:jc w:val="both"/>
      </w:pPr>
      <w:r>
        <w:rPr>
          <w:color w:val="000000"/>
          <w:spacing w:val="0"/>
          <w:w w:val="100"/>
          <w:position w:val="0"/>
        </w:rPr>
        <w:t>本集团始终按照相当于整个存续期内预期信用损失的金额计量应收账款的减值准备，并以逾期天数与违约损失率对 照表为基础计算其预期信用损失。根据本集团的历史经验，不同细分客户群体发生损失的情况存在显著差异，因此 在根据逾期信息计算减值准备时未进一步区分不同的客户群体。</w:t>
      </w:r>
    </w:p>
    <w:p>
      <w:pPr>
        <w:pStyle w:val="Style21"/>
        <w:keepNext w:val="0"/>
        <w:keepLines w:val="0"/>
        <w:widowControl w:val="0"/>
        <w:shd w:val="clear" w:color="auto" w:fill="auto"/>
        <w:bidi w:val="0"/>
        <w:spacing w:before="0" w:after="380" w:line="240" w:lineRule="auto"/>
        <w:ind w:left="0" w:right="0" w:firstLine="560"/>
        <w:jc w:val="left"/>
      </w:pPr>
      <w:r>
        <w:rPr>
          <w:color w:val="000000"/>
          <w:spacing w:val="0"/>
          <w:w w:val="100"/>
          <w:position w:val="0"/>
          <w:sz w:val="16"/>
          <w:szCs w:val="16"/>
        </w:rPr>
        <w:t xml:space="preserve">2020 </w:t>
      </w:r>
      <w:r>
        <w:rPr>
          <w:color w:val="000000"/>
          <w:spacing w:val="0"/>
          <w:w w:val="100"/>
          <w:position w:val="0"/>
        </w:rPr>
        <w:t>年</w:t>
      </w:r>
    </w:p>
    <w:tbl>
      <w:tblPr>
        <w:tblOverlap w:val="never"/>
        <w:jc w:val="center"/>
        <w:tblLayout w:type="fixed"/>
      </w:tblPr>
      <w:tblGrid>
        <w:gridCol w:w="4694"/>
        <w:gridCol w:w="1982"/>
        <w:gridCol w:w="2021"/>
      </w:tblGrid>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80" w:right="0" w:firstLine="0"/>
              <w:jc w:val="left"/>
            </w:pPr>
            <w:r>
              <w:rPr>
                <w:color w:val="000000"/>
                <w:spacing w:val="0"/>
                <w:w w:val="100"/>
                <w:position w:val="0"/>
              </w:rPr>
              <w:t>客户细分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按单项计提的应收账款减值准备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586, </w:t>
            </w:r>
            <w:r>
              <w:rPr>
                <w:color w:val="000000"/>
                <w:spacing w:val="0"/>
                <w:w w:val="100"/>
                <w:position w:val="0"/>
                <w:sz w:val="16"/>
                <w:szCs w:val="16"/>
              </w:rPr>
              <w:t xml:space="preserve">794. </w:t>
            </w:r>
            <w:r>
              <w:rPr>
                <w:color w:val="000000"/>
                <w:spacing w:val="0"/>
                <w:w w:val="100"/>
                <w:position w:val="0"/>
                <w:sz w:val="16"/>
                <w:szCs w:val="16"/>
              </w:rPr>
              <w:t>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按组合计提的应收账款减值准备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71,871,880.50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65,884,222.06</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72,458, </w:t>
            </w:r>
            <w:r>
              <w:rPr>
                <w:color w:val="000000"/>
                <w:spacing w:val="0"/>
                <w:w w:val="100"/>
                <w:position w:val="0"/>
                <w:sz w:val="16"/>
                <w:szCs w:val="16"/>
              </w:rPr>
              <w:t xml:space="preserve">674. </w:t>
            </w:r>
            <w:r>
              <w:rPr>
                <w:color w:val="000000"/>
                <w:spacing w:val="0"/>
                <w:w w:val="100"/>
                <w:position w:val="0"/>
                <w:sz w:val="16"/>
                <w:szCs w:val="16"/>
              </w:rPr>
              <w:t>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65,884,222.06</w:t>
            </w:r>
          </w:p>
        </w:tc>
      </w:tr>
    </w:tbl>
    <w:p>
      <w:pPr>
        <w:widowControl w:val="0"/>
        <w:spacing w:after="339" w:line="1" w:lineRule="exact"/>
      </w:pPr>
    </w:p>
    <w:p>
      <w:pPr>
        <w:pStyle w:val="Style21"/>
        <w:keepNext w:val="0"/>
        <w:keepLines w:val="0"/>
        <w:widowControl w:val="0"/>
        <w:shd w:val="clear" w:color="auto" w:fill="auto"/>
        <w:bidi w:val="0"/>
        <w:spacing w:before="0" w:after="340" w:line="230" w:lineRule="exact"/>
        <w:ind w:left="560" w:right="0" w:firstLine="40"/>
        <w:jc w:val="both"/>
      </w:pPr>
      <w:r>
        <w:rPr>
          <w:color w:val="000000"/>
          <w:spacing w:val="0"/>
          <w:w w:val="100"/>
          <w:position w:val="0"/>
        </w:rPr>
        <w:t>部分政府单位合作项目的请款审批流程较长，考虑政府单位的履约能力良好、结合这部分单位历史回款情况、近</w:t>
      </w:r>
      <w:r>
        <w:rPr>
          <w:color w:val="000000"/>
          <w:spacing w:val="0"/>
          <w:w w:val="100"/>
          <w:position w:val="0"/>
          <w:sz w:val="16"/>
          <w:szCs w:val="16"/>
        </w:rPr>
        <w:t xml:space="preserve">12 </w:t>
      </w:r>
      <w:r>
        <w:rPr>
          <w:color w:val="000000"/>
          <w:spacing w:val="0"/>
          <w:w w:val="100"/>
          <w:position w:val="0"/>
        </w:rPr>
        <w:t>个月的回款承诺等因素，本集团按照单项计算预期信用损失。</w:t>
      </w:r>
    </w:p>
    <w:p>
      <w:pPr>
        <w:pStyle w:val="Style21"/>
        <w:keepNext w:val="0"/>
        <w:keepLines w:val="0"/>
        <w:widowControl w:val="0"/>
        <w:shd w:val="clear" w:color="auto" w:fill="auto"/>
        <w:bidi w:val="0"/>
        <w:spacing w:before="0" w:after="340" w:line="230" w:lineRule="exact"/>
        <w:ind w:left="560" w:right="0" w:firstLine="40"/>
        <w:jc w:val="both"/>
      </w:pPr>
      <w:r>
        <w:rPr>
          <w:color w:val="000000"/>
          <w:spacing w:val="0"/>
          <w:w w:val="100"/>
          <w:position w:val="0"/>
        </w:rPr>
        <w:t>对于其他项目的应收账款，作为具有类似信用风险特征的组合，本集团基于历史实际信用损失率计算预期信用损 失，并考虑历史数据收集期间的经济状况、当前的经济状况与未来经济状况预测。</w:t>
      </w:r>
    </w:p>
    <w:p>
      <w:pPr>
        <w:pStyle w:val="Style21"/>
        <w:keepNext w:val="0"/>
        <w:keepLines w:val="0"/>
        <w:widowControl w:val="0"/>
        <w:shd w:val="clear" w:color="auto" w:fill="auto"/>
        <w:bidi w:val="0"/>
        <w:spacing w:before="0" w:after="340" w:line="240" w:lineRule="auto"/>
        <w:ind w:left="0" w:right="0" w:firstLine="560"/>
        <w:jc w:val="left"/>
      </w:pPr>
      <w:r>
        <w:rPr>
          <w:color w:val="000000"/>
          <w:spacing w:val="0"/>
          <w:w w:val="100"/>
          <w:position w:val="0"/>
        </w:rPr>
        <w:t>按单项计提的应收账款减值准备:</w:t>
      </w:r>
    </w:p>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sz w:val="16"/>
          <w:szCs w:val="16"/>
        </w:rPr>
        <w:t xml:space="preserve">2020 </w:t>
      </w:r>
      <w:r>
        <w:rPr>
          <w:color w:val="000000"/>
          <w:spacing w:val="0"/>
          <w:w w:val="100"/>
          <w:position w:val="0"/>
        </w:rPr>
        <w:t>年</w:t>
      </w:r>
    </w:p>
    <w:tbl>
      <w:tblPr>
        <w:tblOverlap w:val="never"/>
        <w:jc w:val="center"/>
        <w:tblLayout w:type="fixed"/>
      </w:tblPr>
      <w:tblGrid>
        <w:gridCol w:w="2707"/>
        <w:gridCol w:w="1982"/>
        <w:gridCol w:w="1987"/>
        <w:gridCol w:w="2016"/>
      </w:tblGrid>
      <w:tr>
        <w:trPr>
          <w:trHeight w:val="62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整个存续期的 预期信用损失率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年末减值准备</w:t>
            </w:r>
          </w:p>
        </w:tc>
      </w:tr>
      <w:tr>
        <w:trPr>
          <w:trHeight w:val="45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3,417,400.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205, </w:t>
            </w:r>
            <w:r>
              <w:rPr>
                <w:color w:val="000000"/>
                <w:spacing w:val="0"/>
                <w:w w:val="100"/>
                <w:position w:val="0"/>
                <w:sz w:val="16"/>
                <w:szCs w:val="16"/>
              </w:rPr>
              <w:t xml:space="preserve">044. </w:t>
            </w:r>
            <w:r>
              <w:rPr>
                <w:color w:val="000000"/>
                <w:spacing w:val="0"/>
                <w:w w:val="100"/>
                <w:position w:val="0"/>
                <w:sz w:val="16"/>
                <w:szCs w:val="16"/>
              </w:rPr>
              <w:t>06</w:t>
            </w:r>
          </w:p>
        </w:tc>
      </w:tr>
    </w:tbl>
    <w:p>
      <w:pPr>
        <w:widowControl w:val="0"/>
        <w:spacing w:line="1" w:lineRule="exact"/>
      </w:pPr>
      <w:r>
        <w:br w:type="page"/>
      </w:r>
    </w:p>
    <w:tbl>
      <w:tblPr>
        <w:tblOverlap w:val="never"/>
        <w:jc w:val="center"/>
        <w:tblLayout w:type="fixed"/>
      </w:tblPr>
      <w:tblGrid>
        <w:gridCol w:w="3293"/>
        <w:gridCol w:w="1982"/>
        <w:gridCol w:w="1987"/>
        <w:gridCol w:w="2501"/>
      </w:tblGrid>
      <w:tr>
        <w:trPr>
          <w:trHeight w:val="4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893,</w:t>
            </w:r>
            <w:r>
              <w:rPr>
                <w:color w:val="000000"/>
                <w:spacing w:val="0"/>
                <w:w w:val="100"/>
                <w:position w:val="0"/>
                <w:sz w:val="16"/>
                <w:szCs w:val="16"/>
              </w:rPr>
              <w:t>900.</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53, </w:t>
            </w:r>
            <w:r>
              <w:rPr>
                <w:color w:val="000000"/>
                <w:spacing w:val="0"/>
                <w:w w:val="100"/>
                <w:position w:val="0"/>
                <w:sz w:val="16"/>
                <w:szCs w:val="16"/>
              </w:rPr>
              <w:t xml:space="preserve">634.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638, </w:t>
            </w:r>
            <w:r>
              <w:rPr>
                <w:color w:val="000000"/>
                <w:spacing w:val="0"/>
                <w:w w:val="100"/>
                <w:position w:val="0"/>
                <w:sz w:val="16"/>
                <w:szCs w:val="16"/>
              </w:rPr>
              <w:t xml:space="preserve">424.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38, </w:t>
            </w:r>
            <w:r>
              <w:rPr>
                <w:color w:val="000000"/>
                <w:spacing w:val="0"/>
                <w:w w:val="100"/>
                <w:position w:val="0"/>
                <w:sz w:val="16"/>
                <w:szCs w:val="16"/>
              </w:rPr>
              <w:t xml:space="preserve">305. </w:t>
            </w:r>
            <w:r>
              <w:rPr>
                <w:color w:val="000000"/>
                <w:spacing w:val="0"/>
                <w:w w:val="100"/>
                <w:position w:val="0"/>
                <w:sz w:val="16"/>
                <w:szCs w:val="16"/>
              </w:rPr>
              <w:t>44</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630, </w:t>
            </w:r>
            <w:r>
              <w:rPr>
                <w:color w:val="000000"/>
                <w:spacing w:val="0"/>
                <w:w w:val="100"/>
                <w:position w:val="0"/>
                <w:sz w:val="16"/>
                <w:szCs w:val="16"/>
              </w:rPr>
              <w:t xml:space="preserve">004.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 xml:space="preserve">37, </w:t>
            </w:r>
            <w:r>
              <w:rPr>
                <w:color w:val="000000"/>
                <w:spacing w:val="0"/>
                <w:w w:val="100"/>
                <w:position w:val="0"/>
                <w:sz w:val="16"/>
                <w:szCs w:val="16"/>
              </w:rPr>
              <w:t xml:space="preserve">800. </w:t>
            </w:r>
            <w:r>
              <w:rPr>
                <w:color w:val="000000"/>
                <w:spacing w:val="0"/>
                <w:w w:val="100"/>
                <w:position w:val="0"/>
                <w:sz w:val="16"/>
                <w:szCs w:val="16"/>
              </w:rPr>
              <w:t>24</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597, </w:t>
            </w:r>
            <w:r>
              <w:rPr>
                <w:color w:val="000000"/>
                <w:spacing w:val="0"/>
                <w:w w:val="100"/>
                <w:position w:val="0"/>
                <w:sz w:val="16"/>
                <w:szCs w:val="16"/>
              </w:rPr>
              <w:t xml:space="preserve">708. </w:t>
            </w:r>
            <w:r>
              <w:rPr>
                <w:color w:val="000000"/>
                <w:spacing w:val="0"/>
                <w:w w:val="100"/>
                <w:position w:val="0"/>
                <w:sz w:val="16"/>
                <w:szCs w:val="16"/>
              </w:rPr>
              <w:t>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both"/>
              <w:rPr>
                <w:sz w:val="16"/>
                <w:szCs w:val="16"/>
              </w:rPr>
            </w:pPr>
            <w:r>
              <w:rPr>
                <w:color w:val="000000"/>
                <w:spacing w:val="0"/>
                <w:w w:val="100"/>
                <w:position w:val="0"/>
                <w:sz w:val="16"/>
                <w:szCs w:val="16"/>
              </w:rPr>
              <w:t>35,862.50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其他客户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3,602,467.39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216, </w:t>
            </w:r>
            <w:r>
              <w:rPr>
                <w:color w:val="000000"/>
                <w:spacing w:val="0"/>
                <w:w w:val="100"/>
                <w:position w:val="0"/>
                <w:sz w:val="16"/>
                <w:szCs w:val="16"/>
              </w:rPr>
              <w:t xml:space="preserve">148. </w:t>
            </w:r>
            <w:r>
              <w:rPr>
                <w:color w:val="000000"/>
                <w:spacing w:val="0"/>
                <w:w w:val="100"/>
                <w:position w:val="0"/>
                <w:sz w:val="16"/>
                <w:szCs w:val="16"/>
              </w:rPr>
              <w:t>03</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9, 779, </w:t>
            </w:r>
            <w:r>
              <w:rPr>
                <w:color w:val="000000"/>
                <w:spacing w:val="0"/>
                <w:w w:val="100"/>
                <w:position w:val="0"/>
                <w:sz w:val="16"/>
                <w:szCs w:val="16"/>
              </w:rPr>
              <w:t xml:space="preserve">904. </w:t>
            </w:r>
            <w:r>
              <w:rPr>
                <w:color w:val="000000"/>
                <w:spacing w:val="0"/>
                <w:w w:val="100"/>
                <w:position w:val="0"/>
                <w:sz w:val="16"/>
                <w:szCs w:val="16"/>
              </w:rPr>
              <w:t>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586, </w:t>
            </w:r>
            <w:r>
              <w:rPr>
                <w:color w:val="000000"/>
                <w:spacing w:val="0"/>
                <w:w w:val="100"/>
                <w:position w:val="0"/>
                <w:sz w:val="16"/>
                <w:szCs w:val="16"/>
              </w:rPr>
              <w:t xml:space="preserve">794. </w:t>
            </w:r>
            <w:r>
              <w:rPr>
                <w:color w:val="000000"/>
                <w:spacing w:val="0"/>
                <w:w w:val="100"/>
                <w:position w:val="0"/>
                <w:sz w:val="16"/>
                <w:szCs w:val="16"/>
              </w:rPr>
              <w:t>27</w:t>
            </w:r>
          </w:p>
        </w:tc>
      </w:tr>
    </w:tbl>
    <w:p>
      <w:pPr>
        <w:widowControl w:val="0"/>
        <w:spacing w:after="319" w:line="1" w:lineRule="exact"/>
      </w:pPr>
    </w:p>
    <w:p>
      <w:pPr>
        <w:pStyle w:val="Style21"/>
        <w:keepNext w:val="0"/>
        <w:keepLines w:val="0"/>
        <w:widowControl w:val="0"/>
        <w:shd w:val="clear" w:color="auto" w:fill="auto"/>
        <w:bidi w:val="0"/>
        <w:spacing w:before="0" w:after="320" w:line="240" w:lineRule="auto"/>
        <w:ind w:left="0" w:right="0" w:firstLine="580"/>
        <w:jc w:val="left"/>
      </w:pPr>
      <w:r>
        <w:rPr>
          <w:color w:val="000000"/>
          <w:spacing w:val="0"/>
          <w:w w:val="100"/>
          <w:position w:val="0"/>
        </w:rPr>
        <w:t>按组合计提的应收账款减值准备:</w:t>
      </w:r>
    </w:p>
    <w:p>
      <w:pPr>
        <w:pStyle w:val="Style21"/>
        <w:keepNext w:val="0"/>
        <w:keepLines w:val="0"/>
        <w:widowControl w:val="0"/>
        <w:shd w:val="clear" w:color="auto" w:fill="auto"/>
        <w:bidi w:val="0"/>
        <w:spacing w:before="0" w:after="320" w:line="240" w:lineRule="auto"/>
        <w:ind w:left="0" w:right="0" w:firstLine="580"/>
        <w:jc w:val="left"/>
      </w:pPr>
      <w:r>
        <w:rPr>
          <w:color w:val="000000"/>
          <w:spacing w:val="0"/>
          <w:w w:val="100"/>
          <w:position w:val="0"/>
          <w:sz w:val="16"/>
          <w:szCs w:val="16"/>
        </w:rPr>
        <w:t xml:space="preserve">2020 </w:t>
      </w:r>
      <w:r>
        <w:rPr>
          <w:color w:val="000000"/>
          <w:spacing w:val="0"/>
          <w:w w:val="100"/>
          <w:position w:val="0"/>
        </w:rPr>
        <w:t>年</w:t>
      </w:r>
    </w:p>
    <w:tbl>
      <w:tblPr>
        <w:tblOverlap w:val="never"/>
        <w:jc w:val="center"/>
        <w:tblLayout w:type="fixed"/>
      </w:tblPr>
      <w:tblGrid>
        <w:gridCol w:w="2707"/>
        <w:gridCol w:w="1982"/>
        <w:gridCol w:w="1987"/>
        <w:gridCol w:w="2016"/>
      </w:tblGrid>
      <w:tr>
        <w:trPr>
          <w:trHeight w:val="62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整个存续期的 预期信用损失率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年末减值准备</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179, 497, </w:t>
            </w:r>
            <w:r>
              <w:rPr>
                <w:color w:val="000000"/>
                <w:spacing w:val="0"/>
                <w:w w:val="100"/>
                <w:position w:val="0"/>
                <w:sz w:val="16"/>
                <w:szCs w:val="16"/>
              </w:rPr>
              <w:t xml:space="preserve">767. </w:t>
            </w:r>
            <w:r>
              <w:rPr>
                <w:color w:val="000000"/>
                <w:spacing w:val="0"/>
                <w:w w:val="100"/>
                <w:position w:val="0"/>
                <w:sz w:val="16"/>
                <w:szCs w:val="16"/>
              </w:rPr>
              <w:t>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10, 941, </w:t>
            </w:r>
            <w:r>
              <w:rPr>
                <w:color w:val="000000"/>
                <w:spacing w:val="0"/>
                <w:w w:val="100"/>
                <w:position w:val="0"/>
                <w:sz w:val="16"/>
                <w:szCs w:val="16"/>
              </w:rPr>
              <w:t xml:space="preserve">387. </w:t>
            </w:r>
            <w:r>
              <w:rPr>
                <w:color w:val="000000"/>
                <w:spacing w:val="0"/>
                <w:w w:val="100"/>
                <w:position w:val="0"/>
                <w:sz w:val="16"/>
                <w:szCs w:val="16"/>
              </w:rPr>
              <w:t>49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84, </w:t>
            </w:r>
            <w:r>
              <w:rPr>
                <w:color w:val="000000"/>
                <w:spacing w:val="0"/>
                <w:w w:val="100"/>
                <w:position w:val="0"/>
                <w:sz w:val="16"/>
                <w:szCs w:val="16"/>
              </w:rPr>
              <w:t xml:space="preserve">741,283.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8,386,301.62</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1</w:t>
            </w:r>
            <w:r>
              <w:rPr>
                <w:color w:val="000000"/>
                <w:spacing w:val="0"/>
                <w:w w:val="100"/>
                <w:position w:val="0"/>
              </w:rPr>
              <w:t>到</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56,525,533.70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11, 188, </w:t>
            </w:r>
            <w:r>
              <w:rPr>
                <w:color w:val="000000"/>
                <w:spacing w:val="0"/>
                <w:w w:val="100"/>
                <w:position w:val="0"/>
                <w:sz w:val="16"/>
                <w:szCs w:val="16"/>
              </w:rPr>
              <w:t xml:space="preserve">875. </w:t>
            </w:r>
            <w:r>
              <w:rPr>
                <w:color w:val="000000"/>
                <w:spacing w:val="0"/>
                <w:w w:val="100"/>
                <w:position w:val="0"/>
                <w:sz w:val="16"/>
                <w:szCs w:val="16"/>
              </w:rPr>
              <w:t>82</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2</w:t>
            </w:r>
            <w:r>
              <w:rPr>
                <w:color w:val="000000"/>
                <w:spacing w:val="0"/>
                <w:w w:val="100"/>
                <w:position w:val="0"/>
              </w:rPr>
              <w:t>到</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19, </w:t>
            </w:r>
            <w:r>
              <w:rPr>
                <w:color w:val="000000"/>
                <w:spacing w:val="0"/>
                <w:w w:val="100"/>
                <w:position w:val="0"/>
                <w:sz w:val="16"/>
                <w:szCs w:val="16"/>
              </w:rPr>
              <w:t>861,045.22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5, 880, </w:t>
            </w:r>
            <w:r>
              <w:rPr>
                <w:color w:val="000000"/>
                <w:spacing w:val="0"/>
                <w:w w:val="100"/>
                <w:position w:val="0"/>
                <w:sz w:val="16"/>
                <w:szCs w:val="16"/>
              </w:rPr>
              <w:t xml:space="preserve">686. </w:t>
            </w:r>
            <w:r>
              <w:rPr>
                <w:color w:val="000000"/>
                <w:spacing w:val="0"/>
                <w:w w:val="100"/>
                <w:position w:val="0"/>
                <w:sz w:val="16"/>
                <w:szCs w:val="16"/>
              </w:rPr>
              <w:t>48</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3</w:t>
            </w:r>
            <w:r>
              <w:rPr>
                <w:color w:val="000000"/>
                <w:spacing w:val="0"/>
                <w:w w:val="100"/>
                <w:position w:val="0"/>
              </w:rPr>
              <w:t>到</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 </w:t>
            </w:r>
            <w:r>
              <w:rPr>
                <w:color w:val="000000"/>
                <w:spacing w:val="0"/>
                <w:w w:val="100"/>
                <w:position w:val="0"/>
                <w:sz w:val="16"/>
                <w:szCs w:val="16"/>
              </w:rPr>
              <w:t>927,984.39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4, 626, </w:t>
            </w:r>
            <w:r>
              <w:rPr>
                <w:color w:val="000000"/>
                <w:spacing w:val="0"/>
                <w:w w:val="100"/>
                <w:position w:val="0"/>
                <w:sz w:val="16"/>
                <w:szCs w:val="16"/>
              </w:rPr>
              <w:t xml:space="preserve">480. </w:t>
            </w:r>
            <w:r>
              <w:rPr>
                <w:color w:val="000000"/>
                <w:spacing w:val="0"/>
                <w:w w:val="100"/>
                <w:position w:val="0"/>
                <w:sz w:val="16"/>
                <w:szCs w:val="16"/>
              </w:rPr>
              <w:t>43</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4</w:t>
            </w:r>
            <w:r>
              <w:rPr>
                <w:color w:val="000000"/>
                <w:spacing w:val="0"/>
                <w:w w:val="100"/>
                <w:position w:val="0"/>
              </w:rPr>
              <w:t>到</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both"/>
              <w:rPr>
                <w:sz w:val="16"/>
                <w:szCs w:val="16"/>
              </w:rPr>
            </w:pPr>
            <w:r>
              <w:rPr>
                <w:color w:val="000000"/>
                <w:spacing w:val="0"/>
                <w:w w:val="100"/>
                <w:position w:val="0"/>
                <w:sz w:val="16"/>
                <w:szCs w:val="16"/>
              </w:rPr>
              <w:t xml:space="preserve">6, 435, </w:t>
            </w:r>
            <w:r>
              <w:rPr>
                <w:color w:val="000000"/>
                <w:spacing w:val="0"/>
                <w:w w:val="100"/>
                <w:position w:val="0"/>
                <w:sz w:val="16"/>
                <w:szCs w:val="16"/>
              </w:rPr>
              <w:t xml:space="preserve">752.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3,667,283.36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27, 180, </w:t>
            </w:r>
            <w:r>
              <w:rPr>
                <w:color w:val="000000"/>
                <w:spacing w:val="0"/>
                <w:w w:val="100"/>
                <w:position w:val="0"/>
                <w:sz w:val="16"/>
                <w:szCs w:val="16"/>
              </w:rPr>
              <w:t>865.30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27, 180, </w:t>
            </w:r>
            <w:r>
              <w:rPr>
                <w:color w:val="000000"/>
                <w:spacing w:val="0"/>
                <w:w w:val="100"/>
                <w:position w:val="0"/>
                <w:sz w:val="16"/>
                <w:szCs w:val="16"/>
              </w:rPr>
              <w:t xml:space="preserve">865. </w:t>
            </w:r>
            <w:r>
              <w:rPr>
                <w:color w:val="000000"/>
                <w:spacing w:val="0"/>
                <w:w w:val="100"/>
                <w:position w:val="0"/>
                <w:sz w:val="16"/>
                <w:szCs w:val="16"/>
              </w:rPr>
              <w:t>30</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385, 170, </w:t>
            </w:r>
            <w:r>
              <w:rPr>
                <w:color w:val="000000"/>
                <w:spacing w:val="0"/>
                <w:w w:val="100"/>
                <w:position w:val="0"/>
                <w:sz w:val="16"/>
                <w:szCs w:val="16"/>
              </w:rPr>
              <w:t xml:space="preserve">231.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71,871,880.50</w:t>
            </w:r>
          </w:p>
        </w:tc>
      </w:tr>
    </w:tbl>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sz w:val="16"/>
          <w:szCs w:val="16"/>
        </w:rPr>
        <w:t xml:space="preserve">2019 </w:t>
      </w:r>
      <w:r>
        <w:rPr>
          <w:color w:val="000000"/>
          <w:spacing w:val="0"/>
          <w:w w:val="100"/>
          <w:position w:val="0"/>
        </w:rPr>
        <w:t>年</w:t>
      </w:r>
    </w:p>
    <w:p>
      <w:pPr>
        <w:widowControl w:val="0"/>
        <w:spacing w:after="319" w:line="1" w:lineRule="exact"/>
      </w:pPr>
    </w:p>
    <w:p>
      <w:pPr>
        <w:widowControl w:val="0"/>
        <w:spacing w:line="1" w:lineRule="exact"/>
      </w:pPr>
    </w:p>
    <w:tbl>
      <w:tblPr>
        <w:tblOverlap w:val="never"/>
        <w:jc w:val="center"/>
        <w:tblLayout w:type="fixed"/>
      </w:tblPr>
      <w:tblGrid>
        <w:gridCol w:w="2707"/>
        <w:gridCol w:w="1982"/>
        <w:gridCol w:w="1987"/>
        <w:gridCol w:w="2016"/>
      </w:tblGrid>
      <w:tr>
        <w:trPr>
          <w:trHeight w:val="62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整个存续期的 预期信用损失率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年末减值准备</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170, 850, </w:t>
            </w:r>
            <w:r>
              <w:rPr>
                <w:color w:val="000000"/>
                <w:spacing w:val="0"/>
                <w:w w:val="100"/>
                <w:position w:val="0"/>
                <w:sz w:val="16"/>
                <w:szCs w:val="16"/>
              </w:rPr>
              <w:t xml:space="preserve">261.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9, 723, </w:t>
            </w:r>
            <w:r>
              <w:rPr>
                <w:color w:val="000000"/>
                <w:spacing w:val="0"/>
                <w:w w:val="100"/>
                <w:position w:val="0"/>
                <w:sz w:val="16"/>
                <w:szCs w:val="16"/>
              </w:rPr>
              <w:t xml:space="preserve">658. </w:t>
            </w:r>
            <w:r>
              <w:rPr>
                <w:color w:val="000000"/>
                <w:spacing w:val="0"/>
                <w:w w:val="100"/>
                <w:position w:val="0"/>
                <w:sz w:val="16"/>
                <w:szCs w:val="16"/>
              </w:rPr>
              <w:t>95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94, 300, </w:t>
            </w:r>
            <w:r>
              <w:rPr>
                <w:color w:val="000000"/>
                <w:spacing w:val="0"/>
                <w:w w:val="100"/>
                <w:position w:val="0"/>
                <w:sz w:val="16"/>
                <w:szCs w:val="16"/>
              </w:rPr>
              <w:t>037.07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9, 680, </w:t>
            </w:r>
            <w:r>
              <w:rPr>
                <w:color w:val="000000"/>
                <w:spacing w:val="0"/>
                <w:w w:val="100"/>
                <w:position w:val="0"/>
                <w:sz w:val="16"/>
                <w:szCs w:val="16"/>
              </w:rPr>
              <w:t xml:space="preserve">820. </w:t>
            </w:r>
            <w:r>
              <w:rPr>
                <w:color w:val="000000"/>
                <w:spacing w:val="0"/>
                <w:w w:val="100"/>
                <w:position w:val="0"/>
                <w:sz w:val="16"/>
                <w:szCs w:val="16"/>
              </w:rPr>
              <w:t>74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1</w:t>
            </w:r>
            <w:r>
              <w:rPr>
                <w:color w:val="000000"/>
                <w:spacing w:val="0"/>
                <w:w w:val="100"/>
                <w:position w:val="0"/>
              </w:rPr>
              <w:t>到</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27,157,021.21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7,524, </w:t>
            </w:r>
            <w:r>
              <w:rPr>
                <w:color w:val="000000"/>
                <w:spacing w:val="0"/>
                <w:w w:val="100"/>
                <w:position w:val="0"/>
                <w:sz w:val="16"/>
                <w:szCs w:val="16"/>
              </w:rPr>
              <w:t>143.37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2</w:t>
            </w:r>
            <w:r>
              <w:rPr>
                <w:color w:val="000000"/>
                <w:spacing w:val="0"/>
                <w:w w:val="100"/>
                <w:position w:val="0"/>
              </w:rPr>
              <w:t>到</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18,555,224.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7,055,791.21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3</w:t>
            </w:r>
            <w:r>
              <w:rPr>
                <w:color w:val="000000"/>
                <w:spacing w:val="0"/>
                <w:w w:val="100"/>
                <w:position w:val="0"/>
              </w:rPr>
              <w:t>到</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11,198,303.52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4, 682, </w:t>
            </w:r>
            <w:r>
              <w:rPr>
                <w:color w:val="000000"/>
                <w:spacing w:val="0"/>
                <w:w w:val="100"/>
                <w:position w:val="0"/>
                <w:sz w:val="16"/>
                <w:szCs w:val="16"/>
              </w:rPr>
              <w:t xml:space="preserve">135. </w:t>
            </w:r>
            <w:r>
              <w:rPr>
                <w:color w:val="000000"/>
                <w:spacing w:val="0"/>
                <w:w w:val="100"/>
                <w:position w:val="0"/>
                <w:sz w:val="16"/>
                <w:szCs w:val="16"/>
              </w:rPr>
              <w:t>88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4</w:t>
            </w:r>
            <w:r>
              <w:rPr>
                <w:color w:val="000000"/>
                <w:spacing w:val="0"/>
                <w:w w:val="100"/>
                <w:position w:val="0"/>
              </w:rPr>
              <w:t>到</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16,107,308.85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 </w:t>
            </w:r>
            <w:r>
              <w:rPr>
                <w:color w:val="000000"/>
                <w:spacing w:val="0"/>
                <w:w w:val="100"/>
                <w:position w:val="0"/>
                <w:sz w:val="16"/>
                <w:szCs w:val="16"/>
              </w:rPr>
              <w:t>650,337.91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16,567,334.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16,567,334. </w:t>
            </w:r>
            <w:r>
              <w:rPr>
                <w:color w:val="000000"/>
                <w:spacing w:val="0"/>
                <w:w w:val="100"/>
                <w:position w:val="0"/>
                <w:sz w:val="16"/>
                <w:szCs w:val="16"/>
              </w:rPr>
              <w:t>00</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354, 735, </w:t>
            </w:r>
            <w:r>
              <w:rPr>
                <w:color w:val="000000"/>
                <w:spacing w:val="0"/>
                <w:w w:val="100"/>
                <w:position w:val="0"/>
                <w:sz w:val="16"/>
                <w:szCs w:val="16"/>
              </w:rPr>
              <w:t xml:space="preserve">490.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65,884,222.06</w:t>
            </w:r>
          </w:p>
        </w:tc>
      </w:tr>
    </w:tbl>
    <w:p>
      <w:pPr>
        <w:widowControl w:val="0"/>
        <w:spacing w:after="319" w:line="1" w:lineRule="exact"/>
      </w:pPr>
    </w:p>
    <w:p>
      <w:pPr>
        <w:pStyle w:val="Style21"/>
        <w:keepNext w:val="0"/>
        <w:keepLines w:val="0"/>
        <w:widowControl w:val="0"/>
        <w:shd w:val="clear" w:color="auto" w:fill="auto"/>
        <w:bidi w:val="0"/>
        <w:spacing w:before="0" w:after="320" w:line="240" w:lineRule="exact"/>
        <w:ind w:left="580" w:right="0" w:firstLine="20"/>
        <w:jc w:val="left"/>
      </w:pPr>
      <w:r>
        <w:rPr>
          <w:color w:val="000000"/>
          <w:spacing w:val="0"/>
          <w:w w:val="100"/>
          <w:position w:val="0"/>
        </w:rPr>
        <w:t>违约损失率基于过去</w:t>
      </w:r>
      <w:r>
        <w:rPr>
          <w:color w:val="000000"/>
          <w:spacing w:val="0"/>
          <w:w w:val="100"/>
          <w:position w:val="0"/>
          <w:sz w:val="16"/>
          <w:szCs w:val="16"/>
        </w:rPr>
        <w:t>3</w:t>
      </w:r>
      <w:r>
        <w:rPr>
          <w:color w:val="000000"/>
          <w:spacing w:val="0"/>
          <w:w w:val="100"/>
          <w:position w:val="0"/>
        </w:rPr>
        <w:t>年的实际信用损失经验计算，并根据历史数据收集期间的经济状况、当前的经济状况与本集 团所认为的预计存续期内的经济状况三者之间的差异进行调整。</w:t>
      </w:r>
    </w:p>
    <w:p>
      <w:pPr>
        <w:pStyle w:val="Style34"/>
        <w:keepNext/>
        <w:keepLines/>
        <w:widowControl w:val="0"/>
        <w:numPr>
          <w:ilvl w:val="0"/>
          <w:numId w:val="29"/>
        </w:numPr>
        <w:shd w:val="clear" w:color="auto" w:fill="auto"/>
        <w:bidi w:val="0"/>
        <w:spacing w:before="0" w:after="320" w:line="240" w:lineRule="auto"/>
        <w:ind w:left="0" w:right="0" w:firstLine="0"/>
        <w:jc w:val="left"/>
      </w:pPr>
      <w:bookmarkStart w:id="1105" w:name="bookmark1105"/>
      <w:bookmarkStart w:id="1106" w:name="bookmark1106"/>
      <w:bookmarkStart w:id="1107" w:name="bookmark1107"/>
      <w:bookmarkStart w:id="1108" w:name="bookmark1108"/>
      <w:bookmarkEnd w:id="1107"/>
      <w:r>
        <w:rPr>
          <w:color w:val="000000"/>
          <w:spacing w:val="0"/>
          <w:w w:val="100"/>
          <w:position w:val="0"/>
        </w:rPr>
        <w:t>坏账准备的变动情况:</w:t>
      </w:r>
      <w:bookmarkEnd w:id="1105"/>
      <w:bookmarkEnd w:id="1106"/>
      <w:bookmarkEnd w:id="1108"/>
    </w:p>
    <w:tbl>
      <w:tblPr>
        <w:tblOverlap w:val="never"/>
        <w:jc w:val="center"/>
        <w:tblLayout w:type="fixed"/>
      </w:tblPr>
      <w:tblGrid>
        <w:gridCol w:w="5261"/>
        <w:gridCol w:w="1987"/>
        <w:gridCol w:w="2016"/>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原收入准则下的余额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65,884,222.06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58,226,520.56</w:t>
            </w:r>
          </w:p>
        </w:tc>
      </w:tr>
      <w:tr>
        <w:trPr>
          <w:trHeight w:val="389"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首次执行新收入准则的调整金额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(3, 029, </w:t>
            </w:r>
            <w:r>
              <w:rPr>
                <w:color w:val="000000"/>
                <w:spacing w:val="0"/>
                <w:w w:val="100"/>
                <w:position w:val="0"/>
                <w:sz w:val="16"/>
                <w:szCs w:val="16"/>
              </w:rPr>
              <w:t xml:space="preserve">059.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bl>
    <w:p>
      <w:pPr>
        <w:widowControl w:val="0"/>
        <w:spacing w:line="1" w:lineRule="exact"/>
      </w:pPr>
      <w:r>
        <w:br w:type="page"/>
      </w:r>
    </w:p>
    <w:tbl>
      <w:tblPr>
        <w:tblOverlap w:val="never"/>
        <w:jc w:val="center"/>
        <w:tblLayout w:type="fixed"/>
      </w:tblPr>
      <w:tblGrid>
        <w:gridCol w:w="5275"/>
        <w:gridCol w:w="1987"/>
        <w:gridCol w:w="2501"/>
      </w:tblGrid>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调整后的年初余额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62,855, </w:t>
            </w:r>
            <w:r>
              <w:rPr>
                <w:color w:val="000000"/>
                <w:spacing w:val="0"/>
                <w:w w:val="100"/>
                <w:position w:val="0"/>
                <w:sz w:val="16"/>
                <w:szCs w:val="16"/>
              </w:rPr>
              <w:t xml:space="preserve">162. </w:t>
            </w:r>
            <w:r>
              <w:rPr>
                <w:color w:val="000000"/>
                <w:spacing w:val="0"/>
                <w:w w:val="100"/>
                <w:position w:val="0"/>
                <w:sz w:val="16"/>
                <w:szCs w:val="16"/>
              </w:rPr>
              <w:t>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58,226,520.56</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本年计提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14,753,508.55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14, 490, </w:t>
            </w:r>
            <w:r>
              <w:rPr>
                <w:color w:val="000000"/>
                <w:spacing w:val="0"/>
                <w:w w:val="100"/>
                <w:position w:val="0"/>
                <w:sz w:val="16"/>
                <w:szCs w:val="16"/>
              </w:rPr>
              <w:t xml:space="preserve">071. </w:t>
            </w:r>
            <w:r>
              <w:rPr>
                <w:color w:val="000000"/>
                <w:spacing w:val="0"/>
                <w:w w:val="100"/>
                <w:position w:val="0"/>
                <w:sz w:val="16"/>
                <w:szCs w:val="16"/>
              </w:rPr>
              <w:t>26</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本年收回或转回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5,149, </w:t>
            </w:r>
            <w:r>
              <w:rPr>
                <w:color w:val="000000"/>
                <w:spacing w:val="0"/>
                <w:w w:val="100"/>
                <w:position w:val="0"/>
                <w:sz w:val="16"/>
                <w:szCs w:val="16"/>
              </w:rPr>
              <w:t xml:space="preserve">995. </w:t>
            </w:r>
            <w:r>
              <w:rPr>
                <w:color w:val="000000"/>
                <w:spacing w:val="0"/>
                <w:w w:val="100"/>
                <w:position w:val="0"/>
                <w:sz w:val="16"/>
                <w:szCs w:val="16"/>
              </w:rPr>
              <w:t>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6, 832, </w:t>
            </w:r>
            <w:r>
              <w:rPr>
                <w:color w:val="000000"/>
                <w:spacing w:val="0"/>
                <w:w w:val="100"/>
                <w:position w:val="0"/>
                <w:sz w:val="16"/>
                <w:szCs w:val="16"/>
              </w:rPr>
              <w:t xml:space="preserve">369. </w:t>
            </w:r>
            <w:r>
              <w:rPr>
                <w:color w:val="000000"/>
                <w:spacing w:val="0"/>
                <w:w w:val="100"/>
                <w:position w:val="0"/>
                <w:sz w:val="16"/>
                <w:szCs w:val="16"/>
              </w:rPr>
              <w:t>76</w:t>
            </w:r>
          </w:p>
        </w:tc>
      </w:tr>
      <w:tr>
        <w:trPr>
          <w:trHeight w:val="39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72,458, </w:t>
            </w:r>
            <w:r>
              <w:rPr>
                <w:color w:val="000000"/>
                <w:spacing w:val="0"/>
                <w:w w:val="100"/>
                <w:position w:val="0"/>
                <w:sz w:val="16"/>
                <w:szCs w:val="16"/>
              </w:rPr>
              <w:t xml:space="preserve">674. </w:t>
            </w:r>
            <w:r>
              <w:rPr>
                <w:color w:val="000000"/>
                <w:spacing w:val="0"/>
                <w:w w:val="100"/>
                <w:position w:val="0"/>
                <w:sz w:val="16"/>
                <w:szCs w:val="16"/>
              </w:rPr>
              <w:t>77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65,884,222.06</w:t>
            </w:r>
          </w:p>
        </w:tc>
      </w:tr>
    </w:tbl>
    <w:p>
      <w:pPr>
        <w:widowControl w:val="0"/>
        <w:spacing w:after="319" w:line="1" w:lineRule="exact"/>
      </w:pPr>
    </w:p>
    <w:p>
      <w:pPr>
        <w:pStyle w:val="Style21"/>
        <w:keepNext w:val="0"/>
        <w:keepLines w:val="0"/>
        <w:widowControl w:val="0"/>
        <w:numPr>
          <w:ilvl w:val="0"/>
          <w:numId w:val="47"/>
        </w:numPr>
        <w:shd w:val="clear" w:color="auto" w:fill="auto"/>
        <w:tabs>
          <w:tab w:pos="461" w:val="left"/>
        </w:tabs>
        <w:bidi w:val="0"/>
        <w:spacing w:before="0" w:after="320" w:line="240" w:lineRule="auto"/>
        <w:ind w:left="0" w:right="0" w:firstLine="0"/>
        <w:jc w:val="left"/>
      </w:pPr>
      <w:bookmarkStart w:id="1109" w:name="bookmark1109"/>
      <w:bookmarkEnd w:id="1109"/>
      <w:r>
        <w:rPr>
          <w:color w:val="000000"/>
          <w:spacing w:val="0"/>
          <w:w w:val="100"/>
          <w:position w:val="0"/>
        </w:rPr>
        <w:t>本年无单笔金额重大的应收账款坏账准备收回或转回。</w:t>
      </w:r>
    </w:p>
    <w:p>
      <w:pPr>
        <w:pStyle w:val="Style21"/>
        <w:keepNext w:val="0"/>
        <w:keepLines w:val="0"/>
        <w:widowControl w:val="0"/>
        <w:numPr>
          <w:ilvl w:val="0"/>
          <w:numId w:val="47"/>
        </w:numPr>
        <w:shd w:val="clear" w:color="auto" w:fill="auto"/>
        <w:tabs>
          <w:tab w:pos="483" w:val="left"/>
        </w:tabs>
        <w:bidi w:val="0"/>
        <w:spacing w:before="0" w:after="320" w:line="240" w:lineRule="auto"/>
        <w:ind w:left="0" w:right="0" w:firstLine="0"/>
        <w:jc w:val="left"/>
      </w:pPr>
      <w:bookmarkStart w:id="1110" w:name="bookmark1110"/>
      <w:bookmarkEnd w:id="1110"/>
      <w:r>
        <w:rPr>
          <w:color w:val="000000"/>
          <w:spacing w:val="0"/>
          <w:w w:val="100"/>
          <w:position w:val="0"/>
        </w:rPr>
        <w:t>本年无金额重大的应收账款核销。</w:t>
      </w:r>
    </w:p>
    <w:p>
      <w:pPr>
        <w:pStyle w:val="Style72"/>
        <w:keepNext w:val="0"/>
        <w:keepLines w:val="0"/>
        <w:widowControl w:val="0"/>
        <w:numPr>
          <w:ilvl w:val="0"/>
          <w:numId w:val="29"/>
        </w:numPr>
        <w:shd w:val="clear" w:color="auto" w:fill="auto"/>
        <w:bidi w:val="0"/>
        <w:spacing w:before="0" w:after="600" w:line="240" w:lineRule="auto"/>
        <w:ind w:left="0" w:right="0" w:firstLine="0"/>
        <w:jc w:val="left"/>
      </w:pPr>
      <w:bookmarkStart w:id="1111" w:name="bookmark1111"/>
      <w:bookmarkEnd w:id="1111"/>
      <w:r>
        <w:rPr>
          <w:color w:val="000000"/>
          <w:spacing w:val="0"/>
          <w:w w:val="100"/>
          <w:position w:val="0"/>
        </w:rPr>
        <w:t>按欠款方归集的年末余额前五名的应收账款情况</w:t>
      </w:r>
    </w:p>
    <w:tbl>
      <w:tblPr>
        <w:tblOverlap w:val="never"/>
        <w:jc w:val="center"/>
        <w:tblLayout w:type="fixed"/>
      </w:tblPr>
      <w:tblGrid>
        <w:gridCol w:w="2448"/>
        <w:gridCol w:w="2410"/>
        <w:gridCol w:w="2386"/>
        <w:gridCol w:w="2016"/>
      </w:tblGrid>
      <w:tr>
        <w:trPr>
          <w:trHeight w:val="35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left"/>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占应收账款合计数的比例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坏账准备</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22, 540, </w:t>
            </w:r>
            <w:r>
              <w:rPr>
                <w:color w:val="000000"/>
                <w:spacing w:val="0"/>
                <w:w w:val="100"/>
                <w:position w:val="0"/>
                <w:sz w:val="16"/>
                <w:szCs w:val="16"/>
              </w:rPr>
              <w:t xml:space="preserve">140.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1,373,946.92</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11,981,059.23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860, </w:t>
            </w:r>
            <w:r>
              <w:rPr>
                <w:color w:val="000000"/>
                <w:spacing w:val="0"/>
                <w:w w:val="100"/>
                <w:position w:val="0"/>
                <w:sz w:val="16"/>
                <w:szCs w:val="16"/>
              </w:rPr>
              <w:t xml:space="preserve">419. </w:t>
            </w:r>
            <w:r>
              <w:rPr>
                <w:color w:val="000000"/>
                <w:spacing w:val="0"/>
                <w:w w:val="100"/>
                <w:position w:val="0"/>
                <w:sz w:val="16"/>
                <w:szCs w:val="16"/>
              </w:rPr>
              <w:t>76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9, </w:t>
            </w:r>
            <w:r>
              <w:rPr>
                <w:color w:val="000000"/>
                <w:spacing w:val="0"/>
                <w:w w:val="100"/>
                <w:position w:val="0"/>
                <w:sz w:val="16"/>
                <w:szCs w:val="16"/>
              </w:rPr>
              <w:t>681,722.66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2.45%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154. </w:t>
            </w:r>
            <w:r>
              <w:rPr>
                <w:color w:val="000000"/>
                <w:spacing w:val="0"/>
                <w:w w:val="100"/>
                <w:position w:val="0"/>
                <w:sz w:val="16"/>
                <w:szCs w:val="16"/>
              </w:rPr>
              <w:t>86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9, 420, </w:t>
            </w:r>
            <w:r>
              <w:rPr>
                <w:color w:val="000000"/>
                <w:spacing w:val="0"/>
                <w:w w:val="100"/>
                <w:position w:val="0"/>
                <w:sz w:val="16"/>
                <w:szCs w:val="16"/>
              </w:rPr>
              <w:t xml:space="preserve">409.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1,545,213.97</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6"/>
                <w:szCs w:val="16"/>
              </w:rPr>
            </w:pPr>
            <w:r>
              <w:rPr>
                <w:color w:val="000000"/>
                <w:spacing w:val="0"/>
                <w:w w:val="100"/>
                <w:position w:val="0"/>
                <w:sz w:val="16"/>
                <w:szCs w:val="16"/>
              </w:rPr>
              <w:t xml:space="preserve">6, 528, </w:t>
            </w:r>
            <w:r>
              <w:rPr>
                <w:color w:val="000000"/>
                <w:spacing w:val="0"/>
                <w:w w:val="100"/>
                <w:position w:val="0"/>
                <w:sz w:val="16"/>
                <w:szCs w:val="16"/>
              </w:rPr>
              <w:t xml:space="preserve">029.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2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6"/>
                <w:szCs w:val="16"/>
              </w:rPr>
            </w:pPr>
            <w:r>
              <w:rPr>
                <w:color w:val="000000"/>
                <w:spacing w:val="0"/>
                <w:w w:val="100"/>
                <w:position w:val="0"/>
                <w:sz w:val="16"/>
                <w:szCs w:val="16"/>
              </w:rPr>
              <w:t>904,311.53</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20" w:right="0" w:firstLine="0"/>
              <w:jc w:val="left"/>
              <w:rPr>
                <w:sz w:val="16"/>
                <w:szCs w:val="16"/>
              </w:rPr>
            </w:pPr>
            <w:r>
              <w:rPr>
                <w:color w:val="000000"/>
                <w:spacing w:val="0"/>
                <w:w w:val="100"/>
                <w:position w:val="0"/>
                <w:sz w:val="16"/>
                <w:szCs w:val="16"/>
              </w:rPr>
              <w:t xml:space="preserve">60, </w:t>
            </w:r>
            <w:r>
              <w:rPr>
                <w:color w:val="000000"/>
                <w:spacing w:val="0"/>
                <w:w w:val="100"/>
                <w:position w:val="0"/>
                <w:sz w:val="16"/>
                <w:szCs w:val="16"/>
              </w:rPr>
              <w:t>151,360.79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15.</w:t>
            </w:r>
            <w:r>
              <w:rPr>
                <w:color w:val="000000"/>
                <w:spacing w:val="0"/>
                <w:w w:val="100"/>
                <w:position w:val="0"/>
                <w:sz w:val="16"/>
                <w:szCs w:val="16"/>
              </w:rPr>
              <w:t>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5, 274, </w:t>
            </w:r>
            <w:r>
              <w:rPr>
                <w:color w:val="000000"/>
                <w:spacing w:val="0"/>
                <w:w w:val="100"/>
                <w:position w:val="0"/>
                <w:sz w:val="16"/>
                <w:szCs w:val="16"/>
              </w:rPr>
              <w:t xml:space="preserve">047. </w:t>
            </w:r>
            <w:r>
              <w:rPr>
                <w:color w:val="000000"/>
                <w:spacing w:val="0"/>
                <w:w w:val="100"/>
                <w:position w:val="0"/>
                <w:sz w:val="16"/>
                <w:szCs w:val="16"/>
              </w:rPr>
              <w:t>04</w:t>
            </w:r>
          </w:p>
        </w:tc>
      </w:tr>
    </w:tbl>
    <w:p>
      <w:pPr>
        <w:widowControl w:val="0"/>
        <w:spacing w:after="319" w:line="1" w:lineRule="exact"/>
      </w:pPr>
    </w:p>
    <w:p>
      <w:pPr>
        <w:pStyle w:val="Style72"/>
        <w:keepNext w:val="0"/>
        <w:keepLines w:val="0"/>
        <w:widowControl w:val="0"/>
        <w:numPr>
          <w:ilvl w:val="0"/>
          <w:numId w:val="29"/>
        </w:numPr>
        <w:shd w:val="clear" w:color="auto" w:fill="auto"/>
        <w:tabs>
          <w:tab w:pos="461" w:val="left"/>
        </w:tabs>
        <w:bidi w:val="0"/>
        <w:spacing w:before="0" w:after="380" w:line="240" w:lineRule="auto"/>
        <w:ind w:left="0" w:right="0" w:firstLine="0"/>
        <w:jc w:val="left"/>
      </w:pPr>
      <w:bookmarkStart w:id="1112" w:name="bookmark1112"/>
      <w:bookmarkEnd w:id="1112"/>
      <w:r>
        <w:rPr>
          <w:color w:val="000000"/>
          <w:spacing w:val="0"/>
          <w:w w:val="100"/>
          <w:position w:val="0"/>
        </w:rPr>
        <w:t>本期无因金融资产转移而终止确认应收账款的情况。</w:t>
      </w:r>
    </w:p>
    <w:p>
      <w:pPr>
        <w:pStyle w:val="Style72"/>
        <w:keepNext w:val="0"/>
        <w:keepLines w:val="0"/>
        <w:widowControl w:val="0"/>
        <w:numPr>
          <w:ilvl w:val="0"/>
          <w:numId w:val="29"/>
        </w:numPr>
        <w:shd w:val="clear" w:color="auto" w:fill="auto"/>
        <w:tabs>
          <w:tab w:pos="461" w:val="left"/>
        </w:tabs>
        <w:bidi w:val="0"/>
        <w:spacing w:before="0" w:after="380" w:line="240" w:lineRule="auto"/>
        <w:ind w:left="0" w:right="0" w:firstLine="0"/>
        <w:jc w:val="left"/>
      </w:pPr>
      <w:bookmarkStart w:id="1113" w:name="bookmark1113"/>
      <w:bookmarkEnd w:id="1113"/>
      <w:r>
        <w:rPr>
          <w:color w:val="000000"/>
          <w:spacing w:val="0"/>
          <w:w w:val="100"/>
          <w:position w:val="0"/>
        </w:rPr>
        <w:t>本期无转移应收账款且继续涉入形成的资产、负债的金额。</w:t>
      </w:r>
    </w:p>
    <w:p>
      <w:pPr>
        <w:pStyle w:val="Style72"/>
        <w:keepNext w:val="0"/>
        <w:keepLines w:val="0"/>
        <w:widowControl w:val="0"/>
        <w:shd w:val="clear" w:color="auto" w:fill="auto"/>
        <w:bidi w:val="0"/>
        <w:spacing w:before="0" w:after="380" w:line="240" w:lineRule="auto"/>
        <w:ind w:left="0" w:right="0" w:firstLine="0"/>
        <w:jc w:val="left"/>
      </w:pPr>
      <w:bookmarkStart w:id="1114" w:name="bookmark1114"/>
      <w:r>
        <w:rPr>
          <w:rFonts w:ascii="Times New Roman" w:eastAsia="Times New Roman" w:hAnsi="Times New Roman" w:cs="Times New Roman"/>
          <w:color w:val="000000"/>
          <w:spacing w:val="0"/>
          <w:w w:val="100"/>
          <w:position w:val="0"/>
        </w:rPr>
        <w:t>5</w:t>
      </w:r>
      <w:bookmarkEnd w:id="1114"/>
      <w:r>
        <w:rPr>
          <w:color w:val="000000"/>
          <w:spacing w:val="0"/>
          <w:w w:val="100"/>
          <w:position w:val="0"/>
        </w:rPr>
        <w:t>、预付款项</w:t>
      </w:r>
    </w:p>
    <w:p>
      <w:pPr>
        <w:pStyle w:val="Style72"/>
        <w:keepNext w:val="0"/>
        <w:keepLines w:val="0"/>
        <w:widowControl w:val="0"/>
        <w:numPr>
          <w:ilvl w:val="0"/>
          <w:numId w:val="49"/>
        </w:numPr>
        <w:shd w:val="clear" w:color="auto" w:fill="auto"/>
        <w:bidi w:val="0"/>
        <w:spacing w:before="0" w:after="320" w:line="240" w:lineRule="auto"/>
        <w:ind w:left="0" w:right="0" w:firstLine="0"/>
        <w:jc w:val="left"/>
      </w:pPr>
      <w:bookmarkStart w:id="1115" w:name="bookmark1115"/>
      <w:bookmarkEnd w:id="1115"/>
      <w:r>
        <w:rPr>
          <w:color w:val="000000"/>
          <w:spacing w:val="0"/>
          <w:w w:val="100"/>
          <w:position w:val="0"/>
        </w:rPr>
        <w:t>预付款项分类列示如下：</w:t>
      </w:r>
    </w:p>
    <w:tbl>
      <w:tblPr>
        <w:tblOverlap w:val="never"/>
        <w:jc w:val="center"/>
        <w:tblLayout w:type="fixed"/>
      </w:tblPr>
      <w:tblGrid>
        <w:gridCol w:w="5261"/>
        <w:gridCol w:w="1982"/>
        <w:gridCol w:w="2021"/>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预付办公室租金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809, </w:t>
            </w:r>
            <w:r>
              <w:rPr>
                <w:color w:val="000000"/>
                <w:spacing w:val="0"/>
                <w:w w:val="100"/>
                <w:position w:val="0"/>
                <w:sz w:val="16"/>
                <w:szCs w:val="16"/>
              </w:rPr>
              <w:t xml:space="preserve">129.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373,570. </w:t>
            </w:r>
            <w:r>
              <w:rPr>
                <w:color w:val="000000"/>
                <w:spacing w:val="0"/>
                <w:w w:val="100"/>
                <w:position w:val="0"/>
                <w:sz w:val="16"/>
                <w:szCs w:val="16"/>
              </w:rPr>
              <w:t>15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预付技术咨询费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3, 906, </w:t>
            </w:r>
            <w:r>
              <w:rPr>
                <w:color w:val="000000"/>
                <w:spacing w:val="0"/>
                <w:w w:val="100"/>
                <w:position w:val="0"/>
                <w:sz w:val="16"/>
                <w:szCs w:val="16"/>
              </w:rPr>
              <w:t xml:space="preserve">190.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309, </w:t>
            </w:r>
            <w:r>
              <w:rPr>
                <w:color w:val="000000"/>
                <w:spacing w:val="0"/>
                <w:w w:val="100"/>
                <w:position w:val="0"/>
                <w:sz w:val="16"/>
                <w:szCs w:val="16"/>
              </w:rPr>
              <w:t xml:space="preserve">055. </w:t>
            </w:r>
            <w:r>
              <w:rPr>
                <w:color w:val="000000"/>
                <w:spacing w:val="0"/>
                <w:w w:val="100"/>
                <w:position w:val="0"/>
                <w:sz w:val="16"/>
                <w:szCs w:val="16"/>
              </w:rPr>
              <w:t>14</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其他预付款项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2,051,088.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1,930, </w:t>
            </w:r>
            <w:r>
              <w:rPr>
                <w:color w:val="000000"/>
                <w:spacing w:val="0"/>
                <w:w w:val="100"/>
                <w:position w:val="0"/>
                <w:sz w:val="16"/>
                <w:szCs w:val="16"/>
              </w:rPr>
              <w:t xml:space="preserve">548. </w:t>
            </w:r>
            <w:r>
              <w:rPr>
                <w:color w:val="000000"/>
                <w:spacing w:val="0"/>
                <w:w w:val="100"/>
                <w:position w:val="0"/>
                <w:sz w:val="16"/>
                <w:szCs w:val="16"/>
              </w:rPr>
              <w:t>00</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6, 766, </w:t>
            </w:r>
            <w:r>
              <w:rPr>
                <w:color w:val="000000"/>
                <w:spacing w:val="0"/>
                <w:w w:val="100"/>
                <w:position w:val="0"/>
                <w:sz w:val="16"/>
                <w:szCs w:val="16"/>
              </w:rPr>
              <w:t xml:space="preserve">408.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2,613, </w:t>
            </w:r>
            <w:r>
              <w:rPr>
                <w:color w:val="000000"/>
                <w:spacing w:val="0"/>
                <w:w w:val="100"/>
                <w:position w:val="0"/>
                <w:sz w:val="16"/>
                <w:szCs w:val="16"/>
              </w:rPr>
              <w:t>173.29</w:t>
            </w:r>
          </w:p>
        </w:tc>
      </w:tr>
    </w:tbl>
    <w:p>
      <w:pPr>
        <w:widowControl w:val="0"/>
        <w:spacing w:after="319" w:line="1" w:lineRule="exact"/>
      </w:pPr>
    </w:p>
    <w:p>
      <w:pPr>
        <w:pStyle w:val="Style72"/>
        <w:keepNext w:val="0"/>
        <w:keepLines w:val="0"/>
        <w:widowControl w:val="0"/>
        <w:numPr>
          <w:ilvl w:val="0"/>
          <w:numId w:val="49"/>
        </w:numPr>
        <w:shd w:val="clear" w:color="auto" w:fill="auto"/>
        <w:bidi w:val="0"/>
        <w:spacing w:before="0" w:after="320" w:line="240" w:lineRule="auto"/>
        <w:ind w:left="0" w:right="0" w:firstLine="0"/>
        <w:jc w:val="left"/>
      </w:pPr>
      <w:bookmarkStart w:id="1116" w:name="bookmark1116"/>
      <w:bookmarkEnd w:id="1116"/>
      <w:r>
        <w:rPr>
          <w:color w:val="000000"/>
          <w:spacing w:val="0"/>
          <w:w w:val="100"/>
          <w:position w:val="0"/>
        </w:rPr>
        <w:t>预付款项按账龄列示如下:</w:t>
      </w:r>
    </w:p>
    <w:tbl>
      <w:tblPr>
        <w:tblOverlap w:val="never"/>
        <w:jc w:val="center"/>
        <w:tblLayout w:type="fixed"/>
      </w:tblPr>
      <w:tblGrid>
        <w:gridCol w:w="3331"/>
        <w:gridCol w:w="1699"/>
        <w:gridCol w:w="1248"/>
        <w:gridCol w:w="1704"/>
        <w:gridCol w:w="1277"/>
      </w:tblGrid>
      <w:tr>
        <w:trPr>
          <w:trHeight w:val="346"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5, 934, </w:t>
            </w:r>
            <w:r>
              <w:rPr>
                <w:color w:val="000000"/>
                <w:spacing w:val="0"/>
                <w:w w:val="100"/>
                <w:position w:val="0"/>
                <w:sz w:val="16"/>
                <w:szCs w:val="16"/>
              </w:rPr>
              <w:t xml:space="preserve">263. </w:t>
            </w:r>
            <w:r>
              <w:rPr>
                <w:color w:val="000000"/>
                <w:spacing w:val="0"/>
                <w:w w:val="100"/>
                <w:position w:val="0"/>
                <w:sz w:val="16"/>
                <w:szCs w:val="16"/>
              </w:rPr>
              <w:t>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87. </w:t>
            </w: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2, 063, </w:t>
            </w:r>
            <w:r>
              <w:rPr>
                <w:color w:val="000000"/>
                <w:spacing w:val="0"/>
                <w:w w:val="100"/>
                <w:position w:val="0"/>
                <w:sz w:val="16"/>
                <w:szCs w:val="16"/>
              </w:rPr>
              <w:t xml:space="preserve">920.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78.98</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至</w:t>
            </w:r>
            <w:r>
              <w:rPr>
                <w:color w:val="000000"/>
                <w:spacing w:val="0"/>
                <w:w w:val="100"/>
                <w:position w:val="0"/>
                <w:sz w:val="16"/>
                <w:szCs w:val="16"/>
              </w:rPr>
              <w:t>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405,835.01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185, </w:t>
            </w:r>
            <w:r>
              <w:rPr>
                <w:color w:val="000000"/>
                <w:spacing w:val="0"/>
                <w:w w:val="100"/>
                <w:position w:val="0"/>
                <w:sz w:val="16"/>
                <w:szCs w:val="16"/>
              </w:rPr>
              <w:t xml:space="preserve">151.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 </w:t>
            </w:r>
            <w:r>
              <w:rPr>
                <w:color w:val="000000"/>
                <w:spacing w:val="0"/>
                <w:w w:val="100"/>
                <w:position w:val="0"/>
                <w:sz w:val="16"/>
                <w:szCs w:val="16"/>
              </w:rPr>
              <w:t>09</w:t>
            </w:r>
          </w:p>
        </w:tc>
      </w:tr>
      <w:tr>
        <w:trPr>
          <w:trHeight w:val="41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w:t>
            </w:r>
            <w:r>
              <w:rPr>
                <w:color w:val="000000"/>
                <w:spacing w:val="0"/>
                <w:w w:val="100"/>
                <w:position w:val="0"/>
              </w:rPr>
              <w:t>至</w:t>
            </w:r>
            <w:r>
              <w:rPr>
                <w:color w:val="000000"/>
                <w:spacing w:val="0"/>
                <w:w w:val="100"/>
                <w:position w:val="0"/>
                <w:sz w:val="16"/>
                <w:szCs w:val="16"/>
              </w:rPr>
              <w:t>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147, </w:t>
            </w:r>
            <w:r>
              <w:rPr>
                <w:color w:val="000000"/>
                <w:spacing w:val="0"/>
                <w:w w:val="100"/>
                <w:position w:val="0"/>
                <w:sz w:val="16"/>
                <w:szCs w:val="16"/>
              </w:rPr>
              <w:t xml:space="preserve">574.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2.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353,417. </w:t>
            </w:r>
            <w:r>
              <w:rPr>
                <w:color w:val="000000"/>
                <w:spacing w:val="0"/>
                <w:w w:val="100"/>
                <w:position w:val="0"/>
                <w:sz w:val="16"/>
                <w:szCs w:val="16"/>
              </w:rPr>
              <w:t>62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13.52</w:t>
            </w:r>
          </w:p>
        </w:tc>
      </w:tr>
    </w:tbl>
    <w:p>
      <w:pPr>
        <w:widowControl w:val="0"/>
        <w:spacing w:line="1" w:lineRule="exact"/>
      </w:pPr>
      <w:r>
        <w:br w:type="page"/>
      </w:r>
    </w:p>
    <w:tbl>
      <w:tblPr>
        <w:tblOverlap w:val="never"/>
        <w:jc w:val="center"/>
        <w:tblLayout w:type="fixed"/>
      </w:tblPr>
      <w:tblGrid>
        <w:gridCol w:w="3355"/>
        <w:gridCol w:w="1699"/>
        <w:gridCol w:w="1248"/>
        <w:gridCol w:w="1704"/>
        <w:gridCol w:w="1757"/>
      </w:tblGrid>
      <w:tr>
        <w:trPr>
          <w:trHeight w:val="4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3</w:t>
            </w:r>
            <w:r>
              <w:rPr>
                <w:color w:val="000000"/>
                <w:spacing w:val="0"/>
                <w:w w:val="100"/>
                <w:position w:val="0"/>
              </w:rPr>
              <w:t>至</w:t>
            </w:r>
            <w:r>
              <w:rPr>
                <w:color w:val="000000"/>
                <w:spacing w:val="0"/>
                <w:w w:val="100"/>
                <w:position w:val="0"/>
                <w:sz w:val="16"/>
                <w:szCs w:val="16"/>
              </w:rPr>
              <w:t>4</w:t>
            </w:r>
            <w:r>
              <w:rPr>
                <w:color w:val="000000"/>
                <w:spacing w:val="0"/>
                <w:w w:val="100"/>
                <w:position w:val="0"/>
              </w:rPr>
              <w:t>年（含</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268, </w:t>
            </w:r>
            <w:r>
              <w:rPr>
                <w:color w:val="000000"/>
                <w:spacing w:val="0"/>
                <w:w w:val="100"/>
                <w:position w:val="0"/>
                <w:sz w:val="16"/>
                <w:szCs w:val="16"/>
              </w:rPr>
              <w:t xml:space="preserve">051.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3.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683.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0.41</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6"/>
                <w:szCs w:val="16"/>
              </w:rPr>
              <w:t>4</w:t>
            </w:r>
            <w:r>
              <w:rPr>
                <w:color w:val="000000"/>
                <w:spacing w:val="0"/>
                <w:w w:val="100"/>
                <w:position w:val="0"/>
              </w:rPr>
              <w:t>至</w:t>
            </w:r>
            <w:r>
              <w:rPr>
                <w:color w:val="000000"/>
                <w:spacing w:val="0"/>
                <w:w w:val="100"/>
                <w:position w:val="0"/>
                <w:sz w:val="16"/>
                <w:szCs w:val="16"/>
              </w:rPr>
              <w:t>5</w:t>
            </w:r>
            <w:r>
              <w:rPr>
                <w:color w:val="000000"/>
                <w:spacing w:val="0"/>
                <w:w w:val="100"/>
                <w:position w:val="0"/>
              </w:rPr>
              <w:t>年（含</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10, </w:t>
            </w:r>
            <w:r>
              <w:rPr>
                <w:color w:val="000000"/>
                <w:spacing w:val="0"/>
                <w:w w:val="100"/>
                <w:position w:val="0"/>
                <w:sz w:val="16"/>
                <w:szCs w:val="16"/>
              </w:rPr>
              <w:t>683.76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0.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640" w:firstLine="0"/>
              <w:jc w:val="right"/>
              <w:rPr>
                <w:sz w:val="16"/>
                <w:szCs w:val="16"/>
              </w:rPr>
            </w:pPr>
            <w:r>
              <w:rPr>
                <w:color w:val="000000"/>
                <w:spacing w:val="0"/>
                <w:w w:val="100"/>
                <w:position w:val="0"/>
                <w:sz w:val="16"/>
                <w:szCs w:val="16"/>
              </w:rPr>
              <w:t>-</w:t>
            </w:r>
          </w:p>
        </w:tc>
      </w:tr>
      <w:tr>
        <w:trPr>
          <w:trHeight w:val="432"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6, 766, </w:t>
            </w:r>
            <w:r>
              <w:rPr>
                <w:color w:val="000000"/>
                <w:spacing w:val="0"/>
                <w:w w:val="100"/>
                <w:position w:val="0"/>
                <w:sz w:val="16"/>
                <w:szCs w:val="16"/>
              </w:rPr>
              <w:t xml:space="preserve">408.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2,613,173.29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r>
    </w:tbl>
    <w:p>
      <w:pPr>
        <w:widowControl w:val="0"/>
        <w:spacing w:after="339" w:line="1" w:lineRule="exact"/>
      </w:pP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账龄自预付款项确认日起开始计算。</w:t>
      </w:r>
    </w:p>
    <w:p>
      <w:pPr>
        <w:pStyle w:val="Style34"/>
        <w:keepNext/>
        <w:keepLines/>
        <w:widowControl w:val="0"/>
        <w:shd w:val="clear" w:color="auto" w:fill="auto"/>
        <w:bidi w:val="0"/>
        <w:spacing w:before="0" w:after="340" w:line="240" w:lineRule="auto"/>
        <w:ind w:left="0" w:right="0" w:firstLine="0"/>
        <w:jc w:val="left"/>
      </w:pPr>
      <w:bookmarkStart w:id="1117" w:name="bookmark1117"/>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w:t>
      </w:r>
      <w:bookmarkEnd w:id="1119"/>
      <w:r>
        <w:rPr>
          <w:rFonts w:ascii="Times New Roman" w:eastAsia="Times New Roman" w:hAnsi="Times New Roman" w:cs="Times New Roman"/>
          <w:color w:val="000000"/>
          <w:spacing w:val="0"/>
          <w:w w:val="100"/>
          <w:position w:val="0"/>
        </w:rPr>
        <w:t>3）</w:t>
      </w:r>
      <w:r>
        <w:rPr>
          <w:color w:val="000000"/>
          <w:spacing w:val="0"/>
          <w:w w:val="100"/>
          <w:position w:val="0"/>
        </w:rPr>
        <w:t>按预付对象归集的年末余额前五名的预付款项情况</w:t>
      </w:r>
      <w:bookmarkEnd w:id="1117"/>
      <w:bookmarkEnd w:id="1118"/>
      <w:bookmarkEnd w:id="1120"/>
    </w:p>
    <w:tbl>
      <w:tblPr>
        <w:tblOverlap w:val="never"/>
        <w:jc w:val="center"/>
        <w:tblLayout w:type="fixed"/>
      </w:tblPr>
      <w:tblGrid>
        <w:gridCol w:w="5261"/>
        <w:gridCol w:w="1982"/>
        <w:gridCol w:w="2016"/>
      </w:tblGrid>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占预付款项年末余额合 计数的比例（%）</w:t>
            </w:r>
          </w:p>
        </w:tc>
      </w:tr>
      <w:tr>
        <w:trPr>
          <w:trHeight w:val="38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2,830, </w:t>
            </w:r>
            <w:r>
              <w:rPr>
                <w:color w:val="000000"/>
                <w:spacing w:val="0"/>
                <w:w w:val="100"/>
                <w:position w:val="0"/>
                <w:sz w:val="16"/>
                <w:szCs w:val="16"/>
              </w:rPr>
              <w:t xml:space="preserve">188.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41.83</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428, </w:t>
            </w:r>
            <w:r>
              <w:rPr>
                <w:color w:val="000000"/>
                <w:spacing w:val="0"/>
                <w:w w:val="100"/>
                <w:position w:val="0"/>
                <w:sz w:val="16"/>
                <w:szCs w:val="16"/>
              </w:rPr>
              <w:t xml:space="preserve">142.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33</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231,290. </w:t>
            </w:r>
            <w:r>
              <w:rPr>
                <w:color w:val="000000"/>
                <w:spacing w:val="0"/>
                <w:w w:val="100"/>
                <w:position w:val="0"/>
                <w:sz w:val="16"/>
                <w:szCs w:val="16"/>
              </w:rPr>
              <w:t>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3.42</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138, </w:t>
            </w:r>
            <w:r>
              <w:rPr>
                <w:color w:val="000000"/>
                <w:spacing w:val="0"/>
                <w:w w:val="100"/>
                <w:position w:val="0"/>
                <w:sz w:val="16"/>
                <w:szCs w:val="16"/>
              </w:rPr>
              <w:t xml:space="preserve">053.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2. </w:t>
            </w:r>
            <w:r>
              <w:rPr>
                <w:color w:val="000000"/>
                <w:spacing w:val="0"/>
                <w:w w:val="100"/>
                <w:position w:val="0"/>
                <w:sz w:val="16"/>
                <w:szCs w:val="16"/>
              </w:rPr>
              <w:t>04</w:t>
            </w:r>
          </w:p>
        </w:tc>
      </w:tr>
      <w:tr>
        <w:trPr>
          <w:trHeight w:val="38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130,530.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93</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3,758,206. </w:t>
            </w:r>
            <w:r>
              <w:rPr>
                <w:color w:val="000000"/>
                <w:spacing w:val="0"/>
                <w:w w:val="100"/>
                <w:position w:val="0"/>
                <w:sz w:val="16"/>
                <w:szCs w:val="16"/>
              </w:rPr>
              <w:t>02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80" w:right="0" w:firstLine="0"/>
              <w:jc w:val="left"/>
              <w:rPr>
                <w:sz w:val="16"/>
                <w:szCs w:val="16"/>
              </w:rPr>
            </w:pPr>
            <w:r>
              <w:rPr>
                <w:color w:val="000000"/>
                <w:spacing w:val="0"/>
                <w:w w:val="100"/>
                <w:position w:val="0"/>
                <w:sz w:val="16"/>
                <w:szCs w:val="16"/>
              </w:rPr>
              <w:t>55.55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w:t>
      </w:r>
      <w:bookmarkEnd w:id="1123"/>
      <w:r>
        <w:rPr>
          <w:rFonts w:ascii="Times New Roman" w:eastAsia="Times New Roman" w:hAnsi="Times New Roman" w:cs="Times New Roman"/>
          <w:color w:val="000000"/>
          <w:spacing w:val="0"/>
          <w:w w:val="100"/>
          <w:position w:val="0"/>
        </w:rPr>
        <w:t>4）</w:t>
      </w:r>
      <w:r>
        <w:rPr>
          <w:color w:val="000000"/>
          <w:spacing w:val="0"/>
          <w:w w:val="100"/>
          <w:position w:val="0"/>
        </w:rPr>
        <w:t>本集团无账龄超过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年的金额重大的预付款项。</w:t>
      </w:r>
      <w:bookmarkEnd w:id="1121"/>
      <w:bookmarkEnd w:id="1122"/>
      <w:bookmarkEnd w:id="1124"/>
    </w:p>
    <w:p>
      <w:pPr>
        <w:pStyle w:val="Style34"/>
        <w:keepNext/>
        <w:keepLines/>
        <w:widowControl w:val="0"/>
        <w:shd w:val="clear" w:color="auto" w:fill="auto"/>
        <w:bidi w:val="0"/>
        <w:spacing w:before="0" w:after="380" w:line="240" w:lineRule="auto"/>
        <w:ind w:left="0" w:right="0" w:firstLine="0"/>
        <w:jc w:val="left"/>
      </w:pPr>
      <w:bookmarkStart w:id="1121" w:name="bookmark1121"/>
      <w:bookmarkStart w:id="1122" w:name="bookmark1122"/>
      <w:bookmarkStart w:id="1125" w:name="bookmark1125"/>
      <w:bookmarkStart w:id="1126" w:name="bookmark1126"/>
      <w:r>
        <w:rPr>
          <w:rFonts w:ascii="Times New Roman" w:eastAsia="Times New Roman" w:hAnsi="Times New Roman" w:cs="Times New Roman"/>
          <w:color w:val="000000"/>
          <w:spacing w:val="0"/>
          <w:w w:val="100"/>
          <w:position w:val="0"/>
        </w:rPr>
        <w:t>6</w:t>
      </w:r>
      <w:bookmarkEnd w:id="1125"/>
      <w:r>
        <w:rPr>
          <w:color w:val="000000"/>
          <w:spacing w:val="0"/>
          <w:w w:val="100"/>
          <w:position w:val="0"/>
        </w:rPr>
        <w:t>、其他应收款</w:t>
      </w:r>
      <w:bookmarkEnd w:id="1121"/>
      <w:bookmarkEnd w:id="1122"/>
      <w:bookmarkEnd w:id="1126"/>
    </w:p>
    <w:p>
      <w:pPr>
        <w:pStyle w:val="Style2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z w:val="16"/>
          <w:szCs w:val="16"/>
        </w:rPr>
        <w:t>（1）</w:t>
      </w:r>
      <w:r>
        <w:rPr>
          <w:b/>
          <w:bCs/>
          <w:color w:val="000000"/>
          <w:spacing w:val="0"/>
          <w:w w:val="100"/>
          <w:position w:val="0"/>
        </w:rPr>
        <w:t>按客户类别分析如下：</w:t>
      </w:r>
    </w:p>
    <w:tbl>
      <w:tblPr>
        <w:tblOverlap w:val="never"/>
        <w:jc w:val="center"/>
        <w:tblLayout w:type="fixed"/>
      </w:tblPr>
      <w:tblGrid>
        <w:gridCol w:w="5261"/>
        <w:gridCol w:w="1987"/>
        <w:gridCol w:w="2016"/>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8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12,556,120.70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13,260,781.37</w:t>
            </w:r>
          </w:p>
        </w:tc>
      </w:tr>
      <w:tr>
        <w:trPr>
          <w:trHeight w:val="39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815,009.88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815, </w:t>
            </w:r>
            <w:r>
              <w:rPr>
                <w:color w:val="000000"/>
                <w:spacing w:val="0"/>
                <w:w w:val="100"/>
                <w:position w:val="0"/>
                <w:sz w:val="16"/>
                <w:szCs w:val="16"/>
              </w:rPr>
              <w:t xml:space="preserve">009. </w:t>
            </w:r>
            <w:r>
              <w:rPr>
                <w:color w:val="000000"/>
                <w:spacing w:val="0"/>
                <w:w w:val="100"/>
                <w:position w:val="0"/>
                <w:sz w:val="16"/>
                <w:szCs w:val="16"/>
              </w:rPr>
              <w:t>88</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13,371,130.58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14, </w:t>
            </w:r>
            <w:r>
              <w:rPr>
                <w:color w:val="000000"/>
                <w:spacing w:val="0"/>
                <w:w w:val="100"/>
                <w:position w:val="0"/>
                <w:sz w:val="16"/>
                <w:szCs w:val="16"/>
              </w:rPr>
              <w:t>075,791.25</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985.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1, 134, </w:t>
            </w:r>
            <w:r>
              <w:rPr>
                <w:color w:val="000000"/>
                <w:spacing w:val="0"/>
                <w:w w:val="100"/>
                <w:position w:val="0"/>
                <w:sz w:val="16"/>
                <w:szCs w:val="16"/>
              </w:rPr>
              <w:t xml:space="preserve">604. </w:t>
            </w:r>
            <w:r>
              <w:rPr>
                <w:color w:val="000000"/>
                <w:spacing w:val="0"/>
                <w:w w:val="100"/>
                <w:position w:val="0"/>
                <w:sz w:val="16"/>
                <w:szCs w:val="16"/>
              </w:rPr>
              <w:t>50</w:t>
            </w:r>
          </w:p>
        </w:tc>
      </w:tr>
      <w:tr>
        <w:trPr>
          <w:trHeight w:val="41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11,590,145.53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12,941,186.75</w:t>
            </w:r>
          </w:p>
        </w:tc>
      </w:tr>
    </w:tbl>
    <w:p>
      <w:pPr>
        <w:widowControl w:val="0"/>
        <w:spacing w:after="339" w:line="1" w:lineRule="exact"/>
      </w:pPr>
    </w:p>
    <w:p>
      <w:pPr>
        <w:pStyle w:val="Style21"/>
        <w:keepNext w:val="0"/>
        <w:keepLines w:val="0"/>
        <w:widowControl w:val="0"/>
        <w:shd w:val="clear" w:color="auto" w:fill="auto"/>
        <w:bidi w:val="0"/>
        <w:spacing w:before="0" w:after="700" w:line="240" w:lineRule="auto"/>
        <w:ind w:left="0" w:right="0" w:firstLine="0"/>
        <w:jc w:val="left"/>
      </w:pPr>
      <w:r>
        <w:rPr>
          <w:b/>
          <w:bCs/>
          <w:color w:val="000000"/>
          <w:spacing w:val="0"/>
          <w:w w:val="100"/>
          <w:position w:val="0"/>
          <w:sz w:val="16"/>
          <w:szCs w:val="16"/>
        </w:rPr>
        <w:t>（2）</w:t>
      </w:r>
      <w:r>
        <w:rPr>
          <w:b/>
          <w:bCs/>
          <w:color w:val="000000"/>
          <w:spacing w:val="0"/>
          <w:w w:val="100"/>
          <w:position w:val="0"/>
        </w:rPr>
        <w:t>按账龄分析如下:</w:t>
      </w:r>
    </w:p>
    <w:tbl>
      <w:tblPr>
        <w:tblOverlap w:val="never"/>
        <w:jc w:val="center"/>
        <w:tblLayout w:type="fixed"/>
      </w:tblPr>
      <w:tblGrid>
        <w:gridCol w:w="5246"/>
        <w:gridCol w:w="1987"/>
        <w:gridCol w:w="2016"/>
      </w:tblGrid>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3,373,452.00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10, </w:t>
            </w:r>
            <w:r>
              <w:rPr>
                <w:color w:val="000000"/>
                <w:spacing w:val="0"/>
                <w:w w:val="100"/>
                <w:position w:val="0"/>
                <w:sz w:val="16"/>
                <w:szCs w:val="16"/>
              </w:rPr>
              <w:t>145,563.34</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1</w:t>
            </w:r>
            <w:r>
              <w:rPr>
                <w:color w:val="000000"/>
                <w:spacing w:val="0"/>
                <w:w w:val="100"/>
                <w:position w:val="0"/>
              </w:rPr>
              <w:t>年至</w:t>
            </w:r>
            <w:r>
              <w:rPr>
                <w:color w:val="000000"/>
                <w:spacing w:val="0"/>
                <w:w w:val="100"/>
                <w:position w:val="0"/>
                <w:sz w:val="16"/>
                <w:szCs w:val="16"/>
              </w:rPr>
              <w:t>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3,033,263.00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1,690,233.55</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2</w:t>
            </w:r>
            <w:r>
              <w:rPr>
                <w:color w:val="000000"/>
                <w:spacing w:val="0"/>
                <w:w w:val="100"/>
                <w:position w:val="0"/>
              </w:rPr>
              <w:t>年至</w:t>
            </w:r>
            <w:r>
              <w:rPr>
                <w:color w:val="000000"/>
                <w:spacing w:val="0"/>
                <w:w w:val="100"/>
                <w:position w:val="0"/>
                <w:sz w:val="16"/>
                <w:szCs w:val="16"/>
              </w:rPr>
              <w:t>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5, 100, </w:t>
            </w:r>
            <w:r>
              <w:rPr>
                <w:color w:val="000000"/>
                <w:spacing w:val="0"/>
                <w:w w:val="100"/>
                <w:position w:val="0"/>
                <w:sz w:val="16"/>
                <w:szCs w:val="16"/>
              </w:rPr>
              <w:t xml:space="preserve">933.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1,403,762.20</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3</w:t>
            </w:r>
            <w:r>
              <w:rPr>
                <w:color w:val="000000"/>
                <w:spacing w:val="0"/>
                <w:w w:val="100"/>
                <w:position w:val="0"/>
              </w:rPr>
              <w:t>年至</w:t>
            </w:r>
            <w:r>
              <w:rPr>
                <w:color w:val="000000"/>
                <w:spacing w:val="0"/>
                <w:w w:val="100"/>
                <w:position w:val="0"/>
                <w:sz w:val="16"/>
                <w:szCs w:val="16"/>
              </w:rPr>
              <w:t>4</w:t>
            </w:r>
            <w:r>
              <w:rPr>
                <w:color w:val="000000"/>
                <w:spacing w:val="0"/>
                <w:w w:val="100"/>
                <w:position w:val="0"/>
              </w:rPr>
              <w:t>年（含</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1,288, </w:t>
            </w:r>
            <w:r>
              <w:rPr>
                <w:color w:val="000000"/>
                <w:spacing w:val="0"/>
                <w:w w:val="100"/>
                <w:position w:val="0"/>
                <w:sz w:val="16"/>
                <w:szCs w:val="16"/>
              </w:rPr>
              <w:t xml:space="preserve">532.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246, </w:t>
            </w:r>
            <w:r>
              <w:rPr>
                <w:color w:val="000000"/>
                <w:spacing w:val="0"/>
                <w:w w:val="100"/>
                <w:position w:val="0"/>
                <w:sz w:val="16"/>
                <w:szCs w:val="16"/>
              </w:rPr>
              <w:t xml:space="preserve">770.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6"/>
                <w:szCs w:val="16"/>
              </w:rPr>
              <w:t>4</w:t>
            </w:r>
            <w:r>
              <w:rPr>
                <w:color w:val="000000"/>
                <w:spacing w:val="0"/>
                <w:w w:val="100"/>
                <w:position w:val="0"/>
              </w:rPr>
              <w:t>年至</w:t>
            </w:r>
            <w:r>
              <w:rPr>
                <w:color w:val="000000"/>
                <w:spacing w:val="0"/>
                <w:w w:val="100"/>
                <w:position w:val="0"/>
                <w:sz w:val="16"/>
                <w:szCs w:val="16"/>
              </w:rPr>
              <w:t>5</w:t>
            </w:r>
            <w:r>
              <w:rPr>
                <w:color w:val="000000"/>
                <w:spacing w:val="0"/>
                <w:w w:val="100"/>
                <w:position w:val="0"/>
              </w:rPr>
              <w:t>年（含</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255,500.00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43, </w:t>
            </w:r>
            <w:r>
              <w:rPr>
                <w:color w:val="000000"/>
                <w:spacing w:val="0"/>
                <w:w w:val="100"/>
                <w:position w:val="0"/>
                <w:sz w:val="16"/>
                <w:szCs w:val="16"/>
              </w:rPr>
              <w:t xml:space="preserve">000.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5275"/>
        <w:gridCol w:w="1987"/>
        <w:gridCol w:w="2501"/>
      </w:tblGrid>
      <w:tr>
        <w:trPr>
          <w:trHeight w:val="38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319, </w:t>
            </w:r>
            <w:r>
              <w:rPr>
                <w:color w:val="000000"/>
                <w:spacing w:val="0"/>
                <w:w w:val="100"/>
                <w:position w:val="0"/>
                <w:sz w:val="16"/>
                <w:szCs w:val="16"/>
              </w:rPr>
              <w:t xml:space="preserve">450. </w:t>
            </w:r>
            <w:r>
              <w:rPr>
                <w:color w:val="000000"/>
                <w:spacing w:val="0"/>
                <w:w w:val="100"/>
                <w:position w:val="0"/>
                <w:sz w:val="16"/>
                <w:szCs w:val="16"/>
              </w:rPr>
              <w:t>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546, </w:t>
            </w:r>
            <w:r>
              <w:rPr>
                <w:color w:val="000000"/>
                <w:spacing w:val="0"/>
                <w:w w:val="100"/>
                <w:position w:val="0"/>
                <w:sz w:val="16"/>
                <w:szCs w:val="16"/>
              </w:rPr>
              <w:t xml:space="preserve">462. </w:t>
            </w:r>
            <w:r>
              <w:rPr>
                <w:color w:val="000000"/>
                <w:spacing w:val="0"/>
                <w:w w:val="100"/>
                <w:position w:val="0"/>
                <w:sz w:val="16"/>
                <w:szCs w:val="16"/>
              </w:rPr>
              <w:t>16</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13,371,130.58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14, </w:t>
            </w:r>
            <w:r>
              <w:rPr>
                <w:color w:val="000000"/>
                <w:spacing w:val="0"/>
                <w:w w:val="100"/>
                <w:position w:val="0"/>
                <w:sz w:val="16"/>
                <w:szCs w:val="16"/>
              </w:rPr>
              <w:t>075,791.25</w:t>
            </w:r>
          </w:p>
        </w:tc>
      </w:tr>
      <w:tr>
        <w:trPr>
          <w:trHeight w:val="3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985. </w:t>
            </w:r>
            <w:r>
              <w:rPr>
                <w:color w:val="000000"/>
                <w:spacing w:val="0"/>
                <w:w w:val="100"/>
                <w:position w:val="0"/>
                <w:sz w:val="16"/>
                <w:szCs w:val="16"/>
              </w:rPr>
              <w:t>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1,134, </w:t>
            </w:r>
            <w:r>
              <w:rPr>
                <w:color w:val="000000"/>
                <w:spacing w:val="0"/>
                <w:w w:val="100"/>
                <w:position w:val="0"/>
                <w:sz w:val="16"/>
                <w:szCs w:val="16"/>
              </w:rPr>
              <w:t xml:space="preserve">604. </w:t>
            </w:r>
            <w:r>
              <w:rPr>
                <w:color w:val="000000"/>
                <w:spacing w:val="0"/>
                <w:w w:val="100"/>
                <w:position w:val="0"/>
                <w:sz w:val="16"/>
                <w:szCs w:val="16"/>
              </w:rPr>
              <w:t>50</w:t>
            </w:r>
          </w:p>
        </w:tc>
      </w:tr>
      <w:tr>
        <w:trPr>
          <w:trHeight w:val="394"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11,590,145.53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12,941,186.75</w:t>
            </w:r>
          </w:p>
        </w:tc>
      </w:tr>
    </w:tbl>
    <w:p>
      <w:pPr>
        <w:widowControl w:val="0"/>
        <w:spacing w:after="39" w:line="1" w:lineRule="exact"/>
      </w:pP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账龄自其他应收款确认日起开始计算。</w:t>
      </w:r>
    </w:p>
    <w:p>
      <w:pPr>
        <w:pStyle w:val="Style21"/>
        <w:keepNext w:val="0"/>
        <w:keepLines w:val="0"/>
        <w:widowControl w:val="0"/>
        <w:shd w:val="clear" w:color="auto" w:fill="auto"/>
        <w:bidi w:val="0"/>
        <w:spacing w:before="0" w:after="360" w:line="240" w:lineRule="auto"/>
        <w:ind w:left="0" w:right="0" w:firstLine="140"/>
        <w:jc w:val="left"/>
      </w:pPr>
      <w:r>
        <w:rPr>
          <w:b/>
          <w:bCs/>
          <w:color w:val="000000"/>
          <w:spacing w:val="0"/>
          <w:w w:val="100"/>
          <w:position w:val="0"/>
          <w:sz w:val="16"/>
          <w:szCs w:val="16"/>
        </w:rPr>
        <w:t>(3)</w:t>
      </w:r>
      <w:r>
        <w:rPr>
          <w:b/>
          <w:bCs/>
          <w:color w:val="000000"/>
          <w:spacing w:val="0"/>
          <w:w w:val="100"/>
          <w:position w:val="0"/>
        </w:rPr>
        <w:t>坏账准备的变动情况</w:t>
      </w:r>
    </w:p>
    <w:tbl>
      <w:tblPr>
        <w:tblOverlap w:val="never"/>
        <w:jc w:val="center"/>
        <w:tblLayout w:type="fixed"/>
      </w:tblPr>
      <w:tblGrid>
        <w:gridCol w:w="1349"/>
        <w:gridCol w:w="341"/>
        <w:gridCol w:w="936"/>
        <w:gridCol w:w="965"/>
        <w:gridCol w:w="907"/>
        <w:gridCol w:w="931"/>
        <w:gridCol w:w="936"/>
        <w:gridCol w:w="936"/>
        <w:gridCol w:w="936"/>
        <w:gridCol w:w="970"/>
      </w:tblGrid>
      <w:tr>
        <w:trPr>
          <w:trHeight w:val="355"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坏账准备</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注</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 xml:space="preserve">2020 </w:t>
            </w:r>
            <w:r>
              <w:rPr>
                <w:rFonts w:ascii="SimHei" w:eastAsia="SimHei" w:hAnsi="SimHei" w:cs="SimHei"/>
                <w:color w:val="000000"/>
                <w:spacing w:val="0"/>
                <w:w w:val="100"/>
                <w:position w:val="0"/>
                <w:sz w:val="14"/>
                <w:szCs w:val="14"/>
              </w:rPr>
              <w:t>年</w:t>
            </w:r>
          </w:p>
        </w:tc>
        <w:tc>
          <w:tcPr>
            <w:gridSpan w:val="4"/>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color w:val="000000"/>
                <w:spacing w:val="0"/>
                <w:w w:val="100"/>
                <w:position w:val="0"/>
                <w:sz w:val="14"/>
                <w:szCs w:val="14"/>
              </w:rPr>
              <w:t xml:space="preserve">2019 </w:t>
            </w:r>
            <w:r>
              <w:rPr>
                <w:rFonts w:ascii="SimHei" w:eastAsia="SimHei" w:hAnsi="SimHei" w:cs="SimHei"/>
                <w:color w:val="000000"/>
                <w:spacing w:val="0"/>
                <w:w w:val="100"/>
                <w:position w:val="0"/>
                <w:sz w:val="14"/>
                <w:szCs w:val="14"/>
              </w:rPr>
              <w:t>年</w:t>
            </w:r>
          </w:p>
        </w:tc>
      </w:tr>
      <w:tr>
        <w:trPr>
          <w:trHeight w:val="33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4"/>
                <w:szCs w:val="14"/>
              </w:rPr>
            </w:pPr>
            <w:r>
              <w:rPr>
                <w:rFonts w:ascii="SimHei" w:eastAsia="SimHei" w:hAnsi="SimHei" w:cs="SimHei"/>
                <w:color w:val="000000"/>
                <w:spacing w:val="0"/>
                <w:w w:val="100"/>
                <w:position w:val="0"/>
                <w:sz w:val="14"/>
                <w:szCs w:val="14"/>
              </w:rPr>
              <w:t>第一阶段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4"/>
                <w:szCs w:val="14"/>
              </w:rPr>
            </w:pPr>
            <w:r>
              <w:rPr>
                <w:rFonts w:ascii="SimHei" w:eastAsia="SimHei" w:hAnsi="SimHei" w:cs="SimHei"/>
                <w:color w:val="000000"/>
                <w:spacing w:val="0"/>
                <w:w w:val="100"/>
                <w:position w:val="0"/>
                <w:sz w:val="14"/>
                <w:szCs w:val="14"/>
              </w:rPr>
              <w:t>第二阶段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4"/>
                <w:szCs w:val="14"/>
              </w:rPr>
            </w:pPr>
            <w:r>
              <w:rPr>
                <w:rFonts w:ascii="SimHei" w:eastAsia="SimHei" w:hAnsi="SimHei" w:cs="SimHei"/>
                <w:color w:val="000000"/>
                <w:spacing w:val="0"/>
                <w:w w:val="100"/>
                <w:position w:val="0"/>
                <w:sz w:val="14"/>
                <w:szCs w:val="14"/>
              </w:rPr>
              <w:t>第三阶段</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第一阶段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第二阶段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第三阶段</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000000"/>
                <w:spacing w:val="0"/>
                <w:w w:val="100"/>
                <w:position w:val="0"/>
                <w:sz w:val="14"/>
                <w:szCs w:val="14"/>
              </w:rPr>
              <w:t>合计</w:t>
            </w:r>
          </w:p>
        </w:tc>
      </w:tr>
      <w:tr>
        <w:trPr>
          <w:trHeight w:val="137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580"/>
              <w:jc w:val="left"/>
              <w:rPr>
                <w:sz w:val="14"/>
                <w:szCs w:val="14"/>
              </w:rPr>
            </w:pPr>
            <w:r>
              <w:rPr>
                <w:rFonts w:ascii="SimHei" w:eastAsia="SimHei" w:hAnsi="SimHei" w:cs="SimHei"/>
                <w:color w:val="000000"/>
                <w:spacing w:val="0"/>
                <w:w w:val="100"/>
                <w:position w:val="0"/>
                <w:sz w:val="14"/>
                <w:szCs w:val="14"/>
              </w:rPr>
              <w:t>未来</w:t>
            </w:r>
          </w:p>
          <w:p>
            <w:pPr>
              <w:pStyle w:val="Style27"/>
              <w:keepNext w:val="0"/>
              <w:keepLines w:val="0"/>
              <w:widowControl w:val="0"/>
              <w:shd w:val="clear" w:color="auto" w:fill="auto"/>
              <w:bidi w:val="0"/>
              <w:spacing w:before="0" w:after="100" w:line="240" w:lineRule="auto"/>
              <w:ind w:left="0" w:right="0" w:firstLine="400"/>
              <w:jc w:val="left"/>
              <w:rPr>
                <w:sz w:val="14"/>
                <w:szCs w:val="14"/>
              </w:rPr>
            </w:pPr>
            <w:r>
              <w:rPr>
                <w:rFonts w:ascii="Arial" w:eastAsia="Arial" w:hAnsi="Arial" w:cs="Arial"/>
                <w:color w:val="000000"/>
                <w:spacing w:val="0"/>
                <w:w w:val="100"/>
                <w:position w:val="0"/>
                <w:sz w:val="14"/>
                <w:szCs w:val="14"/>
              </w:rPr>
              <w:t>12</w:t>
            </w:r>
            <w:r>
              <w:rPr>
                <w:rFonts w:ascii="SimHei" w:eastAsia="SimHei" w:hAnsi="SimHei" w:cs="SimHei"/>
                <w:color w:val="000000"/>
                <w:spacing w:val="0"/>
                <w:w w:val="100"/>
                <w:position w:val="0"/>
                <w:sz w:val="14"/>
                <w:szCs w:val="14"/>
              </w:rPr>
              <w:t>个月</w:t>
            </w:r>
          </w:p>
          <w:p>
            <w:pPr>
              <w:pStyle w:val="Style27"/>
              <w:keepNext w:val="0"/>
              <w:keepLines w:val="0"/>
              <w:widowControl w:val="0"/>
              <w:shd w:val="clear" w:color="auto" w:fill="auto"/>
              <w:bidi w:val="0"/>
              <w:spacing w:before="0" w:after="100" w:line="240" w:lineRule="auto"/>
              <w:ind w:left="0" w:right="0" w:firstLine="300"/>
              <w:jc w:val="left"/>
              <w:rPr>
                <w:sz w:val="14"/>
                <w:szCs w:val="14"/>
              </w:rPr>
            </w:pPr>
            <w:r>
              <w:rPr>
                <w:rFonts w:ascii="SimHei" w:eastAsia="SimHei" w:hAnsi="SimHei" w:cs="SimHei"/>
                <w:color w:val="000000"/>
                <w:spacing w:val="0"/>
                <w:w w:val="100"/>
                <w:position w:val="0"/>
                <w:sz w:val="14"/>
                <w:szCs w:val="14"/>
              </w:rPr>
              <w:t>预期信用</w:t>
            </w:r>
          </w:p>
          <w:p>
            <w:pPr>
              <w:pStyle w:val="Style27"/>
              <w:keepNext w:val="0"/>
              <w:keepLines w:val="0"/>
              <w:widowControl w:val="0"/>
              <w:shd w:val="clear" w:color="auto" w:fill="auto"/>
              <w:bidi w:val="0"/>
              <w:spacing w:before="0" w:after="100" w:line="240" w:lineRule="auto"/>
              <w:ind w:left="0" w:right="0" w:firstLine="580"/>
              <w:jc w:val="left"/>
              <w:rPr>
                <w:sz w:val="14"/>
                <w:szCs w:val="14"/>
              </w:rPr>
            </w:pPr>
            <w:r>
              <w:rPr>
                <w:rFonts w:ascii="SimHei" w:eastAsia="SimHei" w:hAnsi="SimHei" w:cs="SimHei"/>
                <w:color w:val="000000"/>
                <w:spacing w:val="0"/>
                <w:w w:val="100"/>
                <w:position w:val="0"/>
                <w:sz w:val="14"/>
                <w:szCs w:val="14"/>
              </w:rPr>
              <w:t>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82" w:lineRule="exact"/>
              <w:ind w:left="0" w:right="0" w:firstLine="0"/>
              <w:jc w:val="right"/>
              <w:rPr>
                <w:sz w:val="14"/>
                <w:szCs w:val="14"/>
              </w:rPr>
            </w:pPr>
            <w:r>
              <w:rPr>
                <w:rFonts w:ascii="SimHei" w:eastAsia="SimHei" w:hAnsi="SimHei" w:cs="SimHei"/>
                <w:color w:val="000000"/>
                <w:spacing w:val="0"/>
                <w:w w:val="100"/>
                <w:position w:val="0"/>
                <w:sz w:val="14"/>
                <w:szCs w:val="14"/>
              </w:rPr>
              <w:t>整个存续期 预期信用 损失</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未发生 信用减值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0" w:lineRule="exact"/>
              <w:ind w:left="0" w:right="0" w:firstLine="0"/>
              <w:jc w:val="right"/>
              <w:rPr>
                <w:sz w:val="14"/>
                <w:szCs w:val="14"/>
              </w:rPr>
            </w:pPr>
            <w:r>
              <w:rPr>
                <w:rFonts w:ascii="SimHei" w:eastAsia="SimHei" w:hAnsi="SimHei" w:cs="SimHei"/>
                <w:color w:val="000000"/>
                <w:spacing w:val="0"/>
                <w:w w:val="100"/>
                <w:position w:val="0"/>
                <w:sz w:val="14"/>
                <w:szCs w:val="14"/>
              </w:rPr>
              <w:t>整个存卖期 预期信用 损失</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已发 生 信用减值</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80" w:line="240" w:lineRule="auto"/>
              <w:ind w:left="0" w:right="0" w:firstLine="0"/>
              <w:jc w:val="right"/>
              <w:rPr>
                <w:sz w:val="14"/>
                <w:szCs w:val="14"/>
              </w:rPr>
            </w:pPr>
            <w:r>
              <w:rPr>
                <w:rFonts w:ascii="SimHei" w:eastAsia="SimHei" w:hAnsi="SimHei" w:cs="SimHei"/>
                <w:color w:val="000000"/>
                <w:spacing w:val="0"/>
                <w:w w:val="100"/>
                <w:position w:val="0"/>
                <w:sz w:val="14"/>
                <w:szCs w:val="14"/>
              </w:rPr>
              <w:t>未来</w:t>
            </w:r>
          </w:p>
          <w:p>
            <w:pPr>
              <w:pStyle w:val="Style27"/>
              <w:keepNext w:val="0"/>
              <w:keepLines w:val="0"/>
              <w:widowControl w:val="0"/>
              <w:shd w:val="clear" w:color="auto" w:fill="auto"/>
              <w:bidi w:val="0"/>
              <w:spacing w:before="0" w:after="80" w:line="240" w:lineRule="auto"/>
              <w:ind w:left="0" w:right="0" w:firstLine="0"/>
              <w:jc w:val="right"/>
              <w:rPr>
                <w:sz w:val="14"/>
                <w:szCs w:val="14"/>
              </w:rPr>
            </w:pPr>
            <w:r>
              <w:rPr>
                <w:rFonts w:ascii="Arial" w:eastAsia="Arial" w:hAnsi="Arial" w:cs="Arial"/>
                <w:color w:val="000000"/>
                <w:spacing w:val="0"/>
                <w:w w:val="100"/>
                <w:position w:val="0"/>
                <w:sz w:val="14"/>
                <w:szCs w:val="14"/>
              </w:rPr>
              <w:t>12</w:t>
            </w:r>
            <w:r>
              <w:rPr>
                <w:rFonts w:ascii="SimHei" w:eastAsia="SimHei" w:hAnsi="SimHei" w:cs="SimHei"/>
                <w:color w:val="000000"/>
                <w:spacing w:val="0"/>
                <w:w w:val="100"/>
                <w:position w:val="0"/>
                <w:sz w:val="14"/>
                <w:szCs w:val="14"/>
              </w:rPr>
              <w:t>个月</w:t>
            </w:r>
          </w:p>
          <w:p>
            <w:pPr>
              <w:pStyle w:val="Style27"/>
              <w:keepNext w:val="0"/>
              <w:keepLines w:val="0"/>
              <w:widowControl w:val="0"/>
              <w:shd w:val="clear" w:color="auto" w:fill="auto"/>
              <w:bidi w:val="0"/>
              <w:spacing w:before="0" w:after="120" w:line="240" w:lineRule="auto"/>
              <w:ind w:left="0" w:right="0" w:firstLine="0"/>
              <w:jc w:val="right"/>
              <w:rPr>
                <w:sz w:val="14"/>
                <w:szCs w:val="14"/>
              </w:rPr>
            </w:pPr>
            <w:r>
              <w:rPr>
                <w:rFonts w:ascii="SimHei" w:eastAsia="SimHei" w:hAnsi="SimHei" w:cs="SimHei"/>
                <w:color w:val="000000"/>
                <w:spacing w:val="0"/>
                <w:w w:val="100"/>
                <w:position w:val="0"/>
                <w:sz w:val="14"/>
                <w:szCs w:val="14"/>
              </w:rPr>
              <w:t>预期信用</w:t>
            </w:r>
          </w:p>
          <w:p>
            <w:pPr>
              <w:pStyle w:val="Style27"/>
              <w:keepNext w:val="0"/>
              <w:keepLines w:val="0"/>
              <w:widowControl w:val="0"/>
              <w:shd w:val="clear" w:color="auto" w:fill="auto"/>
              <w:bidi w:val="0"/>
              <w:spacing w:before="0" w:after="100" w:line="240" w:lineRule="auto"/>
              <w:ind w:left="0" w:right="0" w:firstLine="0"/>
              <w:jc w:val="right"/>
              <w:rPr>
                <w:sz w:val="14"/>
                <w:szCs w:val="14"/>
              </w:rPr>
            </w:pPr>
            <w:r>
              <w:rPr>
                <w:rFonts w:ascii="SimHei" w:eastAsia="SimHei" w:hAnsi="SimHei" w:cs="SimHei"/>
                <w:color w:val="000000"/>
                <w:spacing w:val="0"/>
                <w:w w:val="100"/>
                <w:position w:val="0"/>
                <w:sz w:val="14"/>
                <w:szCs w:val="14"/>
              </w:rPr>
              <w:t>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0" w:lineRule="exact"/>
              <w:ind w:left="0" w:right="0" w:firstLine="0"/>
              <w:jc w:val="right"/>
              <w:rPr>
                <w:sz w:val="14"/>
                <w:szCs w:val="14"/>
              </w:rPr>
            </w:pPr>
            <w:r>
              <w:rPr>
                <w:rFonts w:ascii="SimHei" w:eastAsia="SimHei" w:hAnsi="SimHei" w:cs="SimHei"/>
                <w:color w:val="000000"/>
                <w:spacing w:val="0"/>
                <w:w w:val="100"/>
                <w:position w:val="0"/>
                <w:sz w:val="14"/>
                <w:szCs w:val="14"/>
              </w:rPr>
              <w:t>整个存卖期 预期信用 损失</w:t>
            </w:r>
            <w:r>
              <w:rPr>
                <w:rFonts w:ascii="Arial" w:eastAsia="Arial" w:hAnsi="Arial" w:cs="Arial"/>
                <w:color w:val="000000"/>
                <w:spacing w:val="0"/>
                <w:w w:val="100"/>
                <w:position w:val="0"/>
                <w:sz w:val="14"/>
                <w:szCs w:val="14"/>
              </w:rPr>
              <w:t>-</w:t>
            </w:r>
            <w:r>
              <w:rPr>
                <w:rFonts w:ascii="SimHei" w:eastAsia="SimHei" w:hAnsi="SimHei" w:cs="SimHei"/>
                <w:color w:val="000000"/>
                <w:spacing w:val="0"/>
                <w:w w:val="100"/>
                <w:position w:val="0"/>
                <w:sz w:val="14"/>
                <w:szCs w:val="14"/>
              </w:rPr>
              <w:t>未发 生 信用减值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0" w:lineRule="exact"/>
              <w:ind w:left="0" w:right="0" w:firstLine="0"/>
              <w:jc w:val="right"/>
              <w:rPr>
                <w:sz w:val="14"/>
                <w:szCs w:val="14"/>
              </w:rPr>
            </w:pPr>
            <w:r>
              <w:rPr>
                <w:rFonts w:ascii="SimHei" w:eastAsia="SimHei" w:hAnsi="SimHei" w:cs="SimHei"/>
                <w:color w:val="000000"/>
                <w:spacing w:val="0"/>
                <w:w w:val="100"/>
                <w:position w:val="0"/>
                <w:sz w:val="14"/>
                <w:szCs w:val="14"/>
              </w:rPr>
              <w:t xml:space="preserve">整个存续期 预期信用 损失 </w:t>
            </w:r>
            <w:r>
              <w:rPr>
                <w:rFonts w:ascii="Arial" w:eastAsia="Arial" w:hAnsi="Arial" w:cs="Arial"/>
                <w:color w:val="000000"/>
                <w:spacing w:val="0"/>
                <w:w w:val="100"/>
                <w:position w:val="0"/>
                <w:sz w:val="14"/>
                <w:szCs w:val="14"/>
              </w:rPr>
              <w:t xml:space="preserve">- </w:t>
            </w:r>
            <w:r>
              <w:rPr>
                <w:rFonts w:ascii="SimHei" w:eastAsia="SimHei" w:hAnsi="SimHei" w:cs="SimHei"/>
                <w:color w:val="000000"/>
                <w:spacing w:val="0"/>
                <w:w w:val="100"/>
                <w:position w:val="0"/>
                <w:sz w:val="14"/>
                <w:szCs w:val="14"/>
              </w:rPr>
              <w:t>已发 生 信用减值</w:t>
            </w:r>
          </w:p>
        </w:tc>
        <w:tc>
          <w:tcPr>
            <w:vMerge/>
            <w:tcBorders>
              <w:left w:val="single" w:sz="4"/>
            </w:tcBorders>
            <w:shd w:val="clear" w:color="auto" w:fill="FFFFFF"/>
            <w:vAlign w:val="center"/>
          </w:tcPr>
          <w:p>
            <w:pP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年初余额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430,357.35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704,247.15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1,134,604.50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953,718.18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897,838.43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1,851,556.61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(140,559.67)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140,559.67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(74,031.00)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74,031</w:t>
            </w:r>
            <w:r>
              <w:rPr>
                <w:rFonts w:ascii="Arial" w:eastAsia="Arial" w:hAnsi="Arial" w:cs="Arial"/>
                <w:color w:val="000000"/>
                <w:spacing w:val="0"/>
                <w:w w:val="100"/>
                <w:position w:val="0"/>
                <w:sz w:val="14"/>
                <w:szCs w:val="14"/>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本年计提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796,252.98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180,214.95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976,467.93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298,757.17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177,940.73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476,697.90</w:t>
            </w: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本年收回或转回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269,167.12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4"/>
                <w:szCs w:val="14"/>
              </w:rPr>
            </w:pPr>
            <w:r>
              <w:rPr>
                <w:rFonts w:ascii="Arial" w:eastAsia="Arial" w:hAnsi="Arial" w:cs="Arial"/>
                <w:color w:val="000000"/>
                <w:spacing w:val="0"/>
                <w:w w:val="100"/>
                <w:position w:val="0"/>
                <w:sz w:val="14"/>
                <w:szCs w:val="14"/>
              </w:rPr>
              <w:t>60,920.26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330,087.38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748,087.00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445,563.01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1,193,650.01</w:t>
            </w: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本年核销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(ii)</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40" w:firstLine="0"/>
              <w:jc w:val="right"/>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4"/>
                <w:szCs w:val="14"/>
              </w:rPr>
            </w:pPr>
            <w:r>
              <w:rPr>
                <w:rFonts w:ascii="Arial" w:eastAsia="Arial" w:hAnsi="Arial" w:cs="Arial"/>
                <w:color w:val="000000"/>
                <w:spacing w:val="0"/>
                <w:w w:val="100"/>
                <w:position w:val="0"/>
                <w:sz w:val="14"/>
                <w:szCs w:val="14"/>
              </w:rPr>
              <w:t>-</w:t>
            </w:r>
          </w:p>
        </w:tc>
      </w:tr>
      <w:tr>
        <w:trPr>
          <w:trHeight w:val="36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SimHei" w:eastAsia="SimHei" w:hAnsi="SimHei" w:cs="SimHei"/>
                <w:color w:val="000000"/>
                <w:spacing w:val="0"/>
                <w:w w:val="100"/>
                <w:position w:val="0"/>
                <w:sz w:val="14"/>
                <w:szCs w:val="14"/>
              </w:rPr>
              <w:t>年末余额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816,883.54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4"/>
                <w:szCs w:val="14"/>
              </w:rPr>
            </w:pPr>
            <w:r>
              <w:rPr>
                <w:rFonts w:ascii="Arial" w:eastAsia="Arial" w:hAnsi="Arial" w:cs="Arial"/>
                <w:color w:val="000000"/>
                <w:spacing w:val="0"/>
                <w:w w:val="100"/>
                <w:position w:val="0"/>
                <w:sz w:val="14"/>
                <w:szCs w:val="14"/>
              </w:rPr>
              <w:t>964,101.51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1,780,985.05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4"/>
                <w:szCs w:val="14"/>
              </w:rPr>
            </w:pPr>
            <w:r>
              <w:rPr>
                <w:rFonts w:ascii="Arial" w:eastAsia="Arial" w:hAnsi="Arial" w:cs="Arial"/>
                <w:color w:val="000000"/>
                <w:spacing w:val="0"/>
                <w:w w:val="100"/>
                <w:position w:val="0"/>
                <w:sz w:val="14"/>
                <w:szCs w:val="14"/>
              </w:rPr>
              <w:t>430,357.35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4"/>
                <w:szCs w:val="14"/>
              </w:rPr>
            </w:pPr>
            <w:r>
              <w:rPr>
                <w:rFonts w:ascii="Arial" w:eastAsia="Arial" w:hAnsi="Arial" w:cs="Arial"/>
                <w:color w:val="000000"/>
                <w:spacing w:val="0"/>
                <w:w w:val="100"/>
                <w:position w:val="0"/>
                <w:sz w:val="14"/>
                <w:szCs w:val="14"/>
              </w:rPr>
              <w:t>704,247.15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4"/>
                <w:szCs w:val="14"/>
              </w:rPr>
            </w:pPr>
            <w:r>
              <w:rPr>
                <w:rFonts w:ascii="Arial" w:eastAsia="Arial" w:hAnsi="Arial" w:cs="Arial"/>
                <w:color w:val="000000"/>
                <w:spacing w:val="0"/>
                <w:w w:val="100"/>
                <w:position w:val="0"/>
                <w:sz w:val="14"/>
                <w:szCs w:val="14"/>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4"/>
                <w:szCs w:val="14"/>
              </w:rPr>
            </w:pPr>
            <w:r>
              <w:rPr>
                <w:rFonts w:ascii="Arial" w:eastAsia="Arial" w:hAnsi="Arial" w:cs="Arial"/>
                <w:color w:val="000000"/>
                <w:spacing w:val="0"/>
                <w:w w:val="100"/>
                <w:position w:val="0"/>
                <w:sz w:val="14"/>
                <w:szCs w:val="14"/>
              </w:rPr>
              <w:t>1,134,604.50</w:t>
            </w:r>
          </w:p>
        </w:tc>
      </w:tr>
    </w:tbl>
    <w:p>
      <w:pPr>
        <w:widowControl w:val="0"/>
        <w:spacing w:after="399" w:line="1" w:lineRule="exact"/>
      </w:pPr>
    </w:p>
    <w:p>
      <w:pPr>
        <w:pStyle w:val="Style21"/>
        <w:keepNext w:val="0"/>
        <w:keepLines w:val="0"/>
        <w:widowControl w:val="0"/>
        <w:numPr>
          <w:ilvl w:val="0"/>
          <w:numId w:val="51"/>
        </w:numPr>
        <w:shd w:val="clear" w:color="auto" w:fill="auto"/>
        <w:tabs>
          <w:tab w:pos="538" w:val="left"/>
        </w:tabs>
        <w:bidi w:val="0"/>
        <w:spacing w:before="0" w:after="40" w:line="240" w:lineRule="auto"/>
        <w:ind w:left="0" w:right="0" w:firstLine="0"/>
        <w:jc w:val="left"/>
      </w:pPr>
      <w:bookmarkStart w:id="1127" w:name="bookmark1127"/>
      <w:bookmarkEnd w:id="1127"/>
      <w:r>
        <w:rPr>
          <w:color w:val="000000"/>
          <w:spacing w:val="0"/>
          <w:w w:val="100"/>
          <w:position w:val="0"/>
        </w:rPr>
        <w:t>本年无金额重大的其他应收款坏账准备收回或转回。</w:t>
      </w:r>
    </w:p>
    <w:p>
      <w:pPr>
        <w:pStyle w:val="Style21"/>
        <w:keepNext w:val="0"/>
        <w:keepLines w:val="0"/>
        <w:widowControl w:val="0"/>
        <w:numPr>
          <w:ilvl w:val="0"/>
          <w:numId w:val="51"/>
        </w:numPr>
        <w:shd w:val="clear" w:color="auto" w:fill="auto"/>
        <w:tabs>
          <w:tab w:pos="538" w:val="left"/>
        </w:tabs>
        <w:bidi w:val="0"/>
        <w:spacing w:before="0" w:after="360" w:line="240" w:lineRule="auto"/>
        <w:ind w:left="0" w:right="0" w:firstLine="0"/>
        <w:jc w:val="left"/>
      </w:pPr>
      <w:bookmarkStart w:id="1128" w:name="bookmark1128"/>
      <w:bookmarkEnd w:id="1128"/>
      <w:r>
        <w:rPr>
          <w:color w:val="000000"/>
          <w:spacing w:val="0"/>
          <w:w w:val="100"/>
          <w:position w:val="0"/>
        </w:rPr>
        <w:t>本年无金额重大的其他应收款核销。</w:t>
      </w:r>
    </w:p>
    <w:p>
      <w:pPr>
        <w:pStyle w:val="Style21"/>
        <w:keepNext w:val="0"/>
        <w:keepLines w:val="0"/>
        <w:widowControl w:val="0"/>
        <w:shd w:val="clear" w:color="auto" w:fill="auto"/>
        <w:bidi w:val="0"/>
        <w:spacing w:before="0" w:after="1060" w:line="240" w:lineRule="auto"/>
        <w:ind w:left="0" w:right="0" w:firstLine="0"/>
        <w:jc w:val="left"/>
      </w:pPr>
      <w:r>
        <w:rPr>
          <w:b/>
          <w:bCs/>
          <w:color w:val="000000"/>
          <w:spacing w:val="0"/>
          <w:w w:val="100"/>
          <w:position w:val="0"/>
          <w:sz w:val="16"/>
          <w:szCs w:val="16"/>
        </w:rPr>
        <w:t>(4)</w:t>
      </w:r>
      <w:r>
        <w:rPr>
          <w:b/>
          <w:bCs/>
          <w:color w:val="000000"/>
          <w:spacing w:val="0"/>
          <w:w w:val="100"/>
          <w:position w:val="0"/>
        </w:rPr>
        <w:t>按款项性质分类情况</w:t>
      </w:r>
    </w:p>
    <w:tbl>
      <w:tblPr>
        <w:tblOverlap w:val="never"/>
        <w:jc w:val="center"/>
        <w:tblLayout w:type="fixed"/>
      </w:tblPr>
      <w:tblGrid>
        <w:gridCol w:w="5261"/>
        <w:gridCol w:w="1987"/>
        <w:gridCol w:w="2016"/>
      </w:tblGrid>
      <w:tr>
        <w:trPr>
          <w:trHeight w:val="41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股权收购意向金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3, 789, </w:t>
            </w:r>
            <w:r>
              <w:rPr>
                <w:color w:val="000000"/>
                <w:spacing w:val="0"/>
                <w:w w:val="100"/>
                <w:position w:val="0"/>
                <w:sz w:val="16"/>
                <w:szCs w:val="16"/>
              </w:rPr>
              <w:t xml:space="preserve">494.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3,627, </w:t>
            </w:r>
            <w:r>
              <w:rPr>
                <w:color w:val="000000"/>
                <w:spacing w:val="0"/>
                <w:w w:val="100"/>
                <w:position w:val="0"/>
                <w:sz w:val="16"/>
                <w:szCs w:val="16"/>
              </w:rPr>
              <w:t>053.41</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1,345,830.00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1,442, </w:t>
            </w:r>
            <w:r>
              <w:rPr>
                <w:color w:val="000000"/>
                <w:spacing w:val="0"/>
                <w:w w:val="100"/>
                <w:position w:val="0"/>
                <w:sz w:val="16"/>
                <w:szCs w:val="16"/>
              </w:rPr>
              <w:t xml:space="preserve">996. </w:t>
            </w:r>
            <w:r>
              <w:rPr>
                <w:color w:val="000000"/>
                <w:spacing w:val="0"/>
                <w:w w:val="100"/>
                <w:position w:val="0"/>
                <w:sz w:val="16"/>
                <w:szCs w:val="16"/>
              </w:rPr>
              <w:t>00</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927, </w:t>
            </w:r>
            <w:r>
              <w:rPr>
                <w:color w:val="000000"/>
                <w:spacing w:val="0"/>
                <w:w w:val="100"/>
                <w:position w:val="0"/>
                <w:sz w:val="16"/>
                <w:szCs w:val="16"/>
              </w:rPr>
              <w:t xml:space="preserve">626.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364, </w:t>
            </w:r>
            <w:r>
              <w:rPr>
                <w:color w:val="000000"/>
                <w:spacing w:val="0"/>
                <w:w w:val="100"/>
                <w:position w:val="0"/>
                <w:sz w:val="16"/>
                <w:szCs w:val="16"/>
              </w:rPr>
              <w:t xml:space="preserve">143. </w:t>
            </w:r>
            <w:r>
              <w:rPr>
                <w:color w:val="000000"/>
                <w:spacing w:val="0"/>
                <w:w w:val="100"/>
                <w:position w:val="0"/>
                <w:sz w:val="16"/>
                <w:szCs w:val="16"/>
              </w:rPr>
              <w:t>47</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3,308, </w:t>
            </w:r>
            <w:r>
              <w:rPr>
                <w:color w:val="000000"/>
                <w:spacing w:val="0"/>
                <w:w w:val="100"/>
                <w:position w:val="0"/>
                <w:sz w:val="16"/>
                <w:szCs w:val="16"/>
              </w:rPr>
              <w:t>179.09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3,641,598.37</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13,371,130.58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14, </w:t>
            </w:r>
            <w:r>
              <w:rPr>
                <w:color w:val="000000"/>
                <w:spacing w:val="0"/>
                <w:w w:val="100"/>
                <w:position w:val="0"/>
                <w:sz w:val="16"/>
                <w:szCs w:val="16"/>
              </w:rPr>
              <w:t>075,791.25</w:t>
            </w:r>
          </w:p>
        </w:tc>
      </w:tr>
      <w:tr>
        <w:trPr>
          <w:trHeight w:val="39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1,780, </w:t>
            </w:r>
            <w:r>
              <w:rPr>
                <w:color w:val="000000"/>
                <w:spacing w:val="0"/>
                <w:w w:val="100"/>
                <w:position w:val="0"/>
                <w:sz w:val="16"/>
                <w:szCs w:val="16"/>
              </w:rPr>
              <w:t xml:space="preserve">985.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1, 134, </w:t>
            </w:r>
            <w:r>
              <w:rPr>
                <w:color w:val="000000"/>
                <w:spacing w:val="0"/>
                <w:w w:val="100"/>
                <w:position w:val="0"/>
                <w:sz w:val="16"/>
                <w:szCs w:val="16"/>
              </w:rPr>
              <w:t xml:space="preserve">604. </w:t>
            </w:r>
            <w:r>
              <w:rPr>
                <w:color w:val="000000"/>
                <w:spacing w:val="0"/>
                <w:w w:val="100"/>
                <w:position w:val="0"/>
                <w:sz w:val="16"/>
                <w:szCs w:val="16"/>
              </w:rPr>
              <w:t>50</w:t>
            </w:r>
          </w:p>
        </w:tc>
      </w:tr>
      <w:tr>
        <w:trPr>
          <w:trHeight w:val="36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11,590,145.53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2,941,186.75</w:t>
            </w:r>
          </w:p>
        </w:tc>
      </w:tr>
    </w:tbl>
    <w:p>
      <w:pPr>
        <w:sectPr>
          <w:headerReference w:type="default" r:id="rId245"/>
          <w:footerReference w:type="default" r:id="rId246"/>
          <w:headerReference w:type="even" r:id="rId247"/>
          <w:footerReference w:type="even" r:id="rId248"/>
          <w:headerReference w:type="first" r:id="rId249"/>
          <w:footerReference w:type="first" r:id="rId250"/>
          <w:footnotePr>
            <w:pos w:val="pageBottom"/>
            <w:numFmt w:val="decimal"/>
            <w:numRestart w:val="continuous"/>
          </w:footnotePr>
          <w:pgSz w:w="11900" w:h="16840"/>
          <w:pgMar w:top="1534" w:right="980" w:bottom="1367" w:left="1003" w:header="0" w:footer="3" w:gutter="0"/>
          <w:cols w:space="720"/>
          <w:noEndnote/>
          <w:titlePg/>
          <w:rtlGutter w:val="0"/>
          <w:docGrid w:linePitch="360"/>
        </w:sectPr>
      </w:pPr>
    </w:p>
    <w:p>
      <w:pPr>
        <w:pStyle w:val="Style21"/>
        <w:keepNext w:val="0"/>
        <w:keepLines w:val="0"/>
        <w:widowControl w:val="0"/>
        <w:shd w:val="clear" w:color="auto" w:fill="auto"/>
        <w:bidi w:val="0"/>
        <w:spacing w:before="0" w:after="340" w:line="240" w:lineRule="auto"/>
        <w:ind w:left="0" w:right="0" w:firstLine="0"/>
        <w:jc w:val="left"/>
      </w:pPr>
      <w:r>
        <w:rPr>
          <w:b/>
          <w:bCs/>
          <w:color w:val="000000"/>
          <w:spacing w:val="0"/>
          <w:w w:val="100"/>
          <w:position w:val="0"/>
          <w:sz w:val="16"/>
          <w:szCs w:val="16"/>
        </w:rPr>
        <w:t>(5)</w:t>
      </w:r>
      <w:r>
        <w:rPr>
          <w:b/>
          <w:bCs/>
          <w:color w:val="000000"/>
          <w:spacing w:val="0"/>
          <w:w w:val="100"/>
          <w:position w:val="0"/>
        </w:rPr>
        <w:t>按欠款方归集的年末余额前五名的情况</w:t>
      </w:r>
    </w:p>
    <w:tbl>
      <w:tblPr>
        <w:tblOverlap w:val="never"/>
        <w:jc w:val="center"/>
        <w:tblLayout w:type="fixed"/>
      </w:tblPr>
      <w:tblGrid>
        <w:gridCol w:w="2030"/>
        <w:gridCol w:w="1901"/>
        <w:gridCol w:w="1277"/>
        <w:gridCol w:w="994"/>
        <w:gridCol w:w="1512"/>
        <w:gridCol w:w="1550"/>
      </w:tblGrid>
      <w:tr>
        <w:trPr>
          <w:trHeight w:val="89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占年末余额 合计数的 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p>
            <w:pPr>
              <w:pStyle w:val="Style27"/>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年末余额</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股权收购意向金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1 - 2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349, </w:t>
            </w:r>
            <w:r>
              <w:rPr>
                <w:color w:val="000000"/>
                <w:spacing w:val="0"/>
                <w:w w:val="100"/>
                <w:position w:val="0"/>
                <w:sz w:val="16"/>
                <w:szCs w:val="16"/>
              </w:rPr>
              <w:t xml:space="preserve">035. </w:t>
            </w:r>
            <w:r>
              <w:rPr>
                <w:color w:val="000000"/>
                <w:spacing w:val="0"/>
                <w:w w:val="100"/>
                <w:position w:val="0"/>
                <w:sz w:val="16"/>
                <w:szCs w:val="16"/>
              </w:rPr>
              <w:t>32</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815,009.88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192, </w:t>
            </w:r>
            <w:r>
              <w:rPr>
                <w:color w:val="000000"/>
                <w:spacing w:val="0"/>
                <w:w w:val="100"/>
                <w:position w:val="0"/>
                <w:sz w:val="16"/>
                <w:szCs w:val="16"/>
              </w:rPr>
              <w:t xml:space="preserve">929. </w:t>
            </w:r>
            <w:r>
              <w:rPr>
                <w:color w:val="000000"/>
                <w:spacing w:val="0"/>
                <w:w w:val="100"/>
                <w:position w:val="0"/>
                <w:sz w:val="16"/>
                <w:szCs w:val="16"/>
              </w:rPr>
              <w:t>94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633, </w:t>
            </w:r>
            <w:r>
              <w:rPr>
                <w:color w:val="000000"/>
                <w:spacing w:val="0"/>
                <w:w w:val="100"/>
                <w:position w:val="0"/>
                <w:sz w:val="16"/>
                <w:szCs w:val="16"/>
              </w:rPr>
              <w:t>113.</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3 - 4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223,573.21</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1 - 2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17,451.77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159, </w:t>
            </w:r>
            <w:r>
              <w:rPr>
                <w:color w:val="000000"/>
                <w:spacing w:val="0"/>
                <w:w w:val="100"/>
                <w:position w:val="0"/>
                <w:sz w:val="16"/>
                <w:szCs w:val="16"/>
              </w:rPr>
              <w:t xml:space="preserve">700.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 </w:t>
            </w:r>
            <w:r>
              <w:rPr>
                <w:color w:val="000000"/>
                <w:spacing w:val="0"/>
                <w:w w:val="100"/>
                <w:position w:val="0"/>
                <w:sz w:val="16"/>
                <w:szCs w:val="16"/>
              </w:rPr>
              <w:t>681.45</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5,807,822.88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43.44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793, </w:t>
            </w:r>
            <w:r>
              <w:rPr>
                <w:color w:val="000000"/>
                <w:spacing w:val="0"/>
                <w:w w:val="100"/>
                <w:position w:val="0"/>
                <w:sz w:val="16"/>
                <w:szCs w:val="16"/>
              </w:rPr>
              <w:t xml:space="preserve">671. </w:t>
            </w:r>
            <w:r>
              <w:rPr>
                <w:color w:val="000000"/>
                <w:spacing w:val="0"/>
                <w:w w:val="100"/>
                <w:position w:val="0"/>
                <w:sz w:val="16"/>
                <w:szCs w:val="16"/>
              </w:rPr>
              <w:t>69</w:t>
            </w:r>
          </w:p>
        </w:tc>
      </w:tr>
    </w:tbl>
    <w:p>
      <w:pPr>
        <w:widowControl w:val="0"/>
        <w:spacing w:after="339" w:line="1" w:lineRule="exact"/>
      </w:pPr>
    </w:p>
    <w:p>
      <w:pPr>
        <w:pStyle w:val="Style21"/>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sz w:val="16"/>
          <w:szCs w:val="16"/>
        </w:rPr>
        <w:t>(6)</w:t>
      </w:r>
      <w:r>
        <w:rPr>
          <w:b/>
          <w:bCs/>
          <w:color w:val="000000"/>
          <w:spacing w:val="0"/>
          <w:w w:val="100"/>
          <w:position w:val="0"/>
        </w:rPr>
        <w:t>本期无因金融资产转移而予以终止确认的其他应收款项的情况。</w:t>
      </w:r>
    </w:p>
    <w:p>
      <w:pPr>
        <w:pStyle w:val="Style21"/>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sz w:val="16"/>
          <w:szCs w:val="16"/>
        </w:rPr>
        <w:t>(7)</w:t>
      </w:r>
      <w:r>
        <w:rPr>
          <w:b/>
          <w:bCs/>
          <w:color w:val="000000"/>
          <w:spacing w:val="0"/>
          <w:w w:val="100"/>
          <w:position w:val="0"/>
        </w:rPr>
        <w:t>本期无转移其他应收款项且继续涉入形成的资产、负债的金额。</w:t>
      </w:r>
    </w:p>
    <w:p>
      <w:pPr>
        <w:pStyle w:val="Style34"/>
        <w:keepNext/>
        <w:keepLines/>
        <w:widowControl w:val="0"/>
        <w:shd w:val="clear" w:color="auto" w:fill="auto"/>
        <w:bidi w:val="0"/>
        <w:spacing w:before="0" w:after="400" w:line="240" w:lineRule="auto"/>
        <w:ind w:left="0" w:right="0" w:firstLine="0"/>
        <w:jc w:val="left"/>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7</w:t>
      </w:r>
      <w:bookmarkEnd w:id="1131"/>
      <w:r>
        <w:rPr>
          <w:color w:val="000000"/>
          <w:spacing w:val="0"/>
          <w:w w:val="100"/>
          <w:position w:val="0"/>
        </w:rPr>
        <w:t>、存货</w:t>
      </w:r>
      <w:bookmarkEnd w:id="1129"/>
      <w:bookmarkEnd w:id="1130"/>
      <w:bookmarkEnd w:id="1132"/>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否</w:t>
      </w:r>
    </w:p>
    <w:p>
      <w:pPr>
        <w:pStyle w:val="Style34"/>
        <w:keepNext/>
        <w:keepLines/>
        <w:widowControl w:val="0"/>
        <w:numPr>
          <w:ilvl w:val="0"/>
          <w:numId w:val="53"/>
        </w:numPr>
        <w:shd w:val="clear" w:color="auto" w:fill="auto"/>
        <w:bidi w:val="0"/>
        <w:spacing w:before="0" w:after="340" w:line="240" w:lineRule="auto"/>
        <w:ind w:left="0" w:right="0" w:firstLine="140"/>
        <w:jc w:val="left"/>
      </w:pPr>
      <w:bookmarkStart w:id="1133" w:name="bookmark1133"/>
      <w:bookmarkStart w:id="1134" w:name="bookmark1134"/>
      <w:bookmarkStart w:id="1135" w:name="bookmark1135"/>
      <w:bookmarkStart w:id="1136" w:name="bookmark1136"/>
      <w:bookmarkEnd w:id="1135"/>
      <w:r>
        <w:rPr>
          <w:color w:val="000000"/>
          <w:spacing w:val="0"/>
          <w:w w:val="100"/>
          <w:position w:val="0"/>
        </w:rPr>
        <w:t>存货分类</w:t>
      </w:r>
      <w:bookmarkEnd w:id="1133"/>
      <w:bookmarkEnd w:id="1134"/>
      <w:bookmarkEnd w:id="1136"/>
    </w:p>
    <w:p>
      <w:pPr>
        <w:pStyle w:val="Style37"/>
        <w:keepNext w:val="0"/>
        <w:keepLines w:val="0"/>
        <w:widowControl w:val="0"/>
        <w:shd w:val="clear" w:color="auto" w:fill="auto"/>
        <w:bidi w:val="0"/>
        <w:spacing w:before="0" w:after="0" w:line="240" w:lineRule="auto"/>
        <w:ind w:left="8414" w:right="0" w:firstLine="0"/>
        <w:jc w:val="left"/>
      </w:pPr>
      <w:r>
        <w:rPr>
          <w:color w:val="000000"/>
          <w:spacing w:val="0"/>
          <w:w w:val="100"/>
          <w:position w:val="0"/>
        </w:rPr>
        <w:t>单位：元</w:t>
      </w:r>
    </w:p>
    <w:tbl>
      <w:tblPr>
        <w:tblOverlap w:val="never"/>
        <w:jc w:val="center"/>
        <w:tblLayout w:type="fixed"/>
      </w:tblPr>
      <w:tblGrid>
        <w:gridCol w:w="1469"/>
        <w:gridCol w:w="1296"/>
        <w:gridCol w:w="1296"/>
        <w:gridCol w:w="1291"/>
        <w:gridCol w:w="1291"/>
        <w:gridCol w:w="1296"/>
        <w:gridCol w:w="1325"/>
      </w:tblGrid>
      <w:tr>
        <w:trPr>
          <w:trHeight w:val="394"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存货种类</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 xml:space="preserve">2020 </w:t>
            </w:r>
            <w:r>
              <w:rPr>
                <w:rFonts w:ascii="SimHei" w:eastAsia="SimHei" w:hAnsi="SimHei" w:cs="SimHei"/>
                <w:color w:val="000000"/>
                <w:spacing w:val="0"/>
                <w:w w:val="100"/>
                <w:position w:val="0"/>
                <w:sz w:val="16"/>
                <w:szCs w:val="16"/>
              </w:rPr>
              <w:t>年</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rPr>
              <w:t xml:space="preserve">2019 </w:t>
            </w:r>
            <w:r>
              <w:rPr>
                <w:rFonts w:ascii="SimHei" w:eastAsia="SimHei" w:hAnsi="SimHei" w:cs="SimHei"/>
                <w:color w:val="000000"/>
                <w:spacing w:val="0"/>
                <w:w w:val="100"/>
                <w:position w:val="0"/>
                <w:sz w:val="16"/>
                <w:szCs w:val="16"/>
              </w:rPr>
              <w:t>年</w:t>
            </w:r>
          </w:p>
        </w:tc>
      </w:tr>
      <w:tr>
        <w:trPr>
          <w:trHeight w:val="36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SimHei" w:eastAsia="SimHei" w:hAnsi="SimHei" w:cs="SimHei"/>
                <w:color w:val="000000"/>
                <w:spacing w:val="0"/>
                <w:w w:val="100"/>
                <w:position w:val="0"/>
                <w:sz w:val="16"/>
                <w:szCs w:val="16"/>
              </w:rPr>
              <w:t>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rFonts w:ascii="SimHei" w:eastAsia="SimHei" w:hAnsi="SimHei" w:cs="SimHei"/>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6"/>
                <w:szCs w:val="16"/>
              </w:rPr>
            </w:pPr>
            <w:r>
              <w:rPr>
                <w:rFonts w:ascii="SimHei" w:eastAsia="SimHei" w:hAnsi="SimHei" w:cs="SimHei"/>
                <w:color w:val="000000"/>
                <w:spacing w:val="0"/>
                <w:w w:val="100"/>
                <w:position w:val="0"/>
                <w:sz w:val="16"/>
                <w:szCs w:val="16"/>
              </w:rPr>
              <w:t>存货跌价准备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账面价值</w:t>
            </w:r>
          </w:p>
        </w:tc>
      </w:tr>
      <w:tr>
        <w:trPr>
          <w:trHeight w:val="398"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rFonts w:ascii="SimHei" w:eastAsia="SimHei" w:hAnsi="SimHei" w:cs="SimHei"/>
                <w:color w:val="000000"/>
                <w:spacing w:val="0"/>
                <w:w w:val="100"/>
                <w:position w:val="0"/>
                <w:sz w:val="16"/>
                <w:szCs w:val="16"/>
              </w:rPr>
              <w:t>库存商品</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rFonts w:ascii="Arial" w:eastAsia="Arial" w:hAnsi="Arial" w:cs="Arial"/>
                <w:color w:val="000000"/>
                <w:spacing w:val="0"/>
                <w:w w:val="100"/>
                <w:position w:val="0"/>
                <w:sz w:val="16"/>
                <w:szCs w:val="16"/>
              </w:rPr>
              <w:t>102,552.40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102,552.40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70,916.15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00"/>
              <w:jc w:val="left"/>
              <w:rPr>
                <w:sz w:val="16"/>
                <w:szCs w:val="16"/>
              </w:rPr>
            </w:pPr>
            <w:r>
              <w:rPr>
                <w:rFonts w:ascii="Arial" w:eastAsia="Arial" w:hAnsi="Arial" w:cs="Arial"/>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70,916.15</w:t>
            </w:r>
          </w:p>
        </w:tc>
      </w:tr>
    </w:tbl>
    <w:p>
      <w:pPr>
        <w:widowControl w:val="0"/>
        <w:spacing w:after="659" w:line="1" w:lineRule="exact"/>
      </w:pPr>
    </w:p>
    <w:p>
      <w:pPr>
        <w:pStyle w:val="Style34"/>
        <w:keepNext/>
        <w:keepLines/>
        <w:widowControl w:val="0"/>
        <w:shd w:val="clear" w:color="auto" w:fill="auto"/>
        <w:bidi w:val="0"/>
        <w:spacing w:before="0" w:after="400" w:line="240" w:lineRule="auto"/>
        <w:ind w:left="0" w:right="0" w:firstLine="0"/>
        <w:jc w:val="left"/>
      </w:pPr>
      <w:bookmarkStart w:id="1137" w:name="bookmark1137"/>
      <w:bookmarkStart w:id="1138" w:name="bookmark1138"/>
      <w:bookmarkStart w:id="1139" w:name="bookmark1139"/>
      <w:bookmarkStart w:id="1140" w:name="bookmark1140"/>
      <w:r>
        <w:rPr>
          <w:rFonts w:ascii="Times New Roman" w:eastAsia="Times New Roman" w:hAnsi="Times New Roman" w:cs="Times New Roman"/>
          <w:color w:val="000000"/>
          <w:spacing w:val="0"/>
          <w:w w:val="100"/>
          <w:position w:val="0"/>
        </w:rPr>
        <w:t>8</w:t>
      </w:r>
      <w:bookmarkEnd w:id="1139"/>
      <w:r>
        <w:rPr>
          <w:color w:val="000000"/>
          <w:spacing w:val="0"/>
          <w:w w:val="100"/>
          <w:position w:val="0"/>
        </w:rPr>
        <w:t>、合同资产</w:t>
      </w:r>
      <w:bookmarkEnd w:id="1137"/>
      <w:bookmarkEnd w:id="1138"/>
      <w:bookmarkEnd w:id="1140"/>
    </w:p>
    <w:p>
      <w:pPr>
        <w:pStyle w:val="Style34"/>
        <w:keepNext/>
        <w:keepLines/>
        <w:widowControl w:val="0"/>
        <w:numPr>
          <w:ilvl w:val="0"/>
          <w:numId w:val="55"/>
        </w:numPr>
        <w:shd w:val="clear" w:color="auto" w:fill="auto"/>
        <w:bidi w:val="0"/>
        <w:spacing w:before="0" w:after="340" w:line="240" w:lineRule="auto"/>
        <w:ind w:left="0" w:right="0" w:firstLine="140"/>
        <w:jc w:val="left"/>
      </w:pPr>
      <w:bookmarkStart w:id="1137" w:name="bookmark1137"/>
      <w:bookmarkStart w:id="1138" w:name="bookmark1138"/>
      <w:bookmarkStart w:id="1141" w:name="bookmark1141"/>
      <w:bookmarkStart w:id="1142" w:name="bookmark1142"/>
      <w:bookmarkEnd w:id="1141"/>
      <w:r>
        <w:rPr>
          <w:color w:val="000000"/>
          <w:spacing w:val="0"/>
          <w:w w:val="100"/>
          <w:position w:val="0"/>
        </w:rPr>
        <w:t>合同资产按性质分析如下:</w:t>
      </w:r>
      <w:bookmarkEnd w:id="1137"/>
      <w:bookmarkEnd w:id="1138"/>
      <w:bookmarkEnd w:id="1142"/>
    </w:p>
    <w:tbl>
      <w:tblPr>
        <w:tblOverlap w:val="never"/>
        <w:jc w:val="center"/>
        <w:tblLayout w:type="fixed"/>
      </w:tblPr>
      <w:tblGrid>
        <w:gridCol w:w="4584"/>
        <w:gridCol w:w="2549"/>
        <w:gridCol w:w="2131"/>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提供服务产生的合同资产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77,105,352.91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 xml:space="preserve">53,513,391. </w:t>
            </w:r>
            <w:r>
              <w:rPr>
                <w:color w:val="000000"/>
                <w:spacing w:val="0"/>
                <w:w w:val="100"/>
                <w:position w:val="0"/>
                <w:sz w:val="16"/>
                <w:szCs w:val="16"/>
              </w:rPr>
              <w:t>17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626,321.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3, 029, </w:t>
            </w:r>
            <w:r>
              <w:rPr>
                <w:color w:val="000000"/>
                <w:spacing w:val="0"/>
                <w:w w:val="100"/>
                <w:position w:val="0"/>
                <w:sz w:val="16"/>
                <w:szCs w:val="16"/>
              </w:rPr>
              <w:t xml:space="preserve">059. </w:t>
            </w:r>
            <w:r>
              <w:rPr>
                <w:color w:val="000000"/>
                <w:spacing w:val="0"/>
                <w:w w:val="100"/>
                <w:position w:val="0"/>
                <w:sz w:val="16"/>
                <w:szCs w:val="16"/>
              </w:rPr>
              <w:t>87</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72,479, </w:t>
            </w:r>
            <w:r>
              <w:rPr>
                <w:color w:val="000000"/>
                <w:spacing w:val="0"/>
                <w:w w:val="100"/>
                <w:position w:val="0"/>
                <w:sz w:val="16"/>
                <w:szCs w:val="16"/>
              </w:rPr>
              <w:t xml:space="preserve">031.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50,484,331.30</w:t>
            </w:r>
          </w:p>
        </w:tc>
      </w:tr>
    </w:tbl>
    <w:p>
      <w:pPr>
        <w:pStyle w:val="Style37"/>
        <w:keepNext w:val="0"/>
        <w:keepLines w:val="0"/>
        <w:widowControl w:val="0"/>
        <w:shd w:val="clear" w:color="auto" w:fill="auto"/>
        <w:bidi w:val="0"/>
        <w:spacing w:before="0" w:after="0" w:line="230" w:lineRule="exact"/>
        <w:ind w:left="29" w:right="0" w:firstLine="0"/>
        <w:jc w:val="left"/>
      </w:pPr>
      <w:r>
        <w:rPr>
          <w:color w:val="000000"/>
          <w:spacing w:val="0"/>
          <w:w w:val="100"/>
          <w:position w:val="0"/>
        </w:rPr>
        <w:t>本集团的合同资产主要涉及在资产负债表日本集团与不同客户的服务合同。本集团根据合同约定履行服务义务，并按约定 收取款项。当本集团取得该无条件收取对价的权利时，合同资产将转为应收账款。</w:t>
      </w:r>
    </w:p>
    <w:p>
      <w:pPr>
        <w:widowControl w:val="0"/>
        <w:spacing w:after="399" w:line="1" w:lineRule="exact"/>
      </w:pPr>
    </w:p>
    <w:p>
      <w:pPr>
        <w:pStyle w:val="Style34"/>
        <w:keepNext/>
        <w:keepLines/>
        <w:widowControl w:val="0"/>
        <w:numPr>
          <w:ilvl w:val="0"/>
          <w:numId w:val="55"/>
        </w:numPr>
        <w:shd w:val="clear" w:color="auto" w:fill="auto"/>
        <w:bidi w:val="0"/>
        <w:spacing w:before="0" w:after="400" w:line="240" w:lineRule="auto"/>
        <w:ind w:left="0" w:right="0" w:firstLine="0"/>
        <w:jc w:val="left"/>
      </w:pPr>
      <w:bookmarkStart w:id="1143" w:name="bookmark1143"/>
      <w:bookmarkStart w:id="1144" w:name="bookmark1144"/>
      <w:bookmarkStart w:id="1145" w:name="bookmark1145"/>
      <w:bookmarkStart w:id="1146" w:name="bookmark1146"/>
      <w:bookmarkEnd w:id="1145"/>
      <w:r>
        <w:rPr>
          <w:color w:val="000000"/>
          <w:spacing w:val="0"/>
          <w:w w:val="100"/>
          <w:position w:val="0"/>
        </w:rPr>
        <w:t>合同资产原值本年的重大变动：</w:t>
      </w:r>
      <w:bookmarkEnd w:id="1143"/>
      <w:bookmarkEnd w:id="1144"/>
      <w:bookmarkEnd w:id="1146"/>
    </w:p>
    <w:p>
      <w:pPr>
        <w:pStyle w:val="Style21"/>
        <w:keepNext w:val="0"/>
        <w:keepLines w:val="0"/>
        <w:widowControl w:val="0"/>
        <w:shd w:val="clear" w:color="auto" w:fill="auto"/>
        <w:tabs>
          <w:tab w:pos="4267" w:val="left"/>
        </w:tabs>
        <w:bidi w:val="0"/>
        <w:spacing w:before="0" w:after="400" w:line="240" w:lineRule="auto"/>
        <w:ind w:left="0" w:right="0" w:firstLine="0"/>
        <w:jc w:val="center"/>
      </w:pPr>
      <w:bookmarkStart w:id="1147" w:name="bookmark1147"/>
      <w:r>
        <w:rPr>
          <w:color w:val="000000"/>
          <w:spacing w:val="0"/>
          <w:w w:val="100"/>
          <w:position w:val="0"/>
        </w:rPr>
        <w:t>项</w:t>
      </w:r>
      <w:bookmarkEnd w:id="1147"/>
      <w:r>
        <w:rPr>
          <w:color w:val="000000"/>
          <w:spacing w:val="0"/>
          <w:w w:val="100"/>
          <w:position w:val="0"/>
        </w:rPr>
        <w:t>目</w:t>
        <w:tab/>
        <w:t>变动金额</w:t>
      </w:r>
      <w:r>
        <w:br w:type="page"/>
      </w:r>
    </w:p>
    <w:tbl>
      <w:tblPr>
        <w:tblOverlap w:val="never"/>
        <w:jc w:val="center"/>
        <w:tblLayout w:type="fixed"/>
      </w:tblPr>
      <w:tblGrid>
        <w:gridCol w:w="4651"/>
        <w:gridCol w:w="5112"/>
      </w:tblGrid>
      <w:tr>
        <w:trPr>
          <w:trHeight w:val="34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原收入准则下的年初余额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960" w:firstLine="0"/>
              <w:jc w:val="right"/>
              <w:rPr>
                <w:sz w:val="16"/>
                <w:szCs w:val="16"/>
              </w:rPr>
            </w:pPr>
            <w:r>
              <w:rPr>
                <w:color w:val="000000"/>
                <w:spacing w:val="0"/>
                <w:w w:val="100"/>
                <w:position w:val="0"/>
                <w:sz w:val="16"/>
                <w:szCs w:val="16"/>
              </w:rPr>
              <w:t>-</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首次执行新收入准则的调整金额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6"/>
                <w:szCs w:val="16"/>
              </w:rPr>
            </w:pPr>
            <w:r>
              <w:rPr>
                <w:color w:val="000000"/>
                <w:spacing w:val="0"/>
                <w:w w:val="100"/>
                <w:position w:val="0"/>
                <w:sz w:val="16"/>
                <w:szCs w:val="16"/>
              </w:rPr>
              <w:t xml:space="preserve">53,513,391. </w:t>
            </w:r>
            <w:r>
              <w:rPr>
                <w:color w:val="000000"/>
                <w:spacing w:val="0"/>
                <w:w w:val="100"/>
                <w:position w:val="0"/>
                <w:sz w:val="16"/>
                <w:szCs w:val="16"/>
              </w:rPr>
              <w:t>17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调整后的年初余额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6"/>
                <w:szCs w:val="16"/>
              </w:rPr>
            </w:pPr>
            <w:r>
              <w:rPr>
                <w:color w:val="000000"/>
                <w:spacing w:val="0"/>
                <w:w w:val="100"/>
                <w:position w:val="0"/>
                <w:sz w:val="16"/>
                <w:szCs w:val="16"/>
              </w:rPr>
              <w:t xml:space="preserve">53,513,391. </w:t>
            </w:r>
            <w:r>
              <w:rPr>
                <w:color w:val="000000"/>
                <w:spacing w:val="0"/>
                <w:w w:val="100"/>
                <w:position w:val="0"/>
                <w:sz w:val="16"/>
                <w:szCs w:val="16"/>
              </w:rPr>
              <w:t>17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从年初确认的合同资产于本年结算并收款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6"/>
                <w:szCs w:val="16"/>
              </w:rPr>
            </w:pPr>
            <w:r>
              <w:rPr>
                <w:color w:val="000000"/>
                <w:spacing w:val="0"/>
                <w:w w:val="100"/>
                <w:position w:val="0"/>
                <w:sz w:val="16"/>
                <w:szCs w:val="16"/>
              </w:rPr>
              <w:t xml:space="preserve">(1,246, </w:t>
            </w:r>
            <w:r>
              <w:rPr>
                <w:color w:val="000000"/>
                <w:spacing w:val="0"/>
                <w:w w:val="100"/>
                <w:position w:val="0"/>
                <w:sz w:val="16"/>
                <w:szCs w:val="16"/>
              </w:rPr>
              <w:t xml:space="preserve">000. </w:t>
            </w:r>
            <w:r>
              <w:rPr>
                <w:color w:val="000000"/>
                <w:spacing w:val="0"/>
                <w:w w:val="100"/>
                <w:position w:val="0"/>
                <w:sz w:val="16"/>
                <w:szCs w:val="16"/>
              </w:rPr>
              <w:t>00)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由于履约进度计量的变化而增加的金额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6"/>
                <w:szCs w:val="16"/>
              </w:rPr>
            </w:pPr>
            <w:r>
              <w:rPr>
                <w:color w:val="000000"/>
                <w:spacing w:val="0"/>
                <w:w w:val="100"/>
                <w:position w:val="0"/>
                <w:sz w:val="16"/>
                <w:szCs w:val="16"/>
              </w:rPr>
              <w:t xml:space="preserve">24, </w:t>
            </w:r>
            <w:r>
              <w:rPr>
                <w:color w:val="000000"/>
                <w:spacing w:val="0"/>
                <w:w w:val="100"/>
                <w:position w:val="0"/>
                <w:sz w:val="16"/>
                <w:szCs w:val="16"/>
              </w:rPr>
              <w:t>837,961.74</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年末金额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240" w:right="0" w:firstLine="0"/>
              <w:jc w:val="left"/>
              <w:rPr>
                <w:sz w:val="16"/>
                <w:szCs w:val="16"/>
              </w:rPr>
            </w:pPr>
            <w:r>
              <w:rPr>
                <w:color w:val="000000"/>
                <w:spacing w:val="0"/>
                <w:w w:val="100"/>
                <w:position w:val="0"/>
                <w:sz w:val="16"/>
                <w:szCs w:val="16"/>
              </w:rPr>
              <w:t>77,105,352.91</w:t>
            </w:r>
          </w:p>
        </w:tc>
      </w:tr>
    </w:tbl>
    <w:p>
      <w:pPr>
        <w:widowControl w:val="0"/>
        <w:spacing w:after="339" w:line="1" w:lineRule="exact"/>
      </w:pPr>
    </w:p>
    <w:p>
      <w:pPr>
        <w:pStyle w:val="Style34"/>
        <w:keepNext/>
        <w:keepLines/>
        <w:widowControl w:val="0"/>
        <w:numPr>
          <w:ilvl w:val="0"/>
          <w:numId w:val="55"/>
        </w:numPr>
        <w:shd w:val="clear" w:color="auto" w:fill="auto"/>
        <w:bidi w:val="0"/>
        <w:spacing w:before="0" w:after="340" w:line="240" w:lineRule="auto"/>
        <w:ind w:left="0" w:right="0" w:firstLine="0"/>
        <w:jc w:val="left"/>
      </w:pPr>
      <w:bookmarkStart w:id="1148" w:name="bookmark1148"/>
      <w:bookmarkStart w:id="1149" w:name="bookmark1149"/>
      <w:bookmarkStart w:id="1150" w:name="bookmark1150"/>
      <w:bookmarkStart w:id="1151" w:name="bookmark1151"/>
      <w:bookmarkEnd w:id="1150"/>
      <w:r>
        <w:rPr>
          <w:color w:val="000000"/>
          <w:spacing w:val="0"/>
          <w:w w:val="100"/>
          <w:position w:val="0"/>
        </w:rPr>
        <w:t>本年合同资产计提减值准备情况:</w:t>
      </w:r>
      <w:bookmarkEnd w:id="1148"/>
      <w:bookmarkEnd w:id="1149"/>
      <w:bookmarkEnd w:id="1151"/>
    </w:p>
    <w:tbl>
      <w:tblPr>
        <w:tblOverlap w:val="never"/>
        <w:jc w:val="center"/>
        <w:tblLayout w:type="fixed"/>
      </w:tblPr>
      <w:tblGrid>
        <w:gridCol w:w="2429"/>
        <w:gridCol w:w="1699"/>
        <w:gridCol w:w="1704"/>
        <w:gridCol w:w="1699"/>
        <w:gridCol w:w="1733"/>
      </w:tblGrid>
      <w:tr>
        <w:trPr>
          <w:trHeight w:val="61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69" w:lineRule="exact"/>
              <w:ind w:left="0" w:right="0" w:firstLine="0"/>
              <w:jc w:val="right"/>
            </w:pPr>
            <w:r>
              <w:rPr>
                <w:color w:val="000000"/>
                <w:spacing w:val="0"/>
                <w:w w:val="100"/>
                <w:position w:val="0"/>
              </w:rPr>
              <w:t>首次执行新收入 准则的调整金额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60"/>
              <w:jc w:val="both"/>
            </w:pPr>
            <w:r>
              <w:rPr>
                <w:color w:val="000000"/>
                <w:spacing w:val="0"/>
                <w:w w:val="100"/>
                <w:position w:val="0"/>
              </w:rPr>
              <w:t>年末余额</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提供服务产生的合同资产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3, 029, </w:t>
            </w:r>
            <w:r>
              <w:rPr>
                <w:color w:val="000000"/>
                <w:spacing w:val="0"/>
                <w:w w:val="100"/>
                <w:position w:val="0"/>
                <w:sz w:val="16"/>
                <w:szCs w:val="16"/>
              </w:rPr>
              <w:t xml:space="preserve">059. </w:t>
            </w:r>
            <w:r>
              <w:rPr>
                <w:color w:val="000000"/>
                <w:spacing w:val="0"/>
                <w:w w:val="100"/>
                <w:position w:val="0"/>
                <w:sz w:val="16"/>
                <w:szCs w:val="16"/>
              </w:rPr>
              <w:t>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1, 660, </w:t>
            </w:r>
            <w:r>
              <w:rPr>
                <w:color w:val="000000"/>
                <w:spacing w:val="0"/>
                <w:w w:val="100"/>
                <w:position w:val="0"/>
                <w:sz w:val="16"/>
                <w:szCs w:val="16"/>
              </w:rPr>
              <w:t xml:space="preserve">471.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63,210.26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4, 626, </w:t>
            </w:r>
            <w:r>
              <w:rPr>
                <w:color w:val="000000"/>
                <w:spacing w:val="0"/>
                <w:w w:val="100"/>
                <w:position w:val="0"/>
                <w:sz w:val="16"/>
                <w:szCs w:val="16"/>
              </w:rPr>
              <w:t xml:space="preserve">321. </w:t>
            </w:r>
            <w:r>
              <w:rPr>
                <w:color w:val="000000"/>
                <w:spacing w:val="0"/>
                <w:w w:val="100"/>
                <w:position w:val="0"/>
                <w:sz w:val="16"/>
                <w:szCs w:val="16"/>
              </w:rPr>
              <w:t>17</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9</w:t>
      </w:r>
      <w:bookmarkEnd w:id="1154"/>
      <w:r>
        <w:rPr>
          <w:color w:val="000000"/>
          <w:spacing w:val="0"/>
          <w:w w:val="100"/>
          <w:position w:val="0"/>
        </w:rPr>
        <w:t>、其他流动资产</w:t>
      </w:r>
      <w:bookmarkEnd w:id="1152"/>
      <w:bookmarkEnd w:id="1153"/>
      <w:bookmarkEnd w:id="1155"/>
    </w:p>
    <w:p>
      <w:pPr>
        <w:pStyle w:val="Style37"/>
        <w:keepNext w:val="0"/>
        <w:keepLines w:val="0"/>
        <w:widowControl w:val="0"/>
        <w:shd w:val="clear" w:color="auto" w:fill="auto"/>
        <w:bidi w:val="0"/>
        <w:spacing w:before="0" w:after="0" w:line="240" w:lineRule="auto"/>
        <w:ind w:left="8405" w:right="0" w:firstLine="0"/>
        <w:jc w:val="left"/>
      </w:pPr>
      <w:r>
        <w:rPr>
          <w:color w:val="000000"/>
          <w:spacing w:val="0"/>
          <w:w w:val="100"/>
          <w:position w:val="0"/>
        </w:rPr>
        <w:t>单位：元</w:t>
      </w:r>
    </w:p>
    <w:tbl>
      <w:tblPr>
        <w:tblOverlap w:val="never"/>
        <w:jc w:val="center"/>
        <w:tblLayout w:type="fixed"/>
      </w:tblPr>
      <w:tblGrid>
        <w:gridCol w:w="5261"/>
        <w:gridCol w:w="1982"/>
        <w:gridCol w:w="2021"/>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9, 427, </w:t>
            </w:r>
            <w:r>
              <w:rPr>
                <w:color w:val="000000"/>
                <w:spacing w:val="0"/>
                <w:w w:val="100"/>
                <w:position w:val="0"/>
                <w:sz w:val="16"/>
                <w:szCs w:val="16"/>
              </w:rPr>
              <w:t xml:space="preserve">105.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4, 588, </w:t>
            </w:r>
            <w:r>
              <w:rPr>
                <w:color w:val="000000"/>
                <w:spacing w:val="0"/>
                <w:w w:val="100"/>
                <w:position w:val="0"/>
                <w:sz w:val="16"/>
                <w:szCs w:val="16"/>
              </w:rPr>
              <w:t xml:space="preserve">865. </w:t>
            </w:r>
            <w:r>
              <w:rPr>
                <w:color w:val="000000"/>
                <w:spacing w:val="0"/>
                <w:w w:val="100"/>
                <w:position w:val="0"/>
                <w:sz w:val="16"/>
                <w:szCs w:val="16"/>
              </w:rPr>
              <w:t>25</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预缴增值税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3, 709, </w:t>
            </w:r>
            <w:r>
              <w:rPr>
                <w:color w:val="000000"/>
                <w:spacing w:val="0"/>
                <w:w w:val="100"/>
                <w:position w:val="0"/>
                <w:sz w:val="16"/>
                <w:szCs w:val="16"/>
              </w:rPr>
              <w:t xml:space="preserve">930.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4,713,086.40</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 xml:space="preserve">13, </w:t>
            </w:r>
            <w:r>
              <w:rPr>
                <w:color w:val="000000"/>
                <w:spacing w:val="0"/>
                <w:w w:val="100"/>
                <w:position w:val="0"/>
                <w:sz w:val="16"/>
                <w:szCs w:val="16"/>
              </w:rPr>
              <w:t xml:space="preserve">137,036.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9, </w:t>
            </w:r>
            <w:r>
              <w:rPr>
                <w:color w:val="000000"/>
                <w:spacing w:val="0"/>
                <w:w w:val="100"/>
                <w:position w:val="0"/>
                <w:sz w:val="16"/>
                <w:szCs w:val="16"/>
              </w:rPr>
              <w:t>301,951.65</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40" w:line="240" w:lineRule="auto"/>
        <w:ind w:left="0" w:right="0" w:firstLine="0"/>
        <w:jc w:val="left"/>
      </w:pPr>
      <w:bookmarkStart w:id="1156" w:name="bookmark1156"/>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bookmarkEnd w:id="1158"/>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56"/>
      <w:bookmarkEnd w:id="1157"/>
      <w:bookmarkEnd w:id="1159"/>
    </w:p>
    <w:p>
      <w:pPr>
        <w:pStyle w:val="Style34"/>
        <w:keepNext/>
        <w:keepLines/>
        <w:widowControl w:val="0"/>
        <w:numPr>
          <w:ilvl w:val="0"/>
          <w:numId w:val="57"/>
        </w:numPr>
        <w:shd w:val="clear" w:color="auto" w:fill="auto"/>
        <w:bidi w:val="0"/>
        <w:spacing w:before="0" w:after="340" w:line="240" w:lineRule="auto"/>
        <w:ind w:left="0" w:right="0" w:firstLine="0"/>
        <w:jc w:val="left"/>
      </w:pPr>
      <w:bookmarkStart w:id="1156" w:name="bookmark1156"/>
      <w:bookmarkStart w:id="1157" w:name="bookmark1157"/>
      <w:bookmarkStart w:id="1160" w:name="bookmark1160"/>
      <w:bookmarkStart w:id="1161" w:name="bookmark1161"/>
      <w:bookmarkEnd w:id="1160"/>
      <w:r>
        <w:rPr>
          <w:color w:val="000000"/>
          <w:spacing w:val="0"/>
          <w:w w:val="100"/>
          <w:position w:val="0"/>
        </w:rPr>
        <w:t>长期股权投资分类如下:</w:t>
      </w:r>
      <w:bookmarkEnd w:id="1156"/>
      <w:bookmarkEnd w:id="1157"/>
      <w:bookmarkEnd w:id="1161"/>
    </w:p>
    <w:p>
      <w:pPr>
        <w:pStyle w:val="Style37"/>
        <w:keepNext w:val="0"/>
        <w:keepLines w:val="0"/>
        <w:widowControl w:val="0"/>
        <w:shd w:val="clear" w:color="auto" w:fill="auto"/>
        <w:bidi w:val="0"/>
        <w:spacing w:before="0" w:after="0" w:line="240" w:lineRule="auto"/>
        <w:ind w:left="8582" w:right="0" w:firstLine="0"/>
        <w:jc w:val="left"/>
      </w:pPr>
      <w:r>
        <w:rPr>
          <w:color w:val="000000"/>
          <w:spacing w:val="0"/>
          <w:w w:val="100"/>
          <w:position w:val="0"/>
        </w:rPr>
        <w:t>单位：元</w:t>
      </w:r>
    </w:p>
    <w:tbl>
      <w:tblPr>
        <w:tblOverlap w:val="never"/>
        <w:jc w:val="center"/>
        <w:tblLayout w:type="fixed"/>
      </w:tblPr>
      <w:tblGrid>
        <w:gridCol w:w="5261"/>
        <w:gridCol w:w="1982"/>
        <w:gridCol w:w="2021"/>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对联营企业的投资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3,610, </w:t>
            </w:r>
            <w:r>
              <w:rPr>
                <w:color w:val="000000"/>
                <w:spacing w:val="0"/>
                <w:w w:val="100"/>
                <w:position w:val="0"/>
                <w:sz w:val="16"/>
                <w:szCs w:val="16"/>
              </w:rPr>
              <w:t xml:space="preserve">696.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3,737, </w:t>
            </w:r>
            <w:r>
              <w:rPr>
                <w:color w:val="000000"/>
                <w:spacing w:val="0"/>
                <w:w w:val="100"/>
                <w:position w:val="0"/>
                <w:sz w:val="16"/>
                <w:szCs w:val="16"/>
              </w:rPr>
              <w:t xml:space="preserve">477. </w:t>
            </w:r>
            <w:r>
              <w:rPr>
                <w:color w:val="000000"/>
                <w:spacing w:val="0"/>
                <w:w w:val="100"/>
                <w:position w:val="0"/>
                <w:sz w:val="16"/>
                <w:szCs w:val="16"/>
              </w:rPr>
              <w:t>72</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40" w:right="0" w:firstLine="0"/>
              <w:jc w:val="left"/>
              <w:rPr>
                <w:sz w:val="16"/>
                <w:szCs w:val="16"/>
              </w:rPr>
            </w:pPr>
            <w:r>
              <w:rPr>
                <w:color w:val="000000"/>
                <w:spacing w:val="0"/>
                <w:w w:val="100"/>
                <w:position w:val="0"/>
                <w:sz w:val="16"/>
                <w:szCs w:val="16"/>
              </w:rPr>
              <w:t>-</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3,610, </w:t>
            </w:r>
            <w:r>
              <w:rPr>
                <w:color w:val="000000"/>
                <w:spacing w:val="0"/>
                <w:w w:val="100"/>
                <w:position w:val="0"/>
                <w:sz w:val="16"/>
                <w:szCs w:val="16"/>
              </w:rPr>
              <w:t xml:space="preserve">696.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6"/>
                <w:szCs w:val="16"/>
              </w:rPr>
            </w:pPr>
            <w:r>
              <w:rPr>
                <w:color w:val="000000"/>
                <w:spacing w:val="0"/>
                <w:w w:val="100"/>
                <w:position w:val="0"/>
                <w:sz w:val="16"/>
                <w:szCs w:val="16"/>
              </w:rPr>
              <w:t xml:space="preserve">3,737, </w:t>
            </w:r>
            <w:r>
              <w:rPr>
                <w:color w:val="000000"/>
                <w:spacing w:val="0"/>
                <w:w w:val="100"/>
                <w:position w:val="0"/>
                <w:sz w:val="16"/>
                <w:szCs w:val="16"/>
              </w:rPr>
              <w:t xml:space="preserve">477. </w:t>
            </w:r>
            <w:r>
              <w:rPr>
                <w:color w:val="000000"/>
                <w:spacing w:val="0"/>
                <w:w w:val="100"/>
                <w:position w:val="0"/>
                <w:sz w:val="16"/>
                <w:szCs w:val="16"/>
              </w:rPr>
              <w:t>72</w:t>
            </w:r>
          </w:p>
        </w:tc>
      </w:tr>
    </w:tbl>
    <w:p>
      <w:pPr>
        <w:widowControl w:val="0"/>
        <w:spacing w:after="339" w:line="1" w:lineRule="exact"/>
      </w:pPr>
    </w:p>
    <w:p>
      <w:pPr>
        <w:pStyle w:val="Style34"/>
        <w:keepNext/>
        <w:keepLines/>
        <w:widowControl w:val="0"/>
        <w:numPr>
          <w:ilvl w:val="0"/>
          <w:numId w:val="57"/>
        </w:numPr>
        <w:shd w:val="clear" w:color="auto" w:fill="auto"/>
        <w:bidi w:val="0"/>
        <w:spacing w:before="0" w:after="340" w:line="240" w:lineRule="auto"/>
        <w:ind w:left="0" w:right="0" w:firstLine="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长期股权投资本年变动情况分析如下:</w:t>
      </w:r>
      <w:bookmarkEnd w:id="1162"/>
      <w:bookmarkEnd w:id="1163"/>
      <w:bookmarkEnd w:id="1165"/>
    </w:p>
    <w:p>
      <w:pPr>
        <w:pStyle w:val="Style37"/>
        <w:keepNext w:val="0"/>
        <w:keepLines w:val="0"/>
        <w:widowControl w:val="0"/>
        <w:shd w:val="clear" w:color="auto" w:fill="auto"/>
        <w:bidi w:val="0"/>
        <w:spacing w:before="0" w:after="0" w:line="240" w:lineRule="auto"/>
        <w:ind w:left="8414" w:right="0" w:firstLine="0"/>
        <w:jc w:val="left"/>
      </w:pPr>
      <w:r>
        <w:rPr>
          <w:color w:val="000000"/>
          <w:spacing w:val="0"/>
          <w:w w:val="100"/>
          <w:position w:val="0"/>
        </w:rPr>
        <w:t>单位：元</w:t>
      </w:r>
    </w:p>
    <w:tbl>
      <w:tblPr>
        <w:tblOverlap w:val="never"/>
        <w:jc w:val="center"/>
        <w:tblLayout w:type="fixed"/>
      </w:tblPr>
      <w:tblGrid>
        <w:gridCol w:w="3106"/>
        <w:gridCol w:w="1531"/>
        <w:gridCol w:w="1363"/>
        <w:gridCol w:w="1699"/>
        <w:gridCol w:w="1565"/>
      </w:tblGrid>
      <w:tr>
        <w:trPr>
          <w:trHeight w:val="331"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年初余额</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本年增减变动</w:t>
            </w:r>
          </w:p>
        </w:tc>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80"/>
              <w:jc w:val="left"/>
            </w:pPr>
            <w:r>
              <w:rPr>
                <w:color w:val="000000"/>
                <w:spacing w:val="0"/>
                <w:w w:val="100"/>
                <w:position w:val="0"/>
              </w:rPr>
              <w:t>年末余额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9" w:lineRule="exact"/>
              <w:ind w:left="0" w:right="0" w:firstLine="0"/>
              <w:jc w:val="right"/>
            </w:pPr>
            <w:r>
              <w:rPr>
                <w:color w:val="000000"/>
                <w:spacing w:val="0"/>
                <w:w w:val="100"/>
                <w:position w:val="0"/>
              </w:rPr>
              <w:t>权益法下确认的 投资收益/ (损失)</w:t>
            </w:r>
          </w:p>
        </w:tc>
        <w:tc>
          <w:tcPr>
            <w:vMerge/>
            <w:tcBorders>
              <w:left w:val="single" w:sz="4"/>
            </w:tcBorders>
            <w:shd w:val="clear" w:color="auto" w:fill="FFFFFF"/>
            <w:vAlign w:val="center"/>
          </w:tcPr>
          <w:p>
            <w:pPr/>
          </w:p>
        </w:tc>
      </w:tr>
      <w:tr>
        <w:trPr>
          <w:trHeight w:val="30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荆门玖伊园科技有限公司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1,084,397.77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(32, </w:t>
            </w:r>
            <w:r>
              <w:rPr>
                <w:color w:val="000000"/>
                <w:spacing w:val="0"/>
                <w:w w:val="100"/>
                <w:position w:val="0"/>
                <w:sz w:val="16"/>
                <w:szCs w:val="16"/>
              </w:rPr>
              <w:t xml:space="preserve">390.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1,052, </w:t>
            </w:r>
            <w:r>
              <w:rPr>
                <w:color w:val="000000"/>
                <w:spacing w:val="0"/>
                <w:w w:val="100"/>
                <w:position w:val="0"/>
                <w:sz w:val="16"/>
                <w:szCs w:val="16"/>
              </w:rPr>
              <w:t xml:space="preserve">006. </w:t>
            </w:r>
            <w:r>
              <w:rPr>
                <w:color w:val="000000"/>
                <w:spacing w:val="0"/>
                <w:w w:val="100"/>
                <w:position w:val="0"/>
                <w:sz w:val="16"/>
                <w:szCs w:val="16"/>
              </w:rPr>
              <w:t>89</w:t>
            </w:r>
          </w:p>
        </w:tc>
      </w:tr>
      <w:tr>
        <w:trPr>
          <w:trHeight w:val="30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1, 764, </w:t>
            </w:r>
            <w:r>
              <w:rPr>
                <w:color w:val="000000"/>
                <w:spacing w:val="0"/>
                <w:w w:val="100"/>
                <w:position w:val="0"/>
                <w:sz w:val="16"/>
                <w:szCs w:val="16"/>
              </w:rPr>
              <w:t xml:space="preserve">844.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374,817.93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2, 139, </w:t>
            </w:r>
            <w:r>
              <w:rPr>
                <w:color w:val="000000"/>
                <w:spacing w:val="0"/>
                <w:w w:val="100"/>
                <w:position w:val="0"/>
                <w:sz w:val="16"/>
                <w:szCs w:val="16"/>
              </w:rPr>
              <w:t xml:space="preserve">661. </w:t>
            </w:r>
            <w:r>
              <w:rPr>
                <w:color w:val="000000"/>
                <w:spacing w:val="0"/>
                <w:w w:val="100"/>
                <w:position w:val="0"/>
                <w:sz w:val="16"/>
                <w:szCs w:val="16"/>
              </w:rPr>
              <w:t>97</w:t>
            </w:r>
          </w:p>
        </w:tc>
      </w:tr>
      <w:tr>
        <w:trPr>
          <w:trHeight w:val="33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六邻科技(北京)有限公司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888,235.91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(469,207.97)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419, </w:t>
            </w:r>
            <w:r>
              <w:rPr>
                <w:color w:val="000000"/>
                <w:spacing w:val="0"/>
                <w:w w:val="100"/>
                <w:position w:val="0"/>
                <w:sz w:val="16"/>
                <w:szCs w:val="16"/>
              </w:rPr>
              <w:t xml:space="preserve">027. </w:t>
            </w:r>
            <w:r>
              <w:rPr>
                <w:color w:val="000000"/>
                <w:spacing w:val="0"/>
                <w:w w:val="100"/>
                <w:position w:val="0"/>
                <w:sz w:val="16"/>
                <w:szCs w:val="16"/>
              </w:rPr>
              <w:t>94</w:t>
            </w:r>
          </w:p>
        </w:tc>
      </w:tr>
    </w:tbl>
    <w:p>
      <w:pPr>
        <w:widowControl w:val="0"/>
        <w:spacing w:line="1" w:lineRule="exact"/>
      </w:pPr>
      <w:r>
        <w:br w:type="page"/>
      </w:r>
    </w:p>
    <w:tbl>
      <w:tblPr>
        <w:tblOverlap w:val="never"/>
        <w:jc w:val="center"/>
        <w:tblLayout w:type="fixed"/>
      </w:tblPr>
      <w:tblGrid>
        <w:gridCol w:w="3106"/>
        <w:gridCol w:w="1531"/>
        <w:gridCol w:w="1363"/>
        <w:gridCol w:w="1699"/>
        <w:gridCol w:w="2050"/>
      </w:tblGrid>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湖北荆广建土地评估咨询有限公司</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pPr>
            <w:r>
              <w:rPr>
                <w:color w:val="000000"/>
                <w:spacing w:val="0"/>
                <w:w w:val="100"/>
                <w:position w:val="0"/>
              </w:rPr>
              <w:t>-</w:t>
            </w:r>
          </w:p>
        </w:tc>
      </w:tr>
      <w:tr>
        <w:trPr>
          <w:trHeight w:val="331"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3,737, </w:t>
            </w:r>
            <w:r>
              <w:rPr>
                <w:color w:val="000000"/>
                <w:spacing w:val="0"/>
                <w:w w:val="100"/>
                <w:position w:val="0"/>
                <w:sz w:val="16"/>
                <w:szCs w:val="16"/>
              </w:rPr>
              <w:t xml:space="preserve">477. </w:t>
            </w: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(126,780.92)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3,610, </w:t>
            </w:r>
            <w:r>
              <w:rPr>
                <w:color w:val="000000"/>
                <w:spacing w:val="0"/>
                <w:w w:val="100"/>
                <w:position w:val="0"/>
                <w:sz w:val="16"/>
                <w:szCs w:val="16"/>
              </w:rPr>
              <w:t xml:space="preserve">696. </w:t>
            </w:r>
            <w:r>
              <w:rPr>
                <w:color w:val="000000"/>
                <w:spacing w:val="0"/>
                <w:w w:val="100"/>
                <w:position w:val="0"/>
                <w:sz w:val="16"/>
                <w:szCs w:val="16"/>
              </w:rPr>
              <w:t>80</w:t>
            </w:r>
          </w:p>
        </w:tc>
      </w:tr>
    </w:tbl>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00" w:line="322" w:lineRule="exact"/>
        <w:ind w:left="0" w:right="0" w:firstLine="0"/>
        <w:jc w:val="left"/>
      </w:pPr>
      <w:r>
        <w:rPr>
          <w:color w:val="000000"/>
          <w:spacing w:val="0"/>
          <w:w w:val="100"/>
          <w:position w:val="0"/>
        </w:rPr>
        <w:t>湖北荆广建土地评估咨询有限公司为湖北建胜持股</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的联营企业，截至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日，本集团未对其出资，该公司尚 未开展任何业务。</w:t>
      </w:r>
    </w:p>
    <w:p>
      <w:pPr>
        <w:pStyle w:val="Style72"/>
        <w:keepNext w:val="0"/>
        <w:keepLines w:val="0"/>
        <w:widowControl w:val="0"/>
        <w:shd w:val="clear" w:color="auto" w:fill="auto"/>
        <w:bidi w:val="0"/>
        <w:spacing w:before="0" w:line="240" w:lineRule="auto"/>
        <w:ind w:left="0" w:right="0" w:firstLine="0"/>
        <w:jc w:val="both"/>
      </w:pPr>
      <w:bookmarkStart w:id="1166" w:name="bookmark1166"/>
      <w:r>
        <w:rPr>
          <w:rFonts w:ascii="Times New Roman" w:eastAsia="Times New Roman" w:hAnsi="Times New Roman" w:cs="Times New Roman"/>
          <w:color w:val="000000"/>
          <w:spacing w:val="0"/>
          <w:w w:val="100"/>
          <w:position w:val="0"/>
        </w:rPr>
        <w:t>1</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、固定资产</w:t>
      </w:r>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109, 460, </w:t>
            </w:r>
            <w:r>
              <w:rPr>
                <w:color w:val="000000"/>
                <w:spacing w:val="0"/>
                <w:w w:val="100"/>
                <w:position w:val="0"/>
                <w:sz w:val="16"/>
                <w:szCs w:val="16"/>
              </w:rPr>
              <w:t xml:space="preserve">063. </w:t>
            </w:r>
            <w:r>
              <w:rPr>
                <w:color w:val="000000"/>
                <w:spacing w:val="0"/>
                <w:w w:val="100"/>
                <w:position w:val="0"/>
                <w:sz w:val="16"/>
                <w:szCs w:val="16"/>
              </w:rPr>
              <w:t>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127,414. </w:t>
            </w:r>
            <w:r>
              <w:rPr>
                <w:color w:val="000000"/>
                <w:spacing w:val="0"/>
                <w:w w:val="100"/>
                <w:position w:val="0"/>
                <w:sz w:val="16"/>
                <w:szCs w:val="16"/>
              </w:rPr>
              <w:t>24</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left"/>
              <w:rPr>
                <w:sz w:val="16"/>
                <w:szCs w:val="16"/>
              </w:rPr>
            </w:pPr>
            <w:r>
              <w:rPr>
                <w:color w:val="000000"/>
                <w:spacing w:val="0"/>
                <w:w w:val="100"/>
                <w:position w:val="0"/>
                <w:sz w:val="16"/>
                <w:szCs w:val="16"/>
              </w:rPr>
              <w:t xml:space="preserve">109, 460, </w:t>
            </w:r>
            <w:r>
              <w:rPr>
                <w:color w:val="000000"/>
                <w:spacing w:val="0"/>
                <w:w w:val="100"/>
                <w:position w:val="0"/>
                <w:sz w:val="16"/>
                <w:szCs w:val="16"/>
              </w:rPr>
              <w:t xml:space="preserve">063. </w:t>
            </w:r>
            <w:r>
              <w:rPr>
                <w:color w:val="000000"/>
                <w:spacing w:val="0"/>
                <w:w w:val="100"/>
                <w:position w:val="0"/>
                <w:sz w:val="16"/>
                <w:szCs w:val="16"/>
              </w:rPr>
              <w:t>66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900" w:right="0" w:firstLine="0"/>
              <w:jc w:val="both"/>
              <w:rPr>
                <w:sz w:val="16"/>
                <w:szCs w:val="16"/>
              </w:rPr>
            </w:pPr>
            <w:r>
              <w:rPr>
                <w:color w:val="000000"/>
                <w:spacing w:val="0"/>
                <w:w w:val="100"/>
                <w:position w:val="0"/>
                <w:sz w:val="16"/>
                <w:szCs w:val="16"/>
              </w:rPr>
              <w:t xml:space="preserve">116, </w:t>
            </w:r>
            <w:r>
              <w:rPr>
                <w:color w:val="000000"/>
                <w:spacing w:val="0"/>
                <w:w w:val="100"/>
                <w:position w:val="0"/>
                <w:sz w:val="16"/>
                <w:szCs w:val="16"/>
              </w:rPr>
              <w:t xml:space="preserve">127,414. </w:t>
            </w:r>
            <w:r>
              <w:rPr>
                <w:color w:val="000000"/>
                <w:spacing w:val="0"/>
                <w:w w:val="100"/>
                <w:position w:val="0"/>
                <w:sz w:val="16"/>
                <w:szCs w:val="16"/>
              </w:rPr>
              <w:t>24</w:t>
            </w:r>
          </w:p>
        </w:tc>
      </w:tr>
    </w:tbl>
    <w:p>
      <w:pPr>
        <w:widowControl w:val="0"/>
        <w:spacing w:after="359" w:line="1" w:lineRule="exact"/>
      </w:pPr>
    </w:p>
    <w:p>
      <w:pPr>
        <w:pStyle w:val="Style72"/>
        <w:keepNext w:val="0"/>
        <w:keepLines w:val="0"/>
        <w:widowControl w:val="0"/>
        <w:numPr>
          <w:ilvl w:val="0"/>
          <w:numId w:val="59"/>
        </w:numPr>
        <w:shd w:val="clear" w:color="auto" w:fill="auto"/>
        <w:bidi w:val="0"/>
        <w:spacing w:before="0" w:line="240" w:lineRule="auto"/>
        <w:ind w:left="0" w:right="0" w:firstLine="160"/>
        <w:jc w:val="both"/>
      </w:pPr>
      <w:bookmarkStart w:id="1167" w:name="bookmark1167"/>
      <w:bookmarkEnd w:id="1167"/>
      <w:r>
        <w:rPr>
          <w:color w:val="000000"/>
          <w:spacing w:val="0"/>
          <w:w w:val="100"/>
          <w:position w:val="0"/>
        </w:rPr>
        <w:t>固定资产情况</w:t>
      </w:r>
    </w:p>
    <w:p>
      <w:pPr>
        <w:pStyle w:val="Style21"/>
        <w:keepNext w:val="0"/>
        <w:keepLines w:val="0"/>
        <w:widowControl w:val="0"/>
        <w:shd w:val="clear" w:color="auto" w:fill="auto"/>
        <w:bidi w:val="0"/>
        <w:spacing w:before="0" w:after="80" w:line="240" w:lineRule="auto"/>
        <w:ind w:left="0" w:right="620" w:firstLine="0"/>
        <w:jc w:val="right"/>
      </w:pPr>
      <w:r>
        <w:rPr>
          <w:color w:val="000000"/>
          <w:spacing w:val="0"/>
          <w:w w:val="100"/>
          <w:position w:val="0"/>
        </w:rPr>
        <w:t>单位：元</w:t>
      </w:r>
    </w:p>
    <w:tbl>
      <w:tblPr>
        <w:tblOverlap w:val="never"/>
        <w:jc w:val="center"/>
        <w:tblLayout w:type="fixed"/>
      </w:tblPr>
      <w:tblGrid>
        <w:gridCol w:w="2035"/>
        <w:gridCol w:w="1219"/>
        <w:gridCol w:w="1190"/>
        <w:gridCol w:w="1190"/>
        <w:gridCol w:w="1190"/>
        <w:gridCol w:w="1190"/>
        <w:gridCol w:w="1224"/>
      </w:tblGrid>
      <w:tr>
        <w:trPr>
          <w:trHeight w:val="27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房屋及建筑物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电子设备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运输设备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机器设备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3"/>
                <w:szCs w:val="13"/>
              </w:rPr>
            </w:pPr>
            <w:r>
              <w:rPr>
                <w:color w:val="000000"/>
                <w:spacing w:val="0"/>
                <w:w w:val="100"/>
                <w:position w:val="0"/>
                <w:sz w:val="13"/>
                <w:szCs w:val="13"/>
              </w:rPr>
              <w:t>办公设备及其他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合计</w:t>
            </w:r>
          </w:p>
        </w:tc>
      </w:tr>
      <w:tr>
        <w:trPr>
          <w:trHeight w:val="25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105,747, </w:t>
            </w:r>
            <w:r>
              <w:rPr>
                <w:rFonts w:ascii="Times New Roman" w:eastAsia="Times New Roman" w:hAnsi="Times New Roman" w:cs="Times New Roman"/>
                <w:color w:val="000000"/>
                <w:spacing w:val="0"/>
                <w:w w:val="100"/>
                <w:position w:val="0"/>
                <w:sz w:val="13"/>
                <w:szCs w:val="13"/>
              </w:rPr>
              <w:t>668.32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72,849,965.59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2,004,886.17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14,304,078.07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27, 577, 770.42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222,484, </w:t>
            </w:r>
            <w:r>
              <w:rPr>
                <w:rFonts w:ascii="Times New Roman" w:eastAsia="Times New Roman" w:hAnsi="Times New Roman" w:cs="Times New Roman"/>
                <w:color w:val="000000"/>
                <w:spacing w:val="0"/>
                <w:w w:val="100"/>
                <w:position w:val="0"/>
                <w:sz w:val="13"/>
                <w:szCs w:val="13"/>
              </w:rPr>
              <w:t>368.57</w:t>
            </w:r>
          </w:p>
        </w:tc>
      </w:tr>
      <w:tr>
        <w:trPr>
          <w:trHeight w:val="25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本年增加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1,627,982.11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592,345.14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9,119, </w:t>
            </w:r>
            <w:r>
              <w:rPr>
                <w:rFonts w:ascii="Times New Roman" w:eastAsia="Times New Roman" w:hAnsi="Times New Roman" w:cs="Times New Roman"/>
                <w:color w:val="000000"/>
                <w:spacing w:val="0"/>
                <w:w w:val="100"/>
                <w:position w:val="0"/>
                <w:sz w:val="13"/>
                <w:szCs w:val="13"/>
              </w:rPr>
              <w:t>582.70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904,153. </w:t>
            </w:r>
            <w:r>
              <w:rPr>
                <w:rFonts w:ascii="Times New Roman" w:eastAsia="Times New Roman" w:hAnsi="Times New Roman" w:cs="Times New Roman"/>
                <w:color w:val="000000"/>
                <w:spacing w:val="0"/>
                <w:w w:val="100"/>
                <w:position w:val="0"/>
                <w:sz w:val="13"/>
                <w:szCs w:val="13"/>
              </w:rPr>
              <w:t>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 xml:space="preserve">12, 244, </w:t>
            </w:r>
            <w:r>
              <w:rPr>
                <w:rFonts w:ascii="Times New Roman" w:eastAsia="Times New Roman" w:hAnsi="Times New Roman" w:cs="Times New Roman"/>
                <w:color w:val="000000"/>
                <w:spacing w:val="0"/>
                <w:w w:val="100"/>
                <w:position w:val="0"/>
                <w:sz w:val="13"/>
                <w:szCs w:val="13"/>
              </w:rPr>
              <w:t>063.46</w:t>
            </w:r>
          </w:p>
        </w:tc>
      </w:tr>
      <w:tr>
        <w:trPr>
          <w:trHeight w:val="2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本年处置或报废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38,793.10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 xml:space="preserve">215,819. </w:t>
            </w:r>
            <w:r>
              <w:rPr>
                <w:rFonts w:ascii="Times New Roman" w:eastAsia="Times New Roman" w:hAnsi="Times New Roman" w:cs="Times New Roman"/>
                <w:color w:val="000000"/>
                <w:spacing w:val="0"/>
                <w:w w:val="100"/>
                <w:position w:val="0"/>
                <w:sz w:val="13"/>
                <w:szCs w:val="13"/>
              </w:rPr>
              <w:t>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 xml:space="preserve">254,612. </w:t>
            </w:r>
            <w:r>
              <w:rPr>
                <w:rFonts w:ascii="Times New Roman" w:eastAsia="Times New Roman" w:hAnsi="Times New Roman" w:cs="Times New Roman"/>
                <w:color w:val="000000"/>
                <w:spacing w:val="0"/>
                <w:w w:val="100"/>
                <w:position w:val="0"/>
                <w:sz w:val="13"/>
                <w:szCs w:val="13"/>
              </w:rPr>
              <w:t>93</w:t>
            </w:r>
          </w:p>
        </w:tc>
      </w:tr>
      <w:tr>
        <w:trPr>
          <w:trHeight w:val="25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105,747, </w:t>
            </w:r>
            <w:r>
              <w:rPr>
                <w:rFonts w:ascii="Times New Roman" w:eastAsia="Times New Roman" w:hAnsi="Times New Roman" w:cs="Times New Roman"/>
                <w:color w:val="000000"/>
                <w:spacing w:val="0"/>
                <w:w w:val="100"/>
                <w:position w:val="0"/>
                <w:sz w:val="13"/>
                <w:szCs w:val="13"/>
              </w:rPr>
              <w:t>668.32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74,477,947.70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2,597,231.31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23,384,867.67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28,266,104.10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234,473, </w:t>
            </w:r>
            <w:r>
              <w:rPr>
                <w:rFonts w:ascii="Times New Roman" w:eastAsia="Times New Roman" w:hAnsi="Times New Roman" w:cs="Times New Roman"/>
                <w:color w:val="000000"/>
                <w:spacing w:val="0"/>
                <w:w w:val="100"/>
                <w:position w:val="0"/>
                <w:sz w:val="13"/>
                <w:szCs w:val="13"/>
              </w:rPr>
              <w:t>819.10</w:t>
            </w:r>
          </w:p>
        </w:tc>
      </w:tr>
      <w:tr>
        <w:trPr>
          <w:trHeight w:val="2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36,278,770.28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43,621,900.13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938,018.89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3,358,627.86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22,159,637.17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106,356, </w:t>
            </w:r>
            <w:r>
              <w:rPr>
                <w:rFonts w:ascii="Times New Roman" w:eastAsia="Times New Roman" w:hAnsi="Times New Roman" w:cs="Times New Roman"/>
                <w:color w:val="000000"/>
                <w:spacing w:val="0"/>
                <w:w w:val="100"/>
                <w:position w:val="0"/>
                <w:sz w:val="13"/>
                <w:szCs w:val="13"/>
              </w:rPr>
              <w:t>954.33</w:t>
            </w:r>
          </w:p>
        </w:tc>
      </w:tr>
      <w:tr>
        <w:trPr>
          <w:trHeight w:val="2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本年计提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4,677,088.41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8,444,708.38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258,529.80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3,577,264.73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1, 777, 235.13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18,734,826.45</w:t>
            </w:r>
          </w:p>
        </w:tc>
      </w:tr>
      <w:tr>
        <w:trPr>
          <w:trHeight w:val="25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本年处置或报废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6,465.51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71,559.83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78,025.34</w:t>
            </w:r>
          </w:p>
        </w:tc>
      </w:tr>
      <w:tr>
        <w:trPr>
          <w:trHeight w:val="2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40,955,858.69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52,066,608.51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1,196,548.69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6,929,427.08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23,865,312.47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125,013, </w:t>
            </w:r>
            <w:r>
              <w:rPr>
                <w:rFonts w:ascii="Times New Roman" w:eastAsia="Times New Roman" w:hAnsi="Times New Roman" w:cs="Times New Roman"/>
                <w:color w:val="000000"/>
                <w:spacing w:val="0"/>
                <w:w w:val="100"/>
                <w:position w:val="0"/>
                <w:sz w:val="13"/>
                <w:szCs w:val="13"/>
              </w:rPr>
              <w:t>755.44</w:t>
            </w:r>
          </w:p>
        </w:tc>
      </w:tr>
      <w:tr>
        <w:trPr>
          <w:trHeight w:val="25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年末账面价值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64,791,809.63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22,411,339.19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1,400,682.62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16,455,440.59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4,400,791.63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109,460, </w:t>
            </w:r>
            <w:r>
              <w:rPr>
                <w:rFonts w:ascii="Times New Roman" w:eastAsia="Times New Roman" w:hAnsi="Times New Roman" w:cs="Times New Roman"/>
                <w:color w:val="000000"/>
                <w:spacing w:val="0"/>
                <w:w w:val="100"/>
                <w:position w:val="0"/>
                <w:sz w:val="13"/>
                <w:szCs w:val="13"/>
              </w:rPr>
              <w:t>063.66</w:t>
            </w:r>
          </w:p>
        </w:tc>
      </w:tr>
      <w:tr>
        <w:trPr>
          <w:trHeight w:val="28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年初账面价值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69,468,898.04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29,228,065.46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1,066,867.28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10,945,450.21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3"/>
                <w:szCs w:val="13"/>
              </w:rPr>
            </w:pPr>
            <w:r>
              <w:rPr>
                <w:rFonts w:ascii="Times New Roman" w:eastAsia="Times New Roman" w:hAnsi="Times New Roman" w:cs="Times New Roman"/>
                <w:color w:val="000000"/>
                <w:spacing w:val="0"/>
                <w:w w:val="100"/>
                <w:position w:val="0"/>
                <w:sz w:val="13"/>
                <w:szCs w:val="13"/>
              </w:rPr>
              <w:t>5,418,133.25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116,127, </w:t>
            </w:r>
            <w:r>
              <w:rPr>
                <w:rFonts w:ascii="Times New Roman" w:eastAsia="Times New Roman" w:hAnsi="Times New Roman" w:cs="Times New Roman"/>
                <w:color w:val="000000"/>
                <w:spacing w:val="0"/>
                <w:w w:val="100"/>
                <w:position w:val="0"/>
                <w:sz w:val="13"/>
                <w:szCs w:val="13"/>
              </w:rPr>
              <w:t>414.24</w:t>
            </w:r>
          </w:p>
        </w:tc>
      </w:tr>
    </w:tbl>
    <w:p>
      <w:pPr>
        <w:widowControl w:val="0"/>
        <w:spacing w:after="359" w:line="1" w:lineRule="exact"/>
      </w:pPr>
    </w:p>
    <w:p>
      <w:pPr>
        <w:pStyle w:val="Style72"/>
        <w:keepNext w:val="0"/>
        <w:keepLines w:val="0"/>
        <w:widowControl w:val="0"/>
        <w:numPr>
          <w:ilvl w:val="0"/>
          <w:numId w:val="59"/>
        </w:numPr>
        <w:shd w:val="clear" w:color="auto" w:fill="auto"/>
        <w:tabs>
          <w:tab w:pos="653" w:val="left"/>
        </w:tabs>
        <w:bidi w:val="0"/>
        <w:spacing w:before="0" w:line="240" w:lineRule="auto"/>
        <w:ind w:left="0" w:right="0" w:firstLine="160"/>
        <w:jc w:val="left"/>
      </w:pPr>
      <w:bookmarkStart w:id="1168" w:name="bookmark1168"/>
      <w:bookmarkEnd w:id="1168"/>
      <w:r>
        <w:rPr>
          <w:color w:val="000000"/>
          <w:spacing w:val="0"/>
          <w:w w:val="100"/>
          <w:position w:val="0"/>
        </w:rPr>
        <w:t>本报告期无暂时闲置的固定资产。</w:t>
      </w:r>
    </w:p>
    <w:p>
      <w:pPr>
        <w:pStyle w:val="Style72"/>
        <w:keepNext w:val="0"/>
        <w:keepLines w:val="0"/>
        <w:widowControl w:val="0"/>
        <w:numPr>
          <w:ilvl w:val="0"/>
          <w:numId w:val="59"/>
        </w:numPr>
        <w:shd w:val="clear" w:color="auto" w:fill="auto"/>
        <w:tabs>
          <w:tab w:pos="653" w:val="left"/>
        </w:tabs>
        <w:bidi w:val="0"/>
        <w:spacing w:before="0" w:line="240" w:lineRule="auto"/>
        <w:ind w:left="0" w:right="0" w:firstLine="160"/>
        <w:jc w:val="left"/>
      </w:pPr>
      <w:bookmarkStart w:id="1169" w:name="bookmark1169"/>
      <w:bookmarkEnd w:id="1169"/>
      <w:r>
        <w:rPr>
          <w:color w:val="000000"/>
          <w:spacing w:val="0"/>
          <w:w w:val="100"/>
          <w:position w:val="0"/>
        </w:rPr>
        <w:t>本报告期无通过融资租赁租入的固定资产。</w:t>
      </w:r>
    </w:p>
    <w:p>
      <w:pPr>
        <w:pStyle w:val="Style72"/>
        <w:keepNext w:val="0"/>
        <w:keepLines w:val="0"/>
        <w:widowControl w:val="0"/>
        <w:numPr>
          <w:ilvl w:val="0"/>
          <w:numId w:val="59"/>
        </w:numPr>
        <w:shd w:val="clear" w:color="auto" w:fill="auto"/>
        <w:tabs>
          <w:tab w:pos="653" w:val="left"/>
        </w:tabs>
        <w:bidi w:val="0"/>
        <w:spacing w:before="0" w:line="240" w:lineRule="auto"/>
        <w:ind w:left="0" w:right="0" w:firstLine="160"/>
        <w:jc w:val="left"/>
      </w:pPr>
      <w:bookmarkStart w:id="1170" w:name="bookmark1170"/>
      <w:bookmarkEnd w:id="1170"/>
      <w:r>
        <w:rPr>
          <w:color w:val="000000"/>
          <w:spacing w:val="0"/>
          <w:w w:val="100"/>
          <w:position w:val="0"/>
        </w:rPr>
        <w:t>本报告期无经营租赁租出的固定资产。</w:t>
      </w:r>
    </w:p>
    <w:p>
      <w:pPr>
        <w:pStyle w:val="Style72"/>
        <w:keepNext w:val="0"/>
        <w:keepLines w:val="0"/>
        <w:widowControl w:val="0"/>
        <w:numPr>
          <w:ilvl w:val="0"/>
          <w:numId w:val="59"/>
        </w:numPr>
        <w:shd w:val="clear" w:color="auto" w:fill="auto"/>
        <w:tabs>
          <w:tab w:pos="653" w:val="left"/>
        </w:tabs>
        <w:bidi w:val="0"/>
        <w:spacing w:before="0" w:line="240" w:lineRule="auto"/>
        <w:ind w:left="0" w:right="0" w:firstLine="160"/>
        <w:jc w:val="left"/>
      </w:pPr>
      <w:bookmarkStart w:id="1171" w:name="bookmark1171"/>
      <w:bookmarkEnd w:id="1171"/>
      <w:r>
        <w:rPr>
          <w:color w:val="000000"/>
          <w:spacing w:val="0"/>
          <w:w w:val="100"/>
          <w:position w:val="0"/>
        </w:rPr>
        <w:t>本报告期无未办妥产权证书的固定资产。</w:t>
      </w:r>
    </w:p>
    <w:p>
      <w:pPr>
        <w:pStyle w:val="Style72"/>
        <w:keepNext w:val="0"/>
        <w:keepLines w:val="0"/>
        <w:widowControl w:val="0"/>
        <w:numPr>
          <w:ilvl w:val="0"/>
          <w:numId w:val="59"/>
        </w:numPr>
        <w:shd w:val="clear" w:color="auto" w:fill="auto"/>
        <w:tabs>
          <w:tab w:pos="653" w:val="left"/>
        </w:tabs>
        <w:bidi w:val="0"/>
        <w:spacing w:before="0" w:line="240" w:lineRule="auto"/>
        <w:ind w:left="0" w:right="0" w:firstLine="160"/>
        <w:jc w:val="left"/>
      </w:pPr>
      <w:bookmarkStart w:id="1172" w:name="bookmark1172"/>
      <w:bookmarkEnd w:id="1172"/>
      <w:r>
        <w:rPr>
          <w:color w:val="000000"/>
          <w:spacing w:val="0"/>
          <w:w w:val="100"/>
          <w:position w:val="0"/>
        </w:rPr>
        <w:t>本报告期末用于抵押固定资产明细情况:</w:t>
      </w:r>
    </w:p>
    <w:tbl>
      <w:tblPr>
        <w:tblOverlap w:val="never"/>
        <w:jc w:val="center"/>
        <w:tblLayout w:type="fixed"/>
      </w:tblPr>
      <w:tblGrid>
        <w:gridCol w:w="1051"/>
        <w:gridCol w:w="1435"/>
        <w:gridCol w:w="2299"/>
        <w:gridCol w:w="1642"/>
        <w:gridCol w:w="1642"/>
        <w:gridCol w:w="1646"/>
      </w:tblGrid>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建筑面积(廿)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产权证编号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原值(元)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累计折旧(元)</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净值(元)</w:t>
            </w:r>
          </w:p>
        </w:tc>
      </w:tr>
      <w:tr>
        <w:trPr>
          <w:trHeight w:val="446"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建科大楼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12,159.49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深房地字第</w:t>
            </w:r>
            <w:r>
              <w:rPr>
                <w:rFonts w:ascii="Times New Roman" w:eastAsia="Times New Roman" w:hAnsi="Times New Roman" w:cs="Times New Roman"/>
                <w:color w:val="000000"/>
                <w:spacing w:val="0"/>
                <w:w w:val="100"/>
                <w:position w:val="0"/>
                <w:sz w:val="18"/>
                <w:szCs w:val="18"/>
              </w:rPr>
              <w:t>3000749885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91,658,857.18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38,962,614.86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52,696,242.32</w:t>
            </w:r>
          </w:p>
        </w:tc>
      </w:tr>
    </w:tbl>
    <w:p>
      <w:pPr>
        <w:widowControl w:val="0"/>
        <w:spacing w:after="79" w:line="1" w:lineRule="exact"/>
      </w:pPr>
    </w:p>
    <w:p>
      <w:pPr>
        <w:pStyle w:val="Style21"/>
        <w:keepNext w:val="0"/>
        <w:keepLines w:val="0"/>
        <w:widowControl w:val="0"/>
        <w:shd w:val="clear" w:color="auto" w:fill="auto"/>
        <w:bidi w:val="0"/>
        <w:spacing w:before="0" w:after="360" w:line="240" w:lineRule="auto"/>
        <w:ind w:left="0" w:right="0" w:firstLine="0"/>
        <w:jc w:val="left"/>
        <w:sectPr>
          <w:headerReference w:type="default" r:id="rId251"/>
          <w:footerReference w:type="default" r:id="rId252"/>
          <w:headerReference w:type="even" r:id="rId253"/>
          <w:footerReference w:type="even" r:id="rId254"/>
          <w:headerReference w:type="first" r:id="rId255"/>
          <w:footerReference w:type="first" r:id="rId256"/>
          <w:footnotePr>
            <w:pos w:val="pageBottom"/>
            <w:numFmt w:val="decimal"/>
            <w:numRestart w:val="continuous"/>
          </w:footnotePr>
          <w:pgSz w:w="11900" w:h="16840"/>
          <w:pgMar w:top="1534" w:right="980" w:bottom="1367" w:left="1003" w:header="0" w:footer="3" w:gutter="0"/>
          <w:cols w:space="720"/>
          <w:noEndnote/>
          <w:titlePg/>
          <w:rtlGutter w:val="0"/>
          <w:docGrid w:linePitch="360"/>
        </w:sectPr>
      </w:pPr>
      <w:r>
        <w:rPr>
          <w:color w:val="000000"/>
          <w:spacing w:val="0"/>
          <w:w w:val="100"/>
          <w:position w:val="0"/>
        </w:rPr>
        <w:t>固定资产抵押用于取得长期借款。</w:t>
      </w:r>
    </w:p>
    <w:p>
      <w:pPr>
        <w:pStyle w:val="Style72"/>
        <w:keepNext w:val="0"/>
        <w:keepLines w:val="0"/>
        <w:widowControl w:val="0"/>
        <w:shd w:val="clear" w:color="auto" w:fill="auto"/>
        <w:bidi w:val="0"/>
        <w:spacing w:before="0" w:after="380" w:line="240" w:lineRule="auto"/>
        <w:ind w:left="0" w:right="0" w:firstLine="0"/>
        <w:jc w:val="left"/>
      </w:pPr>
      <w:bookmarkStart w:id="1173" w:name="bookmark1173"/>
      <w:r>
        <w:rPr>
          <w:rFonts w:ascii="Times New Roman" w:eastAsia="Times New Roman" w:hAnsi="Times New Roman" w:cs="Times New Roman"/>
          <w:color w:val="000000"/>
          <w:spacing w:val="0"/>
          <w:w w:val="100"/>
          <w:position w:val="0"/>
        </w:rPr>
        <w:t>1</w:t>
      </w:r>
      <w:bookmarkEnd w:id="1173"/>
      <w:r>
        <w:rPr>
          <w:rFonts w:ascii="Times New Roman" w:eastAsia="Times New Roman" w:hAnsi="Times New Roman" w:cs="Times New Roman"/>
          <w:color w:val="000000"/>
          <w:spacing w:val="0"/>
          <w:w w:val="100"/>
          <w:position w:val="0"/>
        </w:rPr>
        <w:t>2</w:t>
      </w:r>
      <w:r>
        <w:rPr>
          <w:color w:val="000000"/>
          <w:spacing w:val="0"/>
          <w:w w:val="100"/>
          <w:position w:val="0"/>
        </w:rPr>
        <w:t>、在建工程</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331,186,836.96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197,099,469.04</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331,186,836.96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197,099,469.04</w:t>
            </w:r>
          </w:p>
        </w:tc>
      </w:tr>
    </w:tbl>
    <w:p>
      <w:pPr>
        <w:widowControl w:val="0"/>
        <w:spacing w:after="319" w:line="1" w:lineRule="exact"/>
      </w:pPr>
    </w:p>
    <w:p>
      <w:pPr>
        <w:pStyle w:val="Style72"/>
        <w:keepNext w:val="0"/>
        <w:keepLines w:val="0"/>
        <w:widowControl w:val="0"/>
        <w:numPr>
          <w:ilvl w:val="0"/>
          <w:numId w:val="61"/>
        </w:numPr>
        <w:shd w:val="clear" w:color="auto" w:fill="auto"/>
        <w:bidi w:val="0"/>
        <w:spacing w:before="0" w:after="380" w:line="240" w:lineRule="auto"/>
        <w:ind w:left="0" w:right="0" w:firstLine="140"/>
        <w:jc w:val="left"/>
      </w:pPr>
      <w:bookmarkStart w:id="1174" w:name="bookmark1174"/>
      <w:bookmarkEnd w:id="1174"/>
      <w:r>
        <w:rPr>
          <w:color w:val="000000"/>
          <w:spacing w:val="0"/>
          <w:w w:val="100"/>
          <w:position w:val="0"/>
        </w:rPr>
        <w:t>在建工程情况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未来大厦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331,186,836.96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331,186,836.96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197,099,469.04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197,099,469.04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331,186,836.96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331,186,836.96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197,099,469.04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197,099,469.04</w:t>
            </w:r>
          </w:p>
        </w:tc>
      </w:tr>
    </w:tbl>
    <w:p>
      <w:pPr>
        <w:widowControl w:val="0"/>
        <w:spacing w:after="319" w:line="1" w:lineRule="exact"/>
      </w:pPr>
    </w:p>
    <w:p>
      <w:pPr>
        <w:pStyle w:val="Style72"/>
        <w:keepNext w:val="0"/>
        <w:keepLines w:val="0"/>
        <w:widowControl w:val="0"/>
        <w:numPr>
          <w:ilvl w:val="0"/>
          <w:numId w:val="61"/>
        </w:numPr>
        <w:shd w:val="clear" w:color="auto" w:fill="auto"/>
        <w:bidi w:val="0"/>
        <w:spacing w:before="0" w:after="380" w:line="240" w:lineRule="auto"/>
        <w:ind w:left="0" w:right="0" w:firstLine="140"/>
        <w:jc w:val="left"/>
      </w:pPr>
      <w:bookmarkStart w:id="1175" w:name="bookmark1175"/>
      <w:bookmarkEnd w:id="1175"/>
      <w:r>
        <w:rPr>
          <w:color w:val="000000"/>
          <w:spacing w:val="0"/>
          <w:w w:val="100"/>
          <w:position w:val="0"/>
        </w:rPr>
        <w:t>重要在建工程项目本期变动情况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 本期利 息资本 化金额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未来大</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479,484,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197,099,</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134,087,</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331,186,</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836.96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自有资 金、银 行借款</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479,484,</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197,099,</w:t>
            </w:r>
          </w:p>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469.04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134,087,</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331,186,</w:t>
            </w:r>
          </w:p>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836.96</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19,220,2</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9,957,78</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sz w:val="16"/>
          <w:szCs w:val="16"/>
        </w:rPr>
        <w:t xml:space="preserve">1) </w:t>
      </w:r>
      <w:r>
        <w:rPr>
          <w:color w:val="000000"/>
          <w:spacing w:val="0"/>
          <w:w w:val="100"/>
          <w:position w:val="0"/>
        </w:rPr>
        <w:t>建科院未来大厦原名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中美低碳建筑与社区创新实验中心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号取得深地名许字</w:t>
      </w:r>
      <w:r>
        <w:rPr>
          <w:rFonts w:ascii="Times New Roman" w:eastAsia="Times New Roman" w:hAnsi="Times New Roman" w:cs="Times New Roman"/>
          <w:color w:val="000000"/>
          <w:spacing w:val="0"/>
          <w:w w:val="100"/>
          <w:position w:val="0"/>
          <w:sz w:val="18"/>
          <w:szCs w:val="18"/>
        </w:rPr>
        <w:t>LG201710399</w:t>
      </w:r>
      <w:r>
        <w:rPr>
          <w:color w:val="000000"/>
          <w:spacing w:val="0"/>
          <w:w w:val="100"/>
          <w:position w:val="0"/>
        </w:rPr>
        <w:t>号深圳市建 筑物命名批复书。</w:t>
      </w:r>
    </w:p>
    <w:p>
      <w:pPr>
        <w:pStyle w:val="Style21"/>
        <w:keepNext w:val="0"/>
        <w:keepLines w:val="0"/>
        <w:widowControl w:val="0"/>
        <w:shd w:val="clear" w:color="auto" w:fill="auto"/>
        <w:tabs>
          <w:tab w:pos="416"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未来大厦的预算数</w:t>
      </w:r>
      <w:r>
        <w:rPr>
          <w:rFonts w:ascii="Times New Roman" w:eastAsia="Times New Roman" w:hAnsi="Times New Roman" w:cs="Times New Roman"/>
          <w:color w:val="000000"/>
          <w:spacing w:val="0"/>
          <w:w w:val="100"/>
          <w:position w:val="0"/>
          <w:sz w:val="18"/>
          <w:szCs w:val="18"/>
        </w:rPr>
        <w:t>479,484,900.00</w:t>
      </w:r>
      <w:r>
        <w:rPr>
          <w:color w:val="000000"/>
          <w:spacing w:val="0"/>
          <w:w w:val="100"/>
          <w:position w:val="0"/>
        </w:rPr>
        <w:t>元包含土地使用权取得成本，工程累计投入金额为在建工程期末余额和土地使用权</w:t>
      </w:r>
    </w:p>
    <w:p>
      <w:pPr>
        <w:pStyle w:val="Style21"/>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摊余成本的合计数。</w:t>
      </w:r>
    </w:p>
    <w:p>
      <w:pPr>
        <w:pStyle w:val="Style72"/>
        <w:keepNext w:val="0"/>
        <w:keepLines w:val="0"/>
        <w:widowControl w:val="0"/>
        <w:numPr>
          <w:ilvl w:val="0"/>
          <w:numId w:val="61"/>
        </w:numPr>
        <w:shd w:val="clear" w:color="auto" w:fill="auto"/>
        <w:tabs>
          <w:tab w:pos="493" w:val="left"/>
        </w:tabs>
        <w:bidi w:val="0"/>
        <w:spacing w:before="0" w:after="380" w:line="240" w:lineRule="auto"/>
        <w:ind w:left="0" w:right="0" w:firstLine="0"/>
        <w:jc w:val="left"/>
      </w:pPr>
      <w:bookmarkStart w:id="1176" w:name="bookmark1176"/>
      <w:bookmarkEnd w:id="1176"/>
      <w:r>
        <w:rPr>
          <w:color w:val="000000"/>
          <w:spacing w:val="0"/>
          <w:w w:val="100"/>
          <w:position w:val="0"/>
        </w:rPr>
        <w:t>本期无计提在建工程减值准备的情况</w:t>
      </w:r>
    </w:p>
    <w:p>
      <w:pPr>
        <w:pStyle w:val="Style72"/>
        <w:keepNext w:val="0"/>
        <w:keepLines w:val="0"/>
        <w:widowControl w:val="0"/>
        <w:numPr>
          <w:ilvl w:val="0"/>
          <w:numId w:val="61"/>
        </w:numPr>
        <w:shd w:val="clear" w:color="auto" w:fill="auto"/>
        <w:tabs>
          <w:tab w:pos="493" w:val="left"/>
        </w:tabs>
        <w:bidi w:val="0"/>
        <w:spacing w:before="0" w:after="380" w:line="240" w:lineRule="auto"/>
        <w:ind w:left="0" w:right="0" w:firstLine="0"/>
        <w:jc w:val="left"/>
      </w:pPr>
      <w:bookmarkStart w:id="1177" w:name="bookmark1177"/>
      <w:bookmarkEnd w:id="1177"/>
      <w:r>
        <w:rPr>
          <w:color w:val="000000"/>
          <w:spacing w:val="0"/>
          <w:w w:val="100"/>
          <w:position w:val="0"/>
        </w:rPr>
        <w:t>本集团本期末不存在在建工程用于抵押的情况。</w:t>
      </w:r>
    </w:p>
    <w:p>
      <w:pPr>
        <w:pStyle w:val="Style72"/>
        <w:keepNext w:val="0"/>
        <w:keepLines w:val="0"/>
        <w:widowControl w:val="0"/>
        <w:shd w:val="clear" w:color="auto" w:fill="auto"/>
        <w:bidi w:val="0"/>
        <w:spacing w:before="0" w:after="380" w:line="240" w:lineRule="auto"/>
        <w:ind w:left="0" w:right="0" w:firstLine="0"/>
        <w:jc w:val="left"/>
      </w:pPr>
      <w:bookmarkStart w:id="1178" w:name="bookmark1178"/>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、无形资产</w:t>
      </w:r>
    </w:p>
    <w:p>
      <w:pPr>
        <w:pStyle w:val="Style72"/>
        <w:keepNext w:val="0"/>
        <w:keepLines w:val="0"/>
        <w:widowControl w:val="0"/>
        <w:numPr>
          <w:ilvl w:val="0"/>
          <w:numId w:val="63"/>
        </w:numPr>
        <w:shd w:val="clear" w:color="auto" w:fill="auto"/>
        <w:bidi w:val="0"/>
        <w:spacing w:before="0" w:after="380" w:line="240" w:lineRule="auto"/>
        <w:ind w:left="0" w:right="0" w:firstLine="0"/>
        <w:jc w:val="left"/>
      </w:pPr>
      <w:bookmarkStart w:id="1179" w:name="bookmark1179"/>
      <w:bookmarkEnd w:id="1179"/>
      <w:r>
        <w:rPr>
          <w:color w:val="000000"/>
          <w:spacing w:val="0"/>
          <w:w w:val="100"/>
          <w:position w:val="0"/>
        </w:rPr>
        <w:t>无形资产情况</w:t>
      </w:r>
    </w:p>
    <w:p>
      <w:pPr>
        <w:pStyle w:val="Style21"/>
        <w:keepNext w:val="0"/>
        <w:keepLines w:val="0"/>
        <w:widowControl w:val="0"/>
        <w:shd w:val="clear" w:color="auto" w:fill="auto"/>
        <w:bidi w:val="0"/>
        <w:spacing w:before="0" w:after="380" w:line="240" w:lineRule="auto"/>
        <w:ind w:left="0" w:right="560" w:firstLine="0"/>
        <w:jc w:val="right"/>
      </w:pPr>
      <w:r>
        <w:rPr>
          <w:color w:val="000000"/>
          <w:spacing w:val="0"/>
          <w:w w:val="100"/>
          <w:position w:val="0"/>
        </w:rPr>
        <w:t>单位：元</w:t>
      </w:r>
      <w:r>
        <w:br w:type="page"/>
      </w:r>
    </w:p>
    <w:tbl>
      <w:tblPr>
        <w:tblOverlap w:val="never"/>
        <w:jc w:val="center"/>
        <w:tblLayout w:type="fixed"/>
      </w:tblPr>
      <w:tblGrid>
        <w:gridCol w:w="2986"/>
        <w:gridCol w:w="1555"/>
        <w:gridCol w:w="1560"/>
        <w:gridCol w:w="1560"/>
        <w:gridCol w:w="2069"/>
      </w:tblGrid>
      <w:tr>
        <w:trPr>
          <w:trHeight w:val="43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专利权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软件</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600" w:firstLine="0"/>
              <w:jc w:val="right"/>
            </w:pPr>
            <w:r>
              <w:rPr>
                <w:rFonts w:ascii="SimHei" w:eastAsia="SimHei" w:hAnsi="SimHei" w:cs="SimHei"/>
                <w:color w:val="000000"/>
                <w:spacing w:val="0"/>
                <w:w w:val="100"/>
                <w:position w:val="0"/>
              </w:rPr>
              <w:t>合计</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92,734,703.96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219,924.98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37,208,764.90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130,163,393.84</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本年增加金额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rPr>
              <w:t>购置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2,567,262.89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2,567,262.89</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rFonts w:ascii="Arial" w:eastAsia="Arial" w:hAnsi="Arial" w:cs="Arial"/>
                <w:color w:val="000000"/>
                <w:spacing w:val="0"/>
                <w:w w:val="100"/>
                <w:position w:val="0"/>
                <w:sz w:val="18"/>
                <w:szCs w:val="18"/>
              </w:rPr>
              <w:t>-</w:t>
            </w:r>
            <w:r>
              <w:rPr>
                <w:rFonts w:ascii="SimHei" w:eastAsia="SimHei" w:hAnsi="SimHei" w:cs="SimHei"/>
                <w:color w:val="000000"/>
                <w:spacing w:val="0"/>
                <w:w w:val="100"/>
                <w:position w:val="0"/>
              </w:rPr>
              <w:t>内部研发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Arial" w:eastAsia="Arial" w:hAnsi="Arial" w:cs="Arial"/>
                <w:color w:val="000000"/>
                <w:spacing w:val="0"/>
                <w:w w:val="100"/>
                <w:position w:val="0"/>
                <w:sz w:val="18"/>
                <w:szCs w:val="18"/>
              </w:rPr>
              <w:t>8,791,987.06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8,791,987.06</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92,734,703.96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219,924.98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48,568,014.85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Arial" w:eastAsia="Arial" w:hAnsi="Arial" w:cs="Arial"/>
                <w:color w:val="000000"/>
                <w:spacing w:val="0"/>
                <w:w w:val="100"/>
                <w:position w:val="0"/>
                <w:sz w:val="18"/>
                <w:szCs w:val="18"/>
              </w:rPr>
              <w:t>141,522,643.79</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13,117,921.78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219,924.98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26,830,687.67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40,168,534.43</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本年计提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2,822,891.52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8"/>
                <w:szCs w:val="18"/>
              </w:rPr>
            </w:pPr>
            <w:r>
              <w:rPr>
                <w:rFonts w:ascii="Arial" w:eastAsia="Arial" w:hAnsi="Arial" w:cs="Arial"/>
                <w:color w:val="000000"/>
                <w:spacing w:val="0"/>
                <w:w w:val="100"/>
                <w:position w:val="0"/>
                <w:sz w:val="18"/>
                <w:szCs w:val="18"/>
              </w:rPr>
              <w:t>7,394,392.79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10,217,284.31</w:t>
            </w: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15,940,813.30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Arial" w:eastAsia="Arial" w:hAnsi="Arial" w:cs="Arial"/>
                <w:color w:val="000000"/>
                <w:spacing w:val="0"/>
                <w:w w:val="100"/>
                <w:position w:val="0"/>
                <w:sz w:val="18"/>
                <w:szCs w:val="18"/>
              </w:rPr>
              <w:t>219,924.98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34,225,080.46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50,385,818.74</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rFonts w:ascii="SimHei" w:eastAsia="SimHei" w:hAnsi="SimHei" w:cs="SimHei"/>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年末账面价值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76,793,890.66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14,342,934.39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91,136,825.05</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pPr>
            <w:r>
              <w:rPr>
                <w:rFonts w:ascii="SimHei" w:eastAsia="SimHei" w:hAnsi="SimHei" w:cs="SimHei"/>
                <w:color w:val="000000"/>
                <w:spacing w:val="0"/>
                <w:w w:val="100"/>
                <w:position w:val="0"/>
              </w:rPr>
              <w:t>年初账面价值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Arial" w:eastAsia="Arial" w:hAnsi="Arial" w:cs="Arial"/>
                <w:color w:val="000000"/>
                <w:spacing w:val="0"/>
                <w:w w:val="100"/>
                <w:position w:val="0"/>
                <w:sz w:val="18"/>
                <w:szCs w:val="18"/>
              </w:rPr>
              <w:t>79,616,782.18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Arial" w:eastAsia="Arial" w:hAnsi="Arial" w:cs="Arial"/>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10,378,077.23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Arial" w:eastAsia="Arial" w:hAnsi="Arial" w:cs="Arial"/>
                <w:color w:val="000000"/>
                <w:spacing w:val="0"/>
                <w:w w:val="100"/>
                <w:position w:val="0"/>
                <w:sz w:val="18"/>
                <w:szCs w:val="18"/>
              </w:rPr>
              <w:t>89,994,859.41</w:t>
            </w:r>
          </w:p>
        </w:tc>
      </w:tr>
    </w:tbl>
    <w:p>
      <w:pPr>
        <w:pStyle w:val="Style37"/>
        <w:keepNext w:val="0"/>
        <w:keepLines w:val="0"/>
        <w:widowControl w:val="0"/>
        <w:shd w:val="clear" w:color="auto" w:fill="auto"/>
        <w:bidi w:val="0"/>
        <w:spacing w:before="0" w:after="0" w:line="240" w:lineRule="auto"/>
        <w:ind w:left="1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10.00%（2019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i/>
          <w:iCs/>
          <w:color w:val="000000"/>
          <w:spacing w:val="0"/>
          <w:w w:val="100"/>
          <w:position w:val="0"/>
        </w:rPr>
        <w:t>。</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w:t>
      </w:r>
      <w:bookmarkEnd w:id="1182"/>
      <w:r>
        <w:rPr>
          <w:rFonts w:ascii="Times New Roman" w:eastAsia="Times New Roman" w:hAnsi="Times New Roman" w:cs="Times New Roman"/>
          <w:color w:val="000000"/>
          <w:spacing w:val="0"/>
          <w:w w:val="100"/>
          <w:position w:val="0"/>
        </w:rPr>
        <w:t>2</w:t>
      </w:r>
      <w:r>
        <w:rPr>
          <w:color w:val="000000"/>
          <w:spacing w:val="0"/>
          <w:w w:val="100"/>
          <w:position w:val="0"/>
        </w:rPr>
        <w:t>）本报告期无未办妥产权证书的土地使用权</w:t>
      </w:r>
      <w:bookmarkEnd w:id="1180"/>
      <w:bookmarkEnd w:id="1181"/>
      <w:bookmarkEnd w:id="1183"/>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）重要的单项无形资产如下：</w:t>
      </w:r>
    </w:p>
    <w:tbl>
      <w:tblPr>
        <w:tblOverlap w:val="never"/>
        <w:jc w:val="center"/>
        <w:tblLayout w:type="fixed"/>
      </w:tblPr>
      <w:tblGrid>
        <w:gridCol w:w="5261"/>
        <w:gridCol w:w="1987"/>
        <w:gridCol w:w="2016"/>
      </w:tblGrid>
      <w:tr>
        <w:trPr>
          <w:trHeight w:val="42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48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账面价值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剩余摊销期限</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未来大厦土地使用权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57,475,750.72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sz w:val="18"/>
                <w:szCs w:val="18"/>
              </w:rPr>
              <w:t>294</w:t>
            </w:r>
            <w:r>
              <w:rPr>
                <w:b/>
                <w:bCs/>
                <w:color w:val="000000"/>
                <w:spacing w:val="0"/>
                <w:w w:val="100"/>
                <w:position w:val="0"/>
              </w:rPr>
              <w:t>个月</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建科大楼土地使用权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Arial" w:eastAsia="Arial" w:hAnsi="Arial" w:cs="Arial"/>
                <w:color w:val="000000"/>
                <w:spacing w:val="0"/>
                <w:w w:val="100"/>
                <w:position w:val="0"/>
                <w:sz w:val="18"/>
                <w:szCs w:val="18"/>
              </w:rPr>
              <w:t>12,291,303.06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sz w:val="18"/>
                <w:szCs w:val="18"/>
              </w:rPr>
              <w:t>447</w:t>
            </w:r>
            <w:r>
              <w:rPr>
                <w:b/>
                <w:bCs/>
                <w:color w:val="000000"/>
                <w:spacing w:val="0"/>
                <w:w w:val="100"/>
                <w:position w:val="0"/>
              </w:rPr>
              <w:t>个月</w:t>
            </w:r>
          </w:p>
        </w:tc>
      </w:tr>
      <w:tr>
        <w:trPr>
          <w:trHeight w:val="40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湖北建胜办公楼及临街楼土地使用权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7,026,836.88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60" w:right="0" w:firstLine="0"/>
              <w:jc w:val="left"/>
            </w:pPr>
            <w:r>
              <w:rPr>
                <w:rFonts w:ascii="Arial" w:eastAsia="Arial" w:hAnsi="Arial" w:cs="Arial"/>
                <w:color w:val="000000"/>
                <w:spacing w:val="0"/>
                <w:w w:val="100"/>
                <w:position w:val="0"/>
                <w:sz w:val="18"/>
                <w:szCs w:val="18"/>
              </w:rPr>
              <w:t>574</w:t>
            </w:r>
            <w:r>
              <w:rPr>
                <w:b/>
                <w:bCs/>
                <w:color w:val="000000"/>
                <w:spacing w:val="0"/>
                <w:w w:val="100"/>
                <w:position w:val="0"/>
              </w:rPr>
              <w:t>个月</w:t>
            </w:r>
          </w:p>
        </w:tc>
      </w:tr>
      <w:tr>
        <w:trPr>
          <w:trHeight w:val="437"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伊</w:t>
            </w:r>
            <w:r>
              <w:rPr>
                <w:rFonts w:ascii="Arial" w:eastAsia="Arial" w:hAnsi="Arial" w:cs="Arial"/>
                <w:color w:val="000000"/>
                <w:spacing w:val="0"/>
                <w:w w:val="100"/>
                <w:position w:val="0"/>
                <w:sz w:val="18"/>
                <w:szCs w:val="18"/>
              </w:rPr>
              <w:t>OS</w:t>
            </w:r>
            <w:r>
              <w:rPr>
                <w:b/>
                <w:bCs/>
                <w:color w:val="000000"/>
                <w:spacing w:val="0"/>
                <w:w w:val="100"/>
                <w:position w:val="0"/>
              </w:rPr>
              <w:t>透明建造三期</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Arial" w:eastAsia="Arial" w:hAnsi="Arial" w:cs="Arial"/>
                <w:color w:val="000000"/>
                <w:spacing w:val="0"/>
                <w:w w:val="100"/>
                <w:position w:val="0"/>
                <w:sz w:val="18"/>
                <w:szCs w:val="18"/>
              </w:rPr>
              <w:t>4,890,379.33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sz w:val="18"/>
                <w:szCs w:val="18"/>
              </w:rPr>
              <w:t>35</w:t>
            </w:r>
            <w:r>
              <w:rPr>
                <w:b/>
                <w:bCs/>
                <w:color w:val="000000"/>
                <w:spacing w:val="0"/>
                <w:w w:val="100"/>
                <w:position w:val="0"/>
              </w:rPr>
              <w:t>个月</w:t>
            </w:r>
          </w:p>
        </w:tc>
      </w:tr>
    </w:tbl>
    <w:p>
      <w:pPr>
        <w:widowControl w:val="0"/>
        <w:spacing w:after="4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）期末存在抵押或担保的无形资产明细情况</w:t>
      </w:r>
    </w:p>
    <w:tbl>
      <w:tblPr>
        <w:tblOverlap w:val="never"/>
        <w:jc w:val="center"/>
        <w:tblLayout w:type="fixed"/>
      </w:tblPr>
      <w:tblGrid>
        <w:gridCol w:w="1560"/>
        <w:gridCol w:w="1133"/>
        <w:gridCol w:w="2266"/>
        <w:gridCol w:w="1421"/>
        <w:gridCol w:w="1416"/>
        <w:gridCol w:w="1450"/>
      </w:tblGrid>
      <w:tr>
        <w:trPr>
          <w:trHeight w:val="418"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6"/>
                <w:szCs w:val="16"/>
              </w:rPr>
            </w:pPr>
            <w:r>
              <w:rPr>
                <w:rFonts w:ascii="SimHei" w:eastAsia="SimHei" w:hAnsi="SimHei" w:cs="SimHei"/>
                <w:color w:val="000000"/>
                <w:spacing w:val="0"/>
                <w:w w:val="100"/>
                <w:position w:val="0"/>
                <w:sz w:val="16"/>
                <w:szCs w:val="16"/>
              </w:rPr>
              <w:t>名称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000000"/>
                <w:spacing w:val="0"/>
                <w:w w:val="100"/>
                <w:position w:val="0"/>
                <w:sz w:val="16"/>
                <w:szCs w:val="16"/>
              </w:rPr>
              <w:t>宗地面积</w:t>
            </w:r>
            <w:r>
              <w:rPr>
                <w:color w:val="000000"/>
                <w:spacing w:val="0"/>
                <w:w w:val="100"/>
                <w:position w:val="0"/>
                <w:sz w:val="19"/>
                <w:szCs w:val="19"/>
              </w:rPr>
              <w:t>（</w:t>
            </w:r>
            <w:r>
              <w:rPr>
                <w:rFonts w:ascii="Courier New" w:eastAsia="Courier New" w:hAnsi="Courier New" w:cs="Courier New"/>
                <w:color w:val="000000"/>
                <w:spacing w:val="0"/>
                <w:w w:val="100"/>
                <w:position w:val="0"/>
                <w:sz w:val="18"/>
                <w:szCs w:val="18"/>
              </w:rPr>
              <w:t>M</w:t>
            </w:r>
            <w:r>
              <w:rPr>
                <w:rFonts w:ascii="Arial" w:eastAsia="Arial" w:hAnsi="Arial" w:cs="Arial"/>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产权证编号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原值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累计摊销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部值</w:t>
            </w:r>
          </w:p>
        </w:tc>
      </w:tr>
      <w:tr>
        <w:trPr>
          <w:trHeight w:val="65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160"/>
              <w:jc w:val="left"/>
              <w:rPr>
                <w:sz w:val="16"/>
                <w:szCs w:val="16"/>
              </w:rPr>
            </w:pPr>
            <w:r>
              <w:rPr>
                <w:rFonts w:ascii="SimHei" w:eastAsia="SimHei" w:hAnsi="SimHei" w:cs="SimHei"/>
                <w:color w:val="000000"/>
                <w:spacing w:val="0"/>
                <w:w w:val="100"/>
                <w:position w:val="0"/>
                <w:sz w:val="16"/>
                <w:szCs w:val="16"/>
              </w:rPr>
              <w:t>建科大楼土地</w:t>
            </w:r>
          </w:p>
          <w:p>
            <w:pPr>
              <w:pStyle w:val="Style27"/>
              <w:keepNext w:val="0"/>
              <w:keepLines w:val="0"/>
              <w:widowControl w:val="0"/>
              <w:shd w:val="clear" w:color="auto" w:fill="auto"/>
              <w:bidi w:val="0"/>
              <w:spacing w:before="0" w:after="0" w:line="240" w:lineRule="auto"/>
              <w:ind w:left="0" w:right="0" w:firstLine="320"/>
              <w:jc w:val="left"/>
              <w:rPr>
                <w:sz w:val="16"/>
                <w:szCs w:val="16"/>
              </w:rPr>
            </w:pPr>
            <w:r>
              <w:rPr>
                <w:rFonts w:ascii="SimHei" w:eastAsia="SimHei" w:hAnsi="SimHei" w:cs="SimHei"/>
                <w:color w:val="000000"/>
                <w:spacing w:val="0"/>
                <w:w w:val="100"/>
                <w:position w:val="0"/>
                <w:sz w:val="16"/>
                <w:szCs w:val="16"/>
              </w:rPr>
              <w:t>使用权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color w:val="000000"/>
                <w:spacing w:val="0"/>
                <w:w w:val="100"/>
                <w:position w:val="0"/>
                <w:sz w:val="16"/>
                <w:szCs w:val="16"/>
              </w:rPr>
              <w:t>2,999.96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SimHei" w:eastAsia="SimHei" w:hAnsi="SimHei" w:cs="SimHei"/>
                <w:color w:val="000000"/>
                <w:spacing w:val="0"/>
                <w:w w:val="100"/>
                <w:position w:val="0"/>
                <w:sz w:val="16"/>
                <w:szCs w:val="16"/>
              </w:rPr>
              <w:t>深房地字第</w:t>
            </w:r>
            <w:r>
              <w:rPr>
                <w:rFonts w:ascii="Arial" w:eastAsia="Arial" w:hAnsi="Arial" w:cs="Arial"/>
                <w:color w:val="000000"/>
                <w:spacing w:val="0"/>
                <w:w w:val="100"/>
                <w:position w:val="0"/>
                <w:sz w:val="16"/>
                <w:szCs w:val="16"/>
              </w:rPr>
              <w:t>3000749885</w:t>
            </w:r>
            <w:r>
              <w:rPr>
                <w:rFonts w:ascii="SimHei" w:eastAsia="SimHei" w:hAnsi="SimHei" w:cs="SimHei"/>
                <w:color w:val="000000"/>
                <w:spacing w:val="0"/>
                <w:w w:val="100"/>
                <w:position w:val="0"/>
                <w:sz w:val="16"/>
                <w:szCs w:val="16"/>
              </w:rPr>
              <w:t>号</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16,501,997.00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4,210,693.94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12,291,303.06</w:t>
            </w:r>
          </w:p>
        </w:tc>
      </w:tr>
    </w:tbl>
    <w:p>
      <w:pPr>
        <w:widowControl w:val="0"/>
        <w:spacing w:after="679" w:line="1" w:lineRule="exact"/>
      </w:pPr>
    </w:p>
    <w:p>
      <w:pPr>
        <w:pStyle w:val="Style34"/>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4</w:t>
      </w:r>
      <w:r>
        <w:rPr>
          <w:color w:val="000000"/>
          <w:spacing w:val="0"/>
          <w:w w:val="100"/>
          <w:position w:val="0"/>
        </w:rPr>
        <w:t>、开发支出</w:t>
      </w:r>
      <w:bookmarkEnd w:id="1184"/>
      <w:bookmarkEnd w:id="1185"/>
      <w:bookmarkEnd w:id="1187"/>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277"/>
        <w:gridCol w:w="1277"/>
        <w:gridCol w:w="1416"/>
        <w:gridCol w:w="850"/>
        <w:gridCol w:w="994"/>
        <w:gridCol w:w="1594"/>
        <w:gridCol w:w="85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100" w:after="0" w:line="240" w:lineRule="auto"/>
              <w:ind w:left="0" w:right="0" w:firstLine="0"/>
              <w:jc w:val="right"/>
            </w:pPr>
            <w:r>
              <w:rPr>
                <w:color w:val="000000"/>
                <w:spacing w:val="0"/>
                <w:w w:val="100"/>
                <w:position w:val="0"/>
              </w:rPr>
              <w:t>期末余额</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资本化开始 时点</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资本化具体依据</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年末研发 进度</w:t>
            </w:r>
            <w:r>
              <w:rPr>
                <w:rFonts w:ascii="Times New Roman" w:eastAsia="Times New Roman" w:hAnsi="Times New Roman" w:cs="Times New Roman"/>
                <w:color w:val="000000"/>
                <w:spacing w:val="0"/>
                <w:w w:val="100"/>
                <w:position w:val="0"/>
                <w:sz w:val="18"/>
                <w:szCs w:val="18"/>
              </w:rPr>
              <w:t>（%）</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内部开发支出</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450"/>
        <w:gridCol w:w="1277"/>
        <w:gridCol w:w="1277"/>
        <w:gridCol w:w="1416"/>
        <w:gridCol w:w="850"/>
        <w:gridCol w:w="994"/>
        <w:gridCol w:w="1594"/>
        <w:gridCol w:w="859"/>
      </w:tblGrid>
      <w:tr>
        <w:trPr>
          <w:trHeight w:val="13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线上运营平台及 乐活系统开发项 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3,015,214.24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4,215,507.33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7,230,721.57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产品正式进 入开发需求 分析后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通过技术可行性及 经济可行性研究， 形成项目立项后， 进入开发阶段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20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13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公信</w:t>
            </w:r>
            <w:r>
              <w:rPr>
                <w:rFonts w:ascii="Times New Roman" w:eastAsia="Times New Roman" w:hAnsi="Times New Roman" w:cs="Times New Roman"/>
                <w:color w:val="000000"/>
                <w:spacing w:val="0"/>
                <w:w w:val="100"/>
                <w:position w:val="0"/>
                <w:sz w:val="18"/>
                <w:szCs w:val="18"/>
              </w:rPr>
              <w:t>365</w:t>
            </w:r>
            <w:r>
              <w:rPr>
                <w:color w:val="000000"/>
                <w:spacing w:val="0"/>
                <w:w w:val="100"/>
                <w:position w:val="0"/>
              </w:rPr>
              <w:t>平台二 期相关软件及开 发服务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590,496.72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970,768.77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1,561,265.49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产品正式进 入开发需求 分析后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通过技术可行性及 经济可行性研究， 形成项目立项后， 进入开发阶段</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3,605,710.96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5,186,276.10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8,791,987.06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1</w:t>
      </w:r>
      <w:bookmarkEnd w:id="1190"/>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188"/>
      <w:bookmarkEnd w:id="1189"/>
      <w:bookmarkEnd w:id="119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租入固定资产改良 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17,977,472.22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5,723,947.03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12,261,165.90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11,243,209.40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1,962,137.47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4,610,262.51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822,846.03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7,772,238.33</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余土资源化综合利 用示范生产线</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1,752,682.14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659,719.92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1,092,962.22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会员费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1,042,922.01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599,774.20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443,147.81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32,016,285.77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1,969,778.18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11,593,703.66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822,846.03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21,569,514.26</w:t>
            </w:r>
          </w:p>
        </w:tc>
      </w:tr>
    </w:tbl>
    <w:p>
      <w:pPr>
        <w:widowControl w:val="0"/>
        <w:spacing w:after="79" w:line="1" w:lineRule="exact"/>
      </w:pP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192" w:name="bookmark1192"/>
      <w:bookmarkStart w:id="1193" w:name="bookmark1193"/>
      <w:bookmarkStart w:id="1194" w:name="bookmark1194"/>
      <w:bookmarkStart w:id="1195" w:name="bookmark1195"/>
      <w:r>
        <w:rPr>
          <w:rFonts w:ascii="Times New Roman" w:eastAsia="Times New Roman" w:hAnsi="Times New Roman" w:cs="Times New Roman"/>
          <w:color w:val="000000"/>
          <w:spacing w:val="0"/>
          <w:w w:val="100"/>
          <w:position w:val="0"/>
        </w:rPr>
        <w:t>1</w:t>
      </w:r>
      <w:bookmarkEnd w:id="1194"/>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92"/>
      <w:bookmarkEnd w:id="1193"/>
      <w:bookmarkEnd w:id="1195"/>
    </w:p>
    <w:p>
      <w:pPr>
        <w:pStyle w:val="Style34"/>
        <w:keepNext/>
        <w:keepLines/>
        <w:widowControl w:val="0"/>
        <w:numPr>
          <w:ilvl w:val="0"/>
          <w:numId w:val="65"/>
        </w:numPr>
        <w:shd w:val="clear" w:color="auto" w:fill="auto"/>
        <w:bidi w:val="0"/>
        <w:spacing w:before="0" w:after="380" w:line="240" w:lineRule="auto"/>
        <w:ind w:left="0" w:right="0" w:firstLine="0"/>
        <w:jc w:val="left"/>
      </w:pPr>
      <w:bookmarkStart w:id="1192" w:name="bookmark1192"/>
      <w:bookmarkStart w:id="1193" w:name="bookmark1193"/>
      <w:bookmarkStart w:id="1196" w:name="bookmark1196"/>
      <w:bookmarkStart w:id="1197" w:name="bookmark1197"/>
      <w:bookmarkEnd w:id="1196"/>
      <w:r>
        <w:rPr>
          <w:color w:val="000000"/>
          <w:spacing w:val="0"/>
          <w:w w:val="100"/>
          <w:position w:val="0"/>
        </w:rPr>
        <w:t>未经抵销的递延所得税资产</w:t>
      </w:r>
      <w:bookmarkEnd w:id="1192"/>
      <w:bookmarkEnd w:id="1193"/>
      <w:bookmarkEnd w:id="1197"/>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78,383,008.59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11,720,817.39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67,018,826.56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9,920,323.65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1,125,083.85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168,762.58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1,420,121.08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213,018.16</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4,515,671.85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677,350.78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2,087,412.09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521,853.02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53,201,555.40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8,311,774.22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46,270,283.31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7,361,915.30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折旧税会差异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2,538,783.97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380,817.60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1,432,565.82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214,884.87</w:t>
            </w:r>
          </w:p>
        </w:tc>
      </w:tr>
    </w:tbl>
    <w:p>
      <w:pPr>
        <w:widowControl w:val="0"/>
        <w:spacing w:line="1" w:lineRule="exact"/>
      </w:pPr>
      <w:r>
        <w:br w:type="page"/>
      </w:r>
    </w:p>
    <w:tbl>
      <w:tblPr>
        <w:tblOverlap w:val="never"/>
        <w:jc w:val="center"/>
        <w:tblLayout w:type="fixed"/>
      </w:tblPr>
      <w:tblGrid>
        <w:gridCol w:w="1920"/>
        <w:gridCol w:w="1915"/>
        <w:gridCol w:w="1915"/>
        <w:gridCol w:w="1915"/>
        <w:gridCol w:w="1982"/>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139,764,103.66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21,259,522.57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118,229,208.86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18,231,995.00</w:t>
            </w:r>
          </w:p>
        </w:tc>
      </w:tr>
      <w:tr>
        <w:trPr>
          <w:trHeight w:val="1272" w:hRule="exact"/>
        </w:trPr>
        <w:tc>
          <w:tcPr>
            <w:gridSpan w:val="5"/>
            <w:tcBorders>
              <w:top w:val="single" w:sz="4"/>
            </w:tcBorders>
            <w:shd w:val="clear" w:color="auto" w:fill="FFFFFF"/>
            <w:vAlign w:val="bottom"/>
          </w:tcPr>
          <w:p>
            <w:pPr>
              <w:pStyle w:val="Style27"/>
              <w:keepNext w:val="0"/>
              <w:keepLines w:val="0"/>
              <w:widowControl w:val="0"/>
              <w:shd w:val="clear" w:color="auto" w:fill="auto"/>
              <w:bidi w:val="0"/>
              <w:spacing w:before="0" w:after="38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)未经抵销的递延所得税负债</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-6,439,047.23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-321,952.36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-7,322,915.40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-366,145.77</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-715,804.10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-107,370.62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-6,439,047.23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-321,952.36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-8,038,719.50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-473,516.39</w:t>
            </w:r>
          </w:p>
        </w:tc>
      </w:tr>
    </w:tbl>
    <w:p>
      <w:pPr>
        <w:widowControl w:val="0"/>
        <w:spacing w:after="299" w:line="1" w:lineRule="exact"/>
      </w:pPr>
    </w:p>
    <w:p>
      <w:pPr>
        <w:pStyle w:val="Style34"/>
        <w:keepNext/>
        <w:keepLines/>
        <w:widowControl w:val="0"/>
        <w:numPr>
          <w:ilvl w:val="0"/>
          <w:numId w:val="67"/>
        </w:numPr>
        <w:shd w:val="clear" w:color="auto" w:fill="auto"/>
        <w:bidi w:val="0"/>
        <w:spacing w:before="0" w:line="240" w:lineRule="auto"/>
        <w:ind w:left="0" w:right="0" w:firstLine="0"/>
        <w:jc w:val="left"/>
      </w:pPr>
      <w:bookmarkStart w:id="1198" w:name="bookmark1198"/>
      <w:bookmarkStart w:id="1199" w:name="bookmark1199"/>
      <w:bookmarkStart w:id="1200" w:name="bookmark1200"/>
      <w:bookmarkStart w:id="1201" w:name="bookmark1201"/>
      <w:bookmarkEnd w:id="1200"/>
      <w:r>
        <w:rPr>
          <w:color w:val="000000"/>
          <w:spacing w:val="0"/>
          <w:w w:val="100"/>
          <w:position w:val="0"/>
        </w:rPr>
        <w:t>以抵销后净额列示的递延所得税资产或负债</w:t>
      </w:r>
      <w:bookmarkEnd w:id="1198"/>
      <w:bookmarkEnd w:id="1199"/>
      <w:bookmarkEnd w:id="120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21,259,522.57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18,124,624.38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321,952.36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-107,370.62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366,145.77</w:t>
            </w:r>
          </w:p>
        </w:tc>
      </w:tr>
    </w:tbl>
    <w:p>
      <w:pPr>
        <w:widowControl w:val="0"/>
        <w:spacing w:after="299" w:line="1" w:lineRule="exact"/>
      </w:pPr>
    </w:p>
    <w:p>
      <w:pPr>
        <w:pStyle w:val="Style34"/>
        <w:keepNext/>
        <w:keepLines/>
        <w:widowControl w:val="0"/>
        <w:numPr>
          <w:ilvl w:val="0"/>
          <w:numId w:val="67"/>
        </w:numPr>
        <w:shd w:val="clear" w:color="auto" w:fill="auto"/>
        <w:bidi w:val="0"/>
        <w:spacing w:before="0" w:line="240" w:lineRule="auto"/>
        <w:ind w:left="0" w:right="0" w:firstLine="0"/>
        <w:jc w:val="left"/>
      </w:pPr>
      <w:bookmarkStart w:id="1202" w:name="bookmark1202"/>
      <w:bookmarkStart w:id="1203" w:name="bookmark1203"/>
      <w:bookmarkStart w:id="1204" w:name="bookmark1204"/>
      <w:bookmarkStart w:id="1205" w:name="bookmark1205"/>
      <w:bookmarkEnd w:id="1204"/>
      <w:r>
        <w:rPr>
          <w:color w:val="000000"/>
          <w:spacing w:val="0"/>
          <w:w w:val="100"/>
          <w:position w:val="0"/>
        </w:rPr>
        <w:t>未确认递延所得税资产明细</w:t>
      </w:r>
      <w:bookmarkEnd w:id="1202"/>
      <w:bookmarkEnd w:id="1203"/>
      <w:bookmarkEnd w:id="120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382,953.14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469,084.05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18,978,927.92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21,148,190.89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19,361,881.06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21,617,274.94</w:t>
            </w:r>
          </w:p>
        </w:tc>
      </w:tr>
    </w:tbl>
    <w:p>
      <w:pPr>
        <w:pStyle w:val="Style37"/>
        <w:keepNext w:val="0"/>
        <w:keepLines w:val="0"/>
        <w:widowControl w:val="0"/>
        <w:shd w:val="clear" w:color="auto" w:fill="auto"/>
        <w:bidi w:val="0"/>
        <w:spacing w:before="0" w:after="0" w:line="317" w:lineRule="exact"/>
        <w:ind w:left="0" w:right="0" w:firstLine="0"/>
        <w:jc w:val="left"/>
      </w:pPr>
      <w:r>
        <w:rPr>
          <w:color w:val="000000"/>
          <w:spacing w:val="0"/>
          <w:w w:val="100"/>
          <w:position w:val="0"/>
        </w:rPr>
        <w:t>因子公司亏损，未来能否获得足够的应纳税所得额具有不确定性，因此没有对其可抵扣暂时性差异和可抵扣亏损确认递延所 得税资产。</w:t>
      </w:r>
    </w:p>
    <w:p>
      <w:pPr>
        <w:widowControl w:val="0"/>
        <w:spacing w:after="299" w:line="1" w:lineRule="exact"/>
      </w:pPr>
    </w:p>
    <w:p>
      <w:pPr>
        <w:pStyle w:val="Style34"/>
        <w:keepNext/>
        <w:keepLines/>
        <w:widowControl w:val="0"/>
        <w:numPr>
          <w:ilvl w:val="0"/>
          <w:numId w:val="67"/>
        </w:numPr>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bookmarkEnd w:id="1208"/>
      <w:r>
        <w:rPr>
          <w:color w:val="000000"/>
          <w:spacing w:val="0"/>
          <w:w w:val="100"/>
          <w:position w:val="0"/>
        </w:rPr>
        <w:t>未确认递延所得税资产的可抵扣亏损将于以下年度到期</w:t>
      </w:r>
      <w:bookmarkEnd w:id="1206"/>
      <w:bookmarkEnd w:id="1207"/>
      <w:bookmarkEnd w:id="1209"/>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627,682.17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627,682.17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3,478,413.29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3,478,413.29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7,175,406.19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8,782,642.62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2453"/>
        <w:gridCol w:w="2395"/>
        <w:gridCol w:w="2395"/>
        <w:gridCol w:w="2462"/>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6,518,588.84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8,259,401.00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1,178,837.43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18,978,927.92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21,148,190.89</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1</w:t>
      </w:r>
      <w:bookmarkEnd w:id="1212"/>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10"/>
      <w:bookmarkEnd w:id="1211"/>
      <w:bookmarkEnd w:id="12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6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预付设备采购款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2,702,617.42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2,702,617.42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1,847,746.60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1,847,746.60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预付软件开发款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714,868.67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714,868.67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1,472,999.11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1,472,999.11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3,417,486.09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3,417,486.09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3,320,745.71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3,320,745.71</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1</w:t>
      </w:r>
      <w:bookmarkEnd w:id="1216"/>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14"/>
      <w:bookmarkEnd w:id="1215"/>
      <w:bookmarkEnd w:id="1217"/>
    </w:p>
    <w:p>
      <w:pPr>
        <w:pStyle w:val="Style34"/>
        <w:keepNext/>
        <w:keepLines/>
        <w:widowControl w:val="0"/>
        <w:numPr>
          <w:ilvl w:val="0"/>
          <w:numId w:val="69"/>
        </w:numPr>
        <w:shd w:val="clear" w:color="auto" w:fill="auto"/>
        <w:bidi w:val="0"/>
        <w:spacing w:before="0" w:line="240" w:lineRule="auto"/>
        <w:ind w:left="0" w:right="0" w:firstLine="0"/>
        <w:jc w:val="left"/>
      </w:pPr>
      <w:bookmarkStart w:id="1214" w:name="bookmark1214"/>
      <w:bookmarkStart w:id="1215" w:name="bookmark1215"/>
      <w:bookmarkStart w:id="1218" w:name="bookmark1218"/>
      <w:bookmarkStart w:id="1219" w:name="bookmark1219"/>
      <w:bookmarkEnd w:id="1218"/>
      <w:r>
        <w:rPr>
          <w:color w:val="000000"/>
          <w:spacing w:val="0"/>
          <w:w w:val="100"/>
          <w:position w:val="0"/>
        </w:rPr>
        <w:t>短期借款分类</w:t>
      </w:r>
      <w:bookmarkEnd w:id="1214"/>
      <w:bookmarkEnd w:id="1215"/>
      <w:bookmarkEnd w:id="1219"/>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60,052,166.67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50,047,777.77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100,146,875.00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110,099,944.44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100,146,875.00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短期借款分类的说明：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本年末短期借款的利率为基于</w:t>
      </w:r>
      <w:r>
        <w:rPr>
          <w:rFonts w:ascii="Times New Roman" w:eastAsia="Times New Roman" w:hAnsi="Times New Roman" w:cs="Times New Roman"/>
          <w:color w:val="000000"/>
          <w:spacing w:val="0"/>
          <w:w w:val="100"/>
          <w:position w:val="0"/>
          <w:sz w:val="18"/>
          <w:szCs w:val="18"/>
        </w:rPr>
        <w:t>LPR</w:t>
      </w:r>
      <w:r>
        <w:rPr>
          <w:color w:val="000000"/>
          <w:spacing w:val="0"/>
          <w:w w:val="100"/>
          <w:position w:val="0"/>
        </w:rPr>
        <w:t>的浮动利率，借款利率区间为</w:t>
      </w:r>
      <w:r>
        <w:rPr>
          <w:rFonts w:ascii="Times New Roman" w:eastAsia="Times New Roman" w:hAnsi="Times New Roman" w:cs="Times New Roman"/>
          <w:color w:val="000000"/>
          <w:spacing w:val="0"/>
          <w:w w:val="100"/>
          <w:position w:val="0"/>
          <w:sz w:val="18"/>
          <w:szCs w:val="18"/>
        </w:rPr>
        <w:t>3.4400%</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3.9150%</w:t>
      </w:r>
      <w:r>
        <w:rPr>
          <w:color w:val="000000"/>
          <w:spacing w:val="0"/>
          <w:w w:val="100"/>
          <w:position w:val="0"/>
        </w:rPr>
        <w:t>之间，没有逾期的短期借款。</w:t>
      </w:r>
    </w:p>
    <w:p>
      <w:pPr>
        <w:pStyle w:val="Style34"/>
        <w:keepNext/>
        <w:keepLines/>
        <w:widowControl w:val="0"/>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r>
        <w:rPr>
          <w:rFonts w:ascii="Times New Roman" w:eastAsia="Times New Roman" w:hAnsi="Times New Roman" w:cs="Times New Roman"/>
          <w:color w:val="000000"/>
          <w:spacing w:val="0"/>
          <w:w w:val="100"/>
          <w:position w:val="0"/>
        </w:rPr>
        <w:t>1</w:t>
      </w:r>
      <w:bookmarkEnd w:id="1222"/>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220"/>
      <w:bookmarkEnd w:id="1221"/>
      <w:bookmarkEnd w:id="1223"/>
    </w:p>
    <w:p>
      <w:pPr>
        <w:pStyle w:val="Style34"/>
        <w:keepNext/>
        <w:keepLines/>
        <w:widowControl w:val="0"/>
        <w:shd w:val="clear" w:color="auto" w:fill="auto"/>
        <w:bidi w:val="0"/>
        <w:spacing w:before="0" w:line="240" w:lineRule="auto"/>
        <w:ind w:left="0" w:right="0" w:firstLine="140"/>
        <w:jc w:val="left"/>
      </w:pPr>
      <w:bookmarkStart w:id="1220" w:name="bookmark1220"/>
      <w:bookmarkStart w:id="1221" w:name="bookmark1221"/>
      <w:bookmarkStart w:id="1224" w:name="bookmark1224"/>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20"/>
      <w:bookmarkEnd w:id="1221"/>
      <w:bookmarkEnd w:id="1224"/>
    </w:p>
    <w:p>
      <w:pPr>
        <w:pStyle w:val="Style3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414"/>
        <w:gridCol w:w="2410"/>
        <w:gridCol w:w="2405"/>
        <w:gridCol w:w="241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132,604,579.41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121,119,311.72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121,119,311.72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56,219,641.90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15,775,296.85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13,130,896.85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6,914,907.83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6,831,534.95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6,831,534.95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18,625,548.29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17,086,154.19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17,086,154.19</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214,364,677.43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160,812,297.71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158,167,897.71</w:t>
            </w:r>
          </w:p>
        </w:tc>
      </w:tr>
    </w:tbl>
    <w:p>
      <w:pPr>
        <w:sectPr>
          <w:headerReference w:type="default" r:id="rId257"/>
          <w:footerReference w:type="default" r:id="rId258"/>
          <w:headerReference w:type="even" r:id="rId259"/>
          <w:footerReference w:type="even" r:id="rId260"/>
          <w:headerReference w:type="first" r:id="rId261"/>
          <w:footerReference w:type="first" r:id="rId262"/>
          <w:footnotePr>
            <w:pos w:val="pageBottom"/>
            <w:numFmt w:val="decimal"/>
            <w:numRestart w:val="continuous"/>
          </w:footnotePr>
          <w:pgSz w:w="11900" w:h="16840"/>
          <w:pgMar w:top="1534" w:right="980" w:bottom="1367" w:left="1003" w:header="0" w:footer="3" w:gutter="0"/>
          <w:cols w:space="720"/>
          <w:noEndnote/>
          <w:titlePg/>
          <w:rtlGutter w:val="0"/>
          <w:docGrid w:linePitch="360"/>
        </w:sectPr>
      </w:pPr>
    </w:p>
    <w:p>
      <w:pPr>
        <w:pStyle w:val="Style34"/>
        <w:keepNext/>
        <w:keepLines/>
        <w:widowControl w:val="0"/>
        <w:shd w:val="clear" w:color="auto" w:fill="auto"/>
        <w:bidi w:val="0"/>
        <w:spacing w:before="0" w:after="380" w:line="240" w:lineRule="auto"/>
        <w:ind w:left="0" w:right="0" w:firstLine="160"/>
        <w:jc w:val="left"/>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w:t>
      </w:r>
      <w:bookmarkEnd w:id="122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25"/>
      <w:bookmarkEnd w:id="1226"/>
      <w:bookmarkEnd w:id="122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25,395,407.40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14,242,100.55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C</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4,113,907.95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43,751,415.90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2</w:t>
      </w:r>
      <w:bookmarkEnd w:id="1231"/>
      <w:r>
        <w:rPr>
          <w:rFonts w:ascii="Times New Roman" w:eastAsia="Times New Roman" w:hAnsi="Times New Roman" w:cs="Times New Roman"/>
          <w:color w:val="000000"/>
          <w:spacing w:val="0"/>
          <w:w w:val="100"/>
          <w:position w:val="0"/>
        </w:rPr>
        <w:t>0</w:t>
      </w:r>
      <w:r>
        <w:rPr>
          <w:color w:val="000000"/>
          <w:spacing w:val="0"/>
          <w:w w:val="100"/>
          <w:position w:val="0"/>
        </w:rPr>
        <w:t>、预收款项</w:t>
      </w:r>
      <w:bookmarkEnd w:id="1229"/>
      <w:bookmarkEnd w:id="1230"/>
      <w:bookmarkEnd w:id="1232"/>
    </w:p>
    <w:p>
      <w:pPr>
        <w:pStyle w:val="Style34"/>
        <w:keepNext/>
        <w:keepLines/>
        <w:widowControl w:val="0"/>
        <w:shd w:val="clear" w:color="auto" w:fill="auto"/>
        <w:bidi w:val="0"/>
        <w:spacing w:before="0" w:after="340" w:line="240" w:lineRule="auto"/>
        <w:ind w:left="0" w:right="0" w:firstLine="0"/>
        <w:jc w:val="left"/>
      </w:pPr>
      <w:bookmarkStart w:id="1229" w:name="bookmark1229"/>
      <w:bookmarkStart w:id="1230" w:name="bookmark1230"/>
      <w:bookmarkStart w:id="1233" w:name="bookmark12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229"/>
      <w:bookmarkEnd w:id="1230"/>
      <w:bookmarkEnd w:id="1233"/>
    </w:p>
    <w:tbl>
      <w:tblPr>
        <w:tblOverlap w:val="never"/>
        <w:jc w:val="center"/>
        <w:tblLayout w:type="fixed"/>
      </w:tblPr>
      <w:tblGrid>
        <w:gridCol w:w="3278"/>
        <w:gridCol w:w="1987"/>
        <w:gridCol w:w="1982"/>
        <w:gridCol w:w="2016"/>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2,339, </w:t>
            </w:r>
            <w:r>
              <w:rPr>
                <w:color w:val="000000"/>
                <w:spacing w:val="0"/>
                <w:w w:val="100"/>
                <w:position w:val="0"/>
                <w:sz w:val="16"/>
                <w:szCs w:val="16"/>
              </w:rPr>
              <w:t xml:space="preserve">445.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1,066, </w:t>
            </w:r>
            <w:r>
              <w:rPr>
                <w:color w:val="000000"/>
                <w:spacing w:val="0"/>
                <w:w w:val="100"/>
                <w:position w:val="0"/>
                <w:sz w:val="16"/>
                <w:szCs w:val="16"/>
              </w:rPr>
              <w:t xml:space="preserve">894.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15, </w:t>
            </w:r>
            <w:r>
              <w:rPr>
                <w:color w:val="000000"/>
                <w:spacing w:val="0"/>
                <w:w w:val="100"/>
                <w:position w:val="0"/>
                <w:sz w:val="16"/>
                <w:szCs w:val="16"/>
              </w:rPr>
              <w:t xml:space="preserve">109,724. </w:t>
            </w:r>
            <w:r>
              <w:rPr>
                <w:color w:val="000000"/>
                <w:spacing w:val="0"/>
                <w:w w:val="100"/>
                <w:position w:val="0"/>
                <w:sz w:val="16"/>
                <w:szCs w:val="16"/>
              </w:rPr>
              <w:t>84</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年至</w:t>
            </w:r>
            <w:r>
              <w:rPr>
                <w:color w:val="000000"/>
                <w:spacing w:val="0"/>
                <w:w w:val="100"/>
                <w:position w:val="0"/>
                <w:sz w:val="16"/>
                <w:szCs w:val="16"/>
              </w:rPr>
              <w:t>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76,268.50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177,198.00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1,396, </w:t>
            </w:r>
            <w:r>
              <w:rPr>
                <w:color w:val="000000"/>
                <w:spacing w:val="0"/>
                <w:w w:val="100"/>
                <w:position w:val="0"/>
                <w:sz w:val="16"/>
                <w:szCs w:val="16"/>
              </w:rPr>
              <w:t xml:space="preserve">425. </w:t>
            </w:r>
            <w:r>
              <w:rPr>
                <w:color w:val="000000"/>
                <w:spacing w:val="0"/>
                <w:w w:val="100"/>
                <w:position w:val="0"/>
                <w:sz w:val="16"/>
                <w:szCs w:val="16"/>
              </w:rPr>
              <w:t>04</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w:t>
            </w:r>
            <w:r>
              <w:rPr>
                <w:color w:val="000000"/>
                <w:spacing w:val="0"/>
                <w:w w:val="100"/>
                <w:position w:val="0"/>
              </w:rPr>
              <w:t>年至</w:t>
            </w:r>
            <w:r>
              <w:rPr>
                <w:color w:val="000000"/>
                <w:spacing w:val="0"/>
                <w:w w:val="100"/>
                <w:position w:val="0"/>
                <w:sz w:val="16"/>
                <w:szCs w:val="16"/>
              </w:rPr>
              <w:t>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20" w:right="0" w:firstLine="0"/>
              <w:jc w:val="left"/>
              <w:rPr>
                <w:sz w:val="16"/>
                <w:szCs w:val="16"/>
              </w:rPr>
            </w:pPr>
            <w:r>
              <w:rPr>
                <w:color w:val="000000"/>
                <w:spacing w:val="0"/>
                <w:w w:val="100"/>
                <w:position w:val="0"/>
                <w:sz w:val="16"/>
                <w:szCs w:val="16"/>
              </w:rPr>
              <w:t>32,780.00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11,320.00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609, </w:t>
            </w:r>
            <w:r>
              <w:rPr>
                <w:color w:val="000000"/>
                <w:spacing w:val="0"/>
                <w:w w:val="100"/>
                <w:position w:val="0"/>
                <w:sz w:val="16"/>
                <w:szCs w:val="16"/>
              </w:rPr>
              <w:t xml:space="preserve">189. </w:t>
            </w:r>
            <w:r>
              <w:rPr>
                <w:color w:val="000000"/>
                <w:spacing w:val="0"/>
                <w:w w:val="100"/>
                <w:position w:val="0"/>
                <w:sz w:val="16"/>
                <w:szCs w:val="16"/>
              </w:rPr>
              <w:t>48</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3</w:t>
            </w:r>
            <w:r>
              <w:rPr>
                <w:color w:val="000000"/>
                <w:spacing w:val="0"/>
                <w:w w:val="100"/>
                <w:position w:val="0"/>
              </w:rPr>
              <w:t>年至</w:t>
            </w:r>
            <w:r>
              <w:rPr>
                <w:color w:val="000000"/>
                <w:spacing w:val="0"/>
                <w:w w:val="100"/>
                <w:position w:val="0"/>
                <w:sz w:val="16"/>
                <w:szCs w:val="16"/>
              </w:rPr>
              <w:t>4</w:t>
            </w:r>
            <w:r>
              <w:rPr>
                <w:color w:val="000000"/>
                <w:spacing w:val="0"/>
                <w:w w:val="100"/>
                <w:position w:val="0"/>
              </w:rPr>
              <w:t>年（含</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3,000.00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372,652.59</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4</w:t>
            </w:r>
            <w:r>
              <w:rPr>
                <w:color w:val="000000"/>
                <w:spacing w:val="0"/>
                <w:w w:val="100"/>
                <w:position w:val="0"/>
              </w:rPr>
              <w:t>年至</w:t>
            </w:r>
            <w:r>
              <w:rPr>
                <w:color w:val="000000"/>
                <w:spacing w:val="0"/>
                <w:w w:val="100"/>
                <w:position w:val="0"/>
                <w:sz w:val="16"/>
                <w:szCs w:val="16"/>
              </w:rPr>
              <w:t>5</w:t>
            </w:r>
            <w:r>
              <w:rPr>
                <w:color w:val="000000"/>
                <w:spacing w:val="0"/>
                <w:w w:val="100"/>
                <w:position w:val="0"/>
              </w:rPr>
              <w:t>年（含</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13,420.00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14,190.00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134, </w:t>
            </w:r>
            <w:r>
              <w:rPr>
                <w:color w:val="000000"/>
                <w:spacing w:val="0"/>
                <w:w w:val="100"/>
                <w:position w:val="0"/>
                <w:sz w:val="16"/>
                <w:szCs w:val="16"/>
              </w:rPr>
              <w:t xml:space="preserve">374. </w:t>
            </w:r>
            <w:r>
              <w:rPr>
                <w:color w:val="000000"/>
                <w:spacing w:val="0"/>
                <w:w w:val="100"/>
                <w:position w:val="0"/>
                <w:sz w:val="16"/>
                <w:szCs w:val="16"/>
              </w:rPr>
              <w:t>00</w:t>
            </w:r>
          </w:p>
        </w:tc>
      </w:tr>
      <w:tr>
        <w:trPr>
          <w:trHeight w:val="34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2,448, </w:t>
            </w:r>
            <w:r>
              <w:rPr>
                <w:color w:val="000000"/>
                <w:spacing w:val="0"/>
                <w:w w:val="100"/>
                <w:position w:val="0"/>
                <w:sz w:val="16"/>
                <w:szCs w:val="16"/>
              </w:rPr>
              <w:t xml:space="preserve">493. </w:t>
            </w:r>
            <w:r>
              <w:rPr>
                <w:color w:val="000000"/>
                <w:spacing w:val="0"/>
                <w:w w:val="100"/>
                <w:position w:val="0"/>
                <w:sz w:val="16"/>
                <w:szCs w:val="16"/>
              </w:rPr>
              <w:t>70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1,271,832.05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17,636,555.95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w:t>
      </w:r>
      <w:bookmarkEnd w:id="1236"/>
      <w:r>
        <w:rPr>
          <w:rFonts w:ascii="Times New Roman" w:eastAsia="Times New Roman" w:hAnsi="Times New Roman" w:cs="Times New Roman"/>
          <w:color w:val="000000"/>
          <w:spacing w:val="0"/>
          <w:w w:val="100"/>
          <w:position w:val="0"/>
        </w:rPr>
        <w:t>2）</w:t>
      </w:r>
      <w:r>
        <w:rPr>
          <w:color w:val="000000"/>
          <w:spacing w:val="0"/>
          <w:w w:val="100"/>
          <w:position w:val="0"/>
        </w:rPr>
        <w:t>本集团无账龄超过</w:t>
      </w:r>
      <w:r>
        <w:rPr>
          <w:rFonts w:ascii="Times New Roman" w:eastAsia="Times New Roman" w:hAnsi="Times New Roman" w:cs="Times New Roman"/>
          <w:color w:val="000000"/>
          <w:spacing w:val="0"/>
          <w:w w:val="100"/>
          <w:position w:val="0"/>
        </w:rPr>
        <w:t>1</w:t>
      </w:r>
      <w:r>
        <w:rPr>
          <w:color w:val="000000"/>
          <w:spacing w:val="0"/>
          <w:w w:val="100"/>
          <w:position w:val="0"/>
        </w:rPr>
        <w:t>年的金额重大的预收款项。</w:t>
      </w:r>
      <w:bookmarkEnd w:id="1234"/>
      <w:bookmarkEnd w:id="1235"/>
      <w:bookmarkEnd w:id="1237"/>
    </w:p>
    <w:p>
      <w:pPr>
        <w:pStyle w:val="Style34"/>
        <w:keepNext/>
        <w:keepLines/>
        <w:widowControl w:val="0"/>
        <w:shd w:val="clear" w:color="auto" w:fill="auto"/>
        <w:bidi w:val="0"/>
        <w:spacing w:before="0" w:after="380" w:line="240" w:lineRule="auto"/>
        <w:ind w:left="0" w:right="0" w:firstLine="0"/>
        <w:jc w:val="left"/>
      </w:pPr>
      <w:bookmarkStart w:id="1234" w:name="bookmark1234"/>
      <w:bookmarkStart w:id="1235" w:name="bookmark1235"/>
      <w:bookmarkStart w:id="1238" w:name="bookmark1238"/>
      <w:bookmarkStart w:id="1239" w:name="bookmark1239"/>
      <w:r>
        <w:rPr>
          <w:rFonts w:ascii="Times New Roman" w:eastAsia="Times New Roman" w:hAnsi="Times New Roman" w:cs="Times New Roman"/>
          <w:color w:val="000000"/>
          <w:spacing w:val="0"/>
          <w:w w:val="100"/>
          <w:position w:val="0"/>
        </w:rPr>
        <w:t>2</w:t>
      </w:r>
      <w:bookmarkEnd w:id="1238"/>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234"/>
      <w:bookmarkEnd w:id="1235"/>
      <w:bookmarkEnd w:id="1239"/>
    </w:p>
    <w:p>
      <w:pPr>
        <w:pStyle w:val="Style34"/>
        <w:keepNext/>
        <w:keepLines/>
        <w:widowControl w:val="0"/>
        <w:shd w:val="clear" w:color="auto" w:fill="auto"/>
        <w:bidi w:val="0"/>
        <w:spacing w:before="0" w:after="340" w:line="240" w:lineRule="auto"/>
        <w:ind w:left="0" w:right="0" w:firstLine="0"/>
        <w:jc w:val="left"/>
      </w:pPr>
      <w:bookmarkStart w:id="1234" w:name="bookmark1234"/>
      <w:bookmarkStart w:id="1235" w:name="bookmark1235"/>
      <w:bookmarkStart w:id="1240" w:name="bookmark1240"/>
      <w:r>
        <w:rPr>
          <w:color w:val="000000"/>
          <w:spacing w:val="0"/>
          <w:w w:val="100"/>
          <w:position w:val="0"/>
          <w:sz w:val="20"/>
          <w:szCs w:val="20"/>
        </w:rPr>
        <w:t>（1）</w:t>
      </w:r>
      <w:r>
        <w:rPr>
          <w:color w:val="000000"/>
          <w:spacing w:val="0"/>
          <w:w w:val="100"/>
          <w:position w:val="0"/>
        </w:rPr>
        <w:t>合同负债情况如下：</w:t>
      </w:r>
      <w:bookmarkEnd w:id="1234"/>
      <w:bookmarkEnd w:id="1235"/>
      <w:bookmarkEnd w:id="1240"/>
    </w:p>
    <w:tbl>
      <w:tblPr>
        <w:tblOverlap w:val="never"/>
        <w:jc w:val="center"/>
        <w:tblLayout w:type="fixed"/>
      </w:tblPr>
      <w:tblGrid>
        <w:gridCol w:w="5266"/>
        <w:gridCol w:w="1982"/>
        <w:gridCol w:w="2016"/>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4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20,159,202.61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14, </w:t>
            </w:r>
            <w:r>
              <w:rPr>
                <w:color w:val="000000"/>
                <w:spacing w:val="0"/>
                <w:w w:val="100"/>
                <w:position w:val="0"/>
                <w:sz w:val="16"/>
                <w:szCs w:val="16"/>
              </w:rPr>
              <w:t>042,830.79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年至</w:t>
            </w:r>
            <w:r>
              <w:rPr>
                <w:color w:val="000000"/>
                <w:spacing w:val="0"/>
                <w:w w:val="100"/>
                <w:position w:val="0"/>
                <w:sz w:val="16"/>
                <w:szCs w:val="16"/>
              </w:rPr>
              <w:t>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both"/>
              <w:rPr>
                <w:sz w:val="16"/>
                <w:szCs w:val="16"/>
              </w:rPr>
            </w:pPr>
            <w:r>
              <w:rPr>
                <w:color w:val="000000"/>
                <w:spacing w:val="0"/>
                <w:w w:val="100"/>
                <w:position w:val="0"/>
                <w:sz w:val="16"/>
                <w:szCs w:val="16"/>
              </w:rPr>
              <w:t xml:space="preserve">1, 980, </w:t>
            </w:r>
            <w:r>
              <w:rPr>
                <w:color w:val="000000"/>
                <w:spacing w:val="0"/>
                <w:w w:val="100"/>
                <w:position w:val="0"/>
                <w:sz w:val="16"/>
                <w:szCs w:val="16"/>
              </w:rPr>
              <w:t xml:space="preserve">625.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1,219, </w:t>
            </w:r>
            <w:r>
              <w:rPr>
                <w:color w:val="000000"/>
                <w:spacing w:val="0"/>
                <w:w w:val="100"/>
                <w:position w:val="0"/>
                <w:sz w:val="16"/>
                <w:szCs w:val="16"/>
              </w:rPr>
              <w:t xml:space="preserve">227. </w:t>
            </w:r>
            <w:r>
              <w:rPr>
                <w:color w:val="000000"/>
                <w:spacing w:val="0"/>
                <w:w w:val="100"/>
                <w:position w:val="0"/>
                <w:sz w:val="16"/>
                <w:szCs w:val="16"/>
              </w:rPr>
              <w:t>04</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w:t>
            </w:r>
            <w:r>
              <w:rPr>
                <w:color w:val="000000"/>
                <w:spacing w:val="0"/>
                <w:w w:val="100"/>
                <w:position w:val="0"/>
              </w:rPr>
              <w:t>年至</w:t>
            </w:r>
            <w:r>
              <w:rPr>
                <w:color w:val="000000"/>
                <w:spacing w:val="0"/>
                <w:w w:val="100"/>
                <w:position w:val="0"/>
                <w:sz w:val="16"/>
                <w:szCs w:val="16"/>
              </w:rPr>
              <w:t>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601,811.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597, </w:t>
            </w:r>
            <w:r>
              <w:rPr>
                <w:color w:val="000000"/>
                <w:spacing w:val="0"/>
                <w:w w:val="100"/>
                <w:position w:val="0"/>
                <w:sz w:val="16"/>
                <w:szCs w:val="16"/>
              </w:rPr>
              <w:t xml:space="preserve">869. </w:t>
            </w:r>
            <w:r>
              <w:rPr>
                <w:color w:val="000000"/>
                <w:spacing w:val="0"/>
                <w:w w:val="100"/>
                <w:position w:val="0"/>
                <w:sz w:val="16"/>
                <w:szCs w:val="16"/>
              </w:rPr>
              <w:t>48</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3</w:t>
            </w:r>
            <w:r>
              <w:rPr>
                <w:color w:val="000000"/>
                <w:spacing w:val="0"/>
                <w:w w:val="100"/>
                <w:position w:val="0"/>
              </w:rPr>
              <w:t>年至</w:t>
            </w:r>
            <w:r>
              <w:rPr>
                <w:color w:val="000000"/>
                <w:spacing w:val="0"/>
                <w:w w:val="100"/>
                <w:position w:val="0"/>
                <w:sz w:val="16"/>
                <w:szCs w:val="16"/>
              </w:rPr>
              <w:t>4</w:t>
            </w:r>
            <w:r>
              <w:rPr>
                <w:color w:val="000000"/>
                <w:spacing w:val="0"/>
                <w:w w:val="100"/>
                <w:position w:val="0"/>
              </w:rPr>
              <w:t>年（含</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337,685.00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369, </w:t>
            </w:r>
            <w:r>
              <w:rPr>
                <w:color w:val="000000"/>
                <w:spacing w:val="0"/>
                <w:w w:val="100"/>
                <w:position w:val="0"/>
                <w:sz w:val="16"/>
                <w:szCs w:val="16"/>
              </w:rPr>
              <w:t xml:space="preserve">652. </w:t>
            </w:r>
            <w:r>
              <w:rPr>
                <w:color w:val="000000"/>
                <w:spacing w:val="0"/>
                <w:w w:val="100"/>
                <w:position w:val="0"/>
                <w:sz w:val="16"/>
                <w:szCs w:val="16"/>
              </w:rPr>
              <w:t>59</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4</w:t>
            </w:r>
            <w:r>
              <w:rPr>
                <w:color w:val="000000"/>
                <w:spacing w:val="0"/>
                <w:w w:val="100"/>
                <w:position w:val="0"/>
              </w:rPr>
              <w:t>年至</w:t>
            </w:r>
            <w:r>
              <w:rPr>
                <w:color w:val="000000"/>
                <w:spacing w:val="0"/>
                <w:w w:val="100"/>
                <w:position w:val="0"/>
                <w:sz w:val="16"/>
                <w:szCs w:val="16"/>
              </w:rPr>
              <w:t>5</w:t>
            </w:r>
            <w:r>
              <w:rPr>
                <w:color w:val="000000"/>
                <w:spacing w:val="0"/>
                <w:w w:val="100"/>
                <w:position w:val="0"/>
              </w:rPr>
              <w:t>年（含</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20"/>
              <w:jc w:val="both"/>
              <w:rPr>
                <w:sz w:val="16"/>
                <w:szCs w:val="16"/>
              </w:rPr>
            </w:pPr>
            <w:r>
              <w:rPr>
                <w:color w:val="000000"/>
                <w:spacing w:val="0"/>
                <w:w w:val="100"/>
                <w:position w:val="0"/>
                <w:sz w:val="16"/>
                <w:szCs w:val="16"/>
              </w:rPr>
              <w:t xml:space="preserve">169, </w:t>
            </w:r>
            <w:r>
              <w:rPr>
                <w:color w:val="000000"/>
                <w:spacing w:val="0"/>
                <w:w w:val="100"/>
                <w:position w:val="0"/>
                <w:sz w:val="16"/>
                <w:szCs w:val="16"/>
              </w:rPr>
              <w:t xml:space="preserve">953.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770. </w:t>
            </w:r>
            <w:r>
              <w:rPr>
                <w:color w:val="000000"/>
                <w:spacing w:val="0"/>
                <w:w w:val="100"/>
                <w:position w:val="0"/>
                <w:sz w:val="16"/>
                <w:szCs w:val="16"/>
              </w:rPr>
              <w:t>00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770.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both"/>
              <w:rPr>
                <w:sz w:val="16"/>
                <w:szCs w:val="16"/>
              </w:rPr>
            </w:pPr>
            <w:r>
              <w:rPr>
                <w:color w:val="000000"/>
                <w:spacing w:val="0"/>
                <w:w w:val="100"/>
                <w:position w:val="0"/>
                <w:sz w:val="16"/>
                <w:szCs w:val="16"/>
              </w:rPr>
              <w:t xml:space="preserve">134, </w:t>
            </w:r>
            <w:r>
              <w:rPr>
                <w:color w:val="000000"/>
                <w:spacing w:val="0"/>
                <w:w w:val="100"/>
                <w:position w:val="0"/>
                <w:sz w:val="16"/>
                <w:szCs w:val="16"/>
              </w:rPr>
              <w:t xml:space="preserve">374. </w:t>
            </w:r>
            <w:r>
              <w:rPr>
                <w:color w:val="000000"/>
                <w:spacing w:val="0"/>
                <w:w w:val="100"/>
                <w:position w:val="0"/>
                <w:sz w:val="16"/>
                <w:szCs w:val="16"/>
              </w:rPr>
              <w:t>00</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23,250, </w:t>
            </w:r>
            <w:r>
              <w:rPr>
                <w:color w:val="000000"/>
                <w:spacing w:val="0"/>
                <w:w w:val="100"/>
                <w:position w:val="0"/>
                <w:sz w:val="16"/>
                <w:szCs w:val="16"/>
              </w:rPr>
              <w:t xml:space="preserve">047. </w:t>
            </w:r>
            <w:r>
              <w:rPr>
                <w:color w:val="000000"/>
                <w:spacing w:val="0"/>
                <w:w w:val="100"/>
                <w:position w:val="0"/>
                <w:sz w:val="16"/>
                <w:szCs w:val="16"/>
              </w:rPr>
              <w:t>76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16,364,723.90</w:t>
            </w:r>
          </w:p>
        </w:tc>
      </w:tr>
    </w:tbl>
    <w:p>
      <w:pPr>
        <w:spacing w:lineRule="exact" w:line="1"/>
        <w:rPr>
          <w:sz w:val="2"/>
          <w:szCs w:val="2"/>
        </w:rPr>
      </w:pPr>
      <w:r>
        <w:br w:type="page"/>
      </w:r>
    </w:p>
    <w:p>
      <w:pPr>
        <w:pStyle w:val="Style34"/>
        <w:keepNext/>
        <w:keepLines/>
        <w:widowControl w:val="0"/>
        <w:numPr>
          <w:ilvl w:val="0"/>
          <w:numId w:val="69"/>
        </w:numPr>
        <w:shd w:val="clear" w:color="auto" w:fill="auto"/>
        <w:bidi w:val="0"/>
        <w:spacing w:before="0" w:after="80" w:line="240" w:lineRule="auto"/>
        <w:ind w:left="0" w:right="0" w:firstLine="160"/>
        <w:jc w:val="left"/>
      </w:pPr>
      <w:bookmarkStart w:id="1241" w:name="bookmark1241"/>
      <w:bookmarkStart w:id="1242" w:name="bookmark1242"/>
      <w:bookmarkStart w:id="1243" w:name="bookmark1243"/>
      <w:bookmarkStart w:id="1244" w:name="bookmark1244"/>
      <w:bookmarkEnd w:id="1243"/>
      <w:r>
        <w:rPr>
          <w:color w:val="000000"/>
          <w:spacing w:val="0"/>
          <w:w w:val="100"/>
          <w:position w:val="0"/>
        </w:rPr>
        <w:t>合同负债主要涉及本集团从不同客户的服务合同中收取的预收款。该预收款在合同签订时收取，金</w:t>
      </w:r>
      <w:bookmarkEnd w:id="1241"/>
      <w:bookmarkEnd w:id="1242"/>
      <w:bookmarkEnd w:id="1244"/>
    </w:p>
    <w:p>
      <w:pPr>
        <w:pStyle w:val="Style34"/>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5" w:name="bookmark1245"/>
      <w:r>
        <w:rPr>
          <w:color w:val="000000"/>
          <w:spacing w:val="0"/>
          <w:w w:val="100"/>
          <w:position w:val="0"/>
        </w:rPr>
        <w:t>额为合同对价的固定百分比。合同的相关收入将在本集团履行履约义务后确认。</w:t>
      </w:r>
      <w:bookmarkEnd w:id="1241"/>
      <w:bookmarkEnd w:id="1242"/>
      <w:bookmarkEnd w:id="1245"/>
    </w:p>
    <w:p>
      <w:pPr>
        <w:pStyle w:val="Style34"/>
        <w:keepNext/>
        <w:keepLines/>
        <w:widowControl w:val="0"/>
        <w:numPr>
          <w:ilvl w:val="0"/>
          <w:numId w:val="69"/>
        </w:numPr>
        <w:shd w:val="clear" w:color="auto" w:fill="auto"/>
        <w:bidi w:val="0"/>
        <w:spacing w:before="0" w:after="380" w:line="240" w:lineRule="auto"/>
        <w:ind w:left="0" w:right="0" w:firstLine="0"/>
        <w:jc w:val="left"/>
      </w:pPr>
      <w:bookmarkStart w:id="1246" w:name="bookmark1246"/>
      <w:bookmarkStart w:id="1247" w:name="bookmark1247"/>
      <w:bookmarkStart w:id="1248" w:name="bookmark1248"/>
      <w:bookmarkStart w:id="1249" w:name="bookmark1249"/>
      <w:bookmarkEnd w:id="1248"/>
      <w:r>
        <w:rPr>
          <w:color w:val="000000"/>
          <w:spacing w:val="0"/>
          <w:w w:val="100"/>
          <w:position w:val="0"/>
        </w:rPr>
        <w:t>本集团账龄超过一年的合同负债主要为收到服务项目的预收款。</w:t>
      </w:r>
      <w:bookmarkEnd w:id="1246"/>
      <w:bookmarkEnd w:id="1247"/>
      <w:bookmarkEnd w:id="1249"/>
    </w:p>
    <w:p>
      <w:pPr>
        <w:pStyle w:val="Style34"/>
        <w:keepNext/>
        <w:keepLines/>
        <w:widowControl w:val="0"/>
        <w:numPr>
          <w:ilvl w:val="0"/>
          <w:numId w:val="69"/>
        </w:numPr>
        <w:shd w:val="clear" w:color="auto" w:fill="auto"/>
        <w:bidi w:val="0"/>
        <w:spacing w:before="0" w:after="320" w:line="240" w:lineRule="auto"/>
        <w:ind w:left="0" w:right="0" w:firstLine="0"/>
        <w:jc w:val="left"/>
      </w:pPr>
      <w:bookmarkStart w:id="1246" w:name="bookmark1246"/>
      <w:bookmarkStart w:id="1247" w:name="bookmark1247"/>
      <w:bookmarkStart w:id="1250" w:name="bookmark1250"/>
      <w:bookmarkStart w:id="1251" w:name="bookmark1251"/>
      <w:bookmarkEnd w:id="1250"/>
      <w:r>
        <w:rPr>
          <w:color w:val="000000"/>
          <w:spacing w:val="0"/>
          <w:w w:val="100"/>
          <w:position w:val="0"/>
        </w:rPr>
        <w:t>本集团的合同负债余额本年的重大变动如下:</w:t>
      </w:r>
      <w:bookmarkEnd w:id="1246"/>
      <w:bookmarkEnd w:id="1247"/>
      <w:bookmarkEnd w:id="1251"/>
    </w:p>
    <w:tbl>
      <w:tblPr>
        <w:tblOverlap w:val="never"/>
        <w:jc w:val="center"/>
        <w:tblLayout w:type="fixed"/>
      </w:tblPr>
      <w:tblGrid>
        <w:gridCol w:w="7248"/>
        <w:gridCol w:w="2016"/>
      </w:tblGrid>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变动金额</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原收入准则下的年初余额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首次执行新收入准则的调整金额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16,364,723.90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调整后的年初余额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16,364,723.90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包括在合同负债年初账面价值中的金额所确认的收入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(13,273,878.75)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因收到现金而增加的金额(不包含本年已确认为收入的金额)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20,159,202.61</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年末金额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23,250, </w:t>
            </w:r>
            <w:r>
              <w:rPr>
                <w:color w:val="000000"/>
                <w:spacing w:val="0"/>
                <w:w w:val="100"/>
                <w:position w:val="0"/>
                <w:sz w:val="16"/>
                <w:szCs w:val="16"/>
              </w:rPr>
              <w:t xml:space="preserve">047. </w:t>
            </w:r>
            <w:r>
              <w:rPr>
                <w:color w:val="000000"/>
                <w:spacing w:val="0"/>
                <w:w w:val="100"/>
                <w:position w:val="0"/>
                <w:sz w:val="16"/>
                <w:szCs w:val="16"/>
              </w:rPr>
              <w:t>76</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252"/>
      <w:bookmarkEnd w:id="1253"/>
      <w:bookmarkEnd w:id="1255"/>
    </w:p>
    <w:p>
      <w:pPr>
        <w:pStyle w:val="Style34"/>
        <w:keepNext/>
        <w:keepLines/>
        <w:widowControl w:val="0"/>
        <w:shd w:val="clear" w:color="auto" w:fill="auto"/>
        <w:bidi w:val="0"/>
        <w:spacing w:before="0" w:after="320" w:line="240" w:lineRule="auto"/>
        <w:ind w:left="0" w:right="0" w:firstLine="160"/>
        <w:jc w:val="left"/>
      </w:pPr>
      <w:bookmarkStart w:id="1252" w:name="bookmark1252"/>
      <w:bookmarkStart w:id="1253" w:name="bookmark1253"/>
      <w:bookmarkStart w:id="1256" w:name="bookmark1256"/>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52"/>
      <w:bookmarkEnd w:id="1253"/>
      <w:bookmarkEnd w:id="1256"/>
    </w:p>
    <w:tbl>
      <w:tblPr>
        <w:tblOverlap w:val="never"/>
        <w:jc w:val="center"/>
        <w:tblLayout w:type="fixed"/>
      </w:tblPr>
      <w:tblGrid>
        <w:gridCol w:w="3110"/>
        <w:gridCol w:w="1531"/>
        <w:gridCol w:w="1531"/>
        <w:gridCol w:w="1531"/>
        <w:gridCol w:w="1560"/>
      </w:tblGrid>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60" w:firstLine="0"/>
              <w:jc w:val="right"/>
            </w:pPr>
            <w:r>
              <w:rPr>
                <w:color w:val="000000"/>
                <w:spacing w:val="0"/>
                <w:w w:val="100"/>
                <w:position w:val="0"/>
              </w:rPr>
              <w:t>本年减少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sz w:val="16"/>
                <w:szCs w:val="16"/>
              </w:rPr>
              <w:t xml:space="preserve">2020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日期末余额</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40, 023, </w:t>
            </w:r>
            <w:r>
              <w:rPr>
                <w:color w:val="000000"/>
                <w:spacing w:val="0"/>
                <w:w w:val="100"/>
                <w:position w:val="0"/>
                <w:sz w:val="16"/>
                <w:szCs w:val="16"/>
              </w:rPr>
              <w:t xml:space="preserve">908.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224, 377, </w:t>
            </w:r>
            <w:r>
              <w:rPr>
                <w:color w:val="000000"/>
                <w:spacing w:val="0"/>
                <w:w w:val="100"/>
                <w:position w:val="0"/>
                <w:sz w:val="16"/>
                <w:szCs w:val="16"/>
              </w:rPr>
              <w:t xml:space="preserve">244.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(215,123,347.69)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49,277,805.42</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离职后福利-设定提存计划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023.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4,112,587.04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(4,273,590.72)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(21,980.40)</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679.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(26, </w:t>
            </w:r>
            <w:r>
              <w:rPr>
                <w:color w:val="000000"/>
                <w:spacing w:val="0"/>
                <w:w w:val="100"/>
                <w:position w:val="0"/>
                <w:sz w:val="16"/>
                <w:szCs w:val="16"/>
              </w:rPr>
              <w:t xml:space="preserve">679.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r>
      <w:tr>
        <w:trPr>
          <w:trHeight w:val="34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40, </w:t>
            </w:r>
            <w:r>
              <w:rPr>
                <w:color w:val="000000"/>
                <w:spacing w:val="0"/>
                <w:w w:val="100"/>
                <w:position w:val="0"/>
                <w:sz w:val="16"/>
                <w:szCs w:val="16"/>
              </w:rPr>
              <w:t>162,932.20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228,516,510. </w:t>
            </w:r>
            <w:r>
              <w:rPr>
                <w:color w:val="000000"/>
                <w:spacing w:val="0"/>
                <w:w w:val="100"/>
                <w:position w:val="0"/>
                <w:sz w:val="16"/>
                <w:szCs w:val="16"/>
              </w:rPr>
              <w:t>55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(219, </w:t>
            </w:r>
            <w:r>
              <w:rPr>
                <w:color w:val="000000"/>
                <w:spacing w:val="0"/>
                <w:w w:val="100"/>
                <w:position w:val="0"/>
                <w:sz w:val="16"/>
                <w:szCs w:val="16"/>
              </w:rPr>
              <w:t>423,617.73)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49,255,825.02</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r>
        <w:rPr>
          <w:color w:val="000000"/>
          <w:spacing w:val="0"/>
          <w:w w:val="100"/>
          <w:position w:val="0"/>
        </w:rPr>
        <w:t>短期薪酬</w:t>
      </w:r>
      <w:bookmarkEnd w:id="1257"/>
      <w:bookmarkEnd w:id="1258"/>
      <w:bookmarkEnd w:id="1259"/>
    </w:p>
    <w:tbl>
      <w:tblPr>
        <w:tblOverlap w:val="never"/>
        <w:jc w:val="center"/>
        <w:tblLayout w:type="fixed"/>
      </w:tblPr>
      <w:tblGrid>
        <w:gridCol w:w="3110"/>
        <w:gridCol w:w="1531"/>
        <w:gridCol w:w="1531"/>
        <w:gridCol w:w="1531"/>
        <w:gridCol w:w="1560"/>
      </w:tblGrid>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60" w:firstLine="0"/>
              <w:jc w:val="right"/>
            </w:pPr>
            <w:r>
              <w:rPr>
                <w:color w:val="000000"/>
                <w:spacing w:val="0"/>
                <w:w w:val="100"/>
                <w:position w:val="0"/>
              </w:rPr>
              <w:t>本年减少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6"/>
                <w:szCs w:val="16"/>
              </w:rPr>
              <w:t xml:space="preserve">2020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日期末余额</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39, </w:t>
            </w:r>
            <w:r>
              <w:rPr>
                <w:color w:val="000000"/>
                <w:spacing w:val="0"/>
                <w:w w:val="100"/>
                <w:position w:val="0"/>
                <w:sz w:val="16"/>
                <w:szCs w:val="16"/>
              </w:rPr>
              <w:t>873,583.92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198,788, </w:t>
            </w:r>
            <w:r>
              <w:rPr>
                <w:color w:val="000000"/>
                <w:spacing w:val="0"/>
                <w:w w:val="100"/>
                <w:position w:val="0"/>
                <w:sz w:val="16"/>
                <w:szCs w:val="16"/>
              </w:rPr>
              <w:t xml:space="preserve">138.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(189, 754, </w:t>
            </w:r>
            <w:r>
              <w:rPr>
                <w:color w:val="000000"/>
                <w:spacing w:val="0"/>
                <w:w w:val="100"/>
                <w:position w:val="0"/>
                <w:sz w:val="16"/>
                <w:szCs w:val="16"/>
              </w:rPr>
              <w:t xml:space="preserve">003.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48,907,718.85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职工福利费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4,214, </w:t>
            </w:r>
            <w:r>
              <w:rPr>
                <w:color w:val="000000"/>
                <w:spacing w:val="0"/>
                <w:w w:val="100"/>
                <w:position w:val="0"/>
                <w:sz w:val="16"/>
                <w:szCs w:val="16"/>
              </w:rPr>
              <w:t xml:space="preserve">078.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w:t>
            </w:r>
            <w:r>
              <w:rPr>
                <w:color w:val="000000"/>
                <w:spacing w:val="0"/>
                <w:w w:val="100"/>
                <w:position w:val="0"/>
                <w:sz w:val="16"/>
                <w:szCs w:val="16"/>
              </w:rPr>
              <w:t>074,532.41)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139,546.00</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医疗保险费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4, </w:t>
            </w:r>
            <w:r>
              <w:rPr>
                <w:color w:val="000000"/>
                <w:spacing w:val="0"/>
                <w:w w:val="100"/>
                <w:position w:val="0"/>
                <w:sz w:val="16"/>
                <w:szCs w:val="16"/>
              </w:rPr>
              <w:t>463,271.70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(4, 446, </w:t>
            </w:r>
            <w:r>
              <w:rPr>
                <w:color w:val="000000"/>
                <w:spacing w:val="0"/>
                <w:w w:val="100"/>
                <w:position w:val="0"/>
                <w:sz w:val="16"/>
                <w:szCs w:val="16"/>
              </w:rPr>
              <w:t xml:space="preserve">840.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16,431.51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103.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103.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272,386.71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(272,386.71)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住房公积金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6,325.00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8, 079, </w:t>
            </w:r>
            <w:r>
              <w:rPr>
                <w:color w:val="000000"/>
                <w:spacing w:val="0"/>
                <w:w w:val="100"/>
                <w:position w:val="0"/>
                <w:sz w:val="16"/>
                <w:szCs w:val="16"/>
              </w:rPr>
              <w:t xml:space="preserve">699.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(8, 086, </w:t>
            </w:r>
            <w:r>
              <w:rPr>
                <w:color w:val="000000"/>
                <w:spacing w:val="0"/>
                <w:w w:val="100"/>
                <w:position w:val="0"/>
                <w:sz w:val="16"/>
                <w:szCs w:val="16"/>
              </w:rPr>
              <w:t xml:space="preserve">024.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 xml:space="preserve">1, 944, </w:t>
            </w:r>
            <w:r>
              <w:rPr>
                <w:color w:val="000000"/>
                <w:spacing w:val="0"/>
                <w:w w:val="100"/>
                <w:position w:val="0"/>
                <w:sz w:val="16"/>
                <w:szCs w:val="16"/>
              </w:rPr>
              <w:t xml:space="preserve">379.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(1, 940, </w:t>
            </w:r>
            <w:r>
              <w:rPr>
                <w:color w:val="000000"/>
                <w:spacing w:val="0"/>
                <w:w w:val="100"/>
                <w:position w:val="0"/>
                <w:sz w:val="16"/>
                <w:szCs w:val="16"/>
              </w:rPr>
              <w:t xml:space="preserve">069.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6"/>
                <w:szCs w:val="16"/>
              </w:rPr>
            </w:pPr>
            <w:r>
              <w:rPr>
                <w:color w:val="000000"/>
                <w:spacing w:val="0"/>
                <w:w w:val="100"/>
                <w:position w:val="0"/>
                <w:sz w:val="16"/>
                <w:szCs w:val="16"/>
              </w:rPr>
              <w:t>4,309.06</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劳务外包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6"/>
                <w:szCs w:val="16"/>
              </w:rPr>
            </w:pPr>
            <w:r>
              <w:rPr>
                <w:color w:val="000000"/>
                <w:spacing w:val="0"/>
                <w:w w:val="100"/>
                <w:position w:val="0"/>
                <w:sz w:val="16"/>
                <w:szCs w:val="16"/>
              </w:rPr>
              <w:t>6,339,213.27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(6,339,213.27)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80" w:right="0" w:firstLine="0"/>
              <w:jc w:val="left"/>
              <w:rPr>
                <w:sz w:val="16"/>
                <w:szCs w:val="16"/>
              </w:rPr>
            </w:pPr>
            <w:r>
              <w:rPr>
                <w:color w:val="000000"/>
                <w:spacing w:val="0"/>
                <w:w w:val="100"/>
                <w:position w:val="0"/>
                <w:sz w:val="16"/>
                <w:szCs w:val="16"/>
              </w:rPr>
              <w:t>-</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其他短期薪酬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973.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(183, </w:t>
            </w:r>
            <w:r>
              <w:rPr>
                <w:color w:val="000000"/>
                <w:spacing w:val="0"/>
                <w:w w:val="100"/>
                <w:position w:val="0"/>
                <w:sz w:val="16"/>
                <w:szCs w:val="16"/>
              </w:rPr>
              <w:t xml:space="preserve">173.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209,800.00</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 xml:space="preserve">40, 023, </w:t>
            </w:r>
            <w:r>
              <w:rPr>
                <w:color w:val="000000"/>
                <w:spacing w:val="0"/>
                <w:w w:val="100"/>
                <w:position w:val="0"/>
                <w:sz w:val="16"/>
                <w:szCs w:val="16"/>
              </w:rPr>
              <w:t xml:space="preserve">908.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both"/>
              <w:rPr>
                <w:sz w:val="16"/>
                <w:szCs w:val="16"/>
              </w:rPr>
            </w:pPr>
            <w:r>
              <w:rPr>
                <w:color w:val="000000"/>
                <w:spacing w:val="0"/>
                <w:w w:val="100"/>
                <w:position w:val="0"/>
                <w:sz w:val="16"/>
                <w:szCs w:val="16"/>
              </w:rPr>
              <w:t xml:space="preserve">224, 377, </w:t>
            </w:r>
            <w:r>
              <w:rPr>
                <w:color w:val="000000"/>
                <w:spacing w:val="0"/>
                <w:w w:val="100"/>
                <w:position w:val="0"/>
                <w:sz w:val="16"/>
                <w:szCs w:val="16"/>
              </w:rPr>
              <w:t xml:space="preserve">244. </w:t>
            </w:r>
            <w:r>
              <w:rPr>
                <w:color w:val="000000"/>
                <w:spacing w:val="0"/>
                <w:w w:val="100"/>
                <w:position w:val="0"/>
                <w:sz w:val="16"/>
                <w:szCs w:val="16"/>
              </w:rPr>
              <w:t>19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(215,123,347.69)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6"/>
                <w:szCs w:val="16"/>
              </w:rPr>
            </w:pPr>
            <w:r>
              <w:rPr>
                <w:color w:val="000000"/>
                <w:spacing w:val="0"/>
                <w:w w:val="100"/>
                <w:position w:val="0"/>
                <w:sz w:val="16"/>
                <w:szCs w:val="16"/>
              </w:rPr>
              <w:t>49,277,805.42</w:t>
            </w:r>
          </w:p>
        </w:tc>
      </w:tr>
    </w:tbl>
    <w:p>
      <w:pPr>
        <w:spacing w:lineRule="exact" w:line="1"/>
        <w:rPr>
          <w:sz w:val="2"/>
          <w:szCs w:val="2"/>
        </w:rPr>
      </w:pPr>
      <w:r>
        <w:br w:type="page"/>
      </w:r>
    </w:p>
    <w:p>
      <w:pPr>
        <w:pStyle w:val="Style34"/>
        <w:keepNext/>
        <w:keepLines/>
        <w:widowControl w:val="0"/>
        <w:shd w:val="clear" w:color="auto" w:fill="auto"/>
        <w:bidi w:val="0"/>
        <w:spacing w:before="0" w:after="34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w:t>
      </w:r>
      <w:bookmarkEnd w:id="1262"/>
      <w:r>
        <w:rPr>
          <w:rFonts w:ascii="Times New Roman" w:eastAsia="Times New Roman" w:hAnsi="Times New Roman" w:cs="Times New Roman"/>
          <w:color w:val="000000"/>
          <w:spacing w:val="0"/>
          <w:w w:val="100"/>
          <w:position w:val="0"/>
        </w:rPr>
        <w:t>3）</w:t>
      </w:r>
      <w:r>
        <w:rPr>
          <w:color w:val="000000"/>
          <w:spacing w:val="0"/>
          <w:w w:val="100"/>
          <w:position w:val="0"/>
        </w:rPr>
        <w:t>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设定提存计划</w:t>
      </w:r>
      <w:bookmarkEnd w:id="1260"/>
      <w:bookmarkEnd w:id="1261"/>
      <w:bookmarkEnd w:id="1263"/>
    </w:p>
    <w:tbl>
      <w:tblPr>
        <w:tblOverlap w:val="never"/>
        <w:jc w:val="center"/>
        <w:tblLayout w:type="fixed"/>
      </w:tblPr>
      <w:tblGrid>
        <w:gridCol w:w="3110"/>
        <w:gridCol w:w="1531"/>
        <w:gridCol w:w="1531"/>
        <w:gridCol w:w="1531"/>
        <w:gridCol w:w="1560"/>
      </w:tblGrid>
      <w:tr>
        <w:trPr>
          <w:trHeight w:val="58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50" w:lineRule="exact"/>
              <w:ind w:left="0" w:right="0" w:firstLine="0"/>
              <w:jc w:val="center"/>
            </w:pPr>
            <w:r>
              <w:rPr>
                <w:color w:val="000000"/>
                <w:spacing w:val="0"/>
                <w:w w:val="100"/>
                <w:position w:val="0"/>
                <w:sz w:val="16"/>
                <w:szCs w:val="16"/>
              </w:rPr>
              <w:t xml:space="preserve">2019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6"/>
                <w:szCs w:val="16"/>
              </w:rPr>
              <w:t xml:space="preserve">2020 </w:t>
            </w:r>
            <w:r>
              <w:rPr>
                <w:color w:val="000000"/>
                <w:spacing w:val="0"/>
                <w:w w:val="100"/>
                <w:position w:val="0"/>
              </w:rPr>
              <w:t xml:space="preserve">年 </w:t>
            </w:r>
            <w:r>
              <w:rPr>
                <w:color w:val="000000"/>
                <w:spacing w:val="0"/>
                <w:w w:val="100"/>
                <w:position w:val="0"/>
                <w:sz w:val="16"/>
                <w:szCs w:val="16"/>
              </w:rPr>
              <w:t xml:space="preserve">12 </w:t>
            </w:r>
            <w:r>
              <w:rPr>
                <w:color w:val="000000"/>
                <w:spacing w:val="0"/>
                <w:w w:val="100"/>
                <w:position w:val="0"/>
              </w:rPr>
              <w:t xml:space="preserve">月 </w:t>
            </w:r>
            <w:r>
              <w:rPr>
                <w:color w:val="000000"/>
                <w:spacing w:val="0"/>
                <w:w w:val="100"/>
                <w:position w:val="0"/>
                <w:sz w:val="16"/>
                <w:szCs w:val="16"/>
              </w:rPr>
              <w:t xml:space="preserve">31 </w:t>
            </w:r>
            <w:r>
              <w:rPr>
                <w:color w:val="000000"/>
                <w:spacing w:val="0"/>
                <w:w w:val="100"/>
                <w:position w:val="0"/>
              </w:rPr>
              <w:t>日期末余额</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023.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4, 050, </w:t>
            </w:r>
            <w:r>
              <w:rPr>
                <w:color w:val="000000"/>
                <w:spacing w:val="0"/>
                <w:w w:val="100"/>
                <w:position w:val="0"/>
                <w:sz w:val="16"/>
                <w:szCs w:val="16"/>
              </w:rPr>
              <w:t xml:space="preserve">191.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(4,211, </w:t>
            </w:r>
            <w:r>
              <w:rPr>
                <w:color w:val="000000"/>
                <w:spacing w:val="0"/>
                <w:w w:val="100"/>
                <w:position w:val="0"/>
                <w:sz w:val="16"/>
                <w:szCs w:val="16"/>
              </w:rPr>
              <w:t xml:space="preserve">194.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(21,980.40)</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00" w:right="0" w:firstLine="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62,395.80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(62,395.80)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60" w:firstLine="0"/>
              <w:jc w:val="right"/>
              <w:rPr>
                <w:sz w:val="16"/>
                <w:szCs w:val="16"/>
              </w:rPr>
            </w:pPr>
            <w:r>
              <w:rPr>
                <w:color w:val="000000"/>
                <w:spacing w:val="0"/>
                <w:w w:val="100"/>
                <w:position w:val="0"/>
                <w:sz w:val="16"/>
                <w:szCs w:val="16"/>
              </w:rPr>
              <w:t>-</w:t>
            </w:r>
          </w:p>
        </w:tc>
      </w:tr>
      <w:tr>
        <w:trPr>
          <w:trHeight w:val="34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139, </w:t>
            </w:r>
            <w:r>
              <w:rPr>
                <w:color w:val="000000"/>
                <w:spacing w:val="0"/>
                <w:w w:val="100"/>
                <w:position w:val="0"/>
                <w:sz w:val="16"/>
                <w:szCs w:val="16"/>
              </w:rPr>
              <w:t xml:space="preserve">023. </w:t>
            </w:r>
            <w:r>
              <w:rPr>
                <w:color w:val="000000"/>
                <w:spacing w:val="0"/>
                <w:w w:val="100"/>
                <w:position w:val="0"/>
                <w:sz w:val="16"/>
                <w:szCs w:val="16"/>
              </w:rPr>
              <w:t>28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4,112,587.04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(4,273,590.72)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6"/>
                <w:szCs w:val="16"/>
              </w:rPr>
            </w:pPr>
            <w:r>
              <w:rPr>
                <w:color w:val="000000"/>
                <w:spacing w:val="0"/>
                <w:w w:val="100"/>
                <w:position w:val="0"/>
                <w:sz w:val="16"/>
                <w:szCs w:val="16"/>
              </w:rPr>
              <w:t>(21,980.40)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264"/>
      <w:bookmarkEnd w:id="1265"/>
      <w:bookmarkEnd w:id="126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410"/>
        <w:gridCol w:w="2410"/>
        <w:gridCol w:w="2414"/>
      </w:tblGrid>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1,383,492.56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865,398.49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865,398.49</w:t>
            </w:r>
          </w:p>
        </w:tc>
      </w:tr>
      <w:tr>
        <w:trPr>
          <w:trHeight w:val="44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9,152,169.15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12,891,524.23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12,706,098.14</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1,206,473.19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1,314,153.47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1,314,153.47</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620,526.09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568,742.82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568,742.82</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442,245.30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406,332.77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406,332.77</w:t>
            </w:r>
          </w:p>
        </w:tc>
      </w:tr>
      <w:tr>
        <w:trPr>
          <w:trHeight w:val="44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7,816.75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13,027.92</w:t>
            </w:r>
          </w:p>
        </w:tc>
      </w:tr>
      <w:tr>
        <w:trPr>
          <w:trHeight w:val="4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347,806.90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351,223.33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351,223.33</w:t>
            </w:r>
          </w:p>
        </w:tc>
      </w:tr>
      <w:tr>
        <w:trPr>
          <w:trHeight w:val="43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14,497.61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14,497.61</w:t>
            </w:r>
          </w:p>
        </w:tc>
      </w:tr>
      <w:tr>
        <w:trPr>
          <w:trHeight w:val="4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13,169,228.51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16,424,900.63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16,239,474.55</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4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268"/>
      <w:bookmarkEnd w:id="1269"/>
      <w:bookmarkEnd w:id="1271"/>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66,269,232.78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24,449,884.85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66,269,232.78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24,449,884.85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272" w:name="bookmark1272"/>
      <w:bookmarkStart w:id="1273" w:name="bookmark1273"/>
      <w:bookmarkStart w:id="1274" w:name="bookmark12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72"/>
      <w:bookmarkEnd w:id="1273"/>
      <w:bookmarkEnd w:id="1274"/>
    </w:p>
    <w:p>
      <w:pPr>
        <w:pStyle w:val="Style34"/>
        <w:keepNext/>
        <w:keepLines/>
        <w:widowControl w:val="0"/>
        <w:shd w:val="clear" w:color="auto" w:fill="auto"/>
        <w:bidi w:val="0"/>
        <w:spacing w:before="0" w:after="340" w:line="240" w:lineRule="auto"/>
        <w:ind w:left="0" w:right="0" w:firstLine="0"/>
        <w:jc w:val="left"/>
      </w:pPr>
      <w:bookmarkStart w:id="1272" w:name="bookmark1272"/>
      <w:bookmarkStart w:id="1273" w:name="bookmark1273"/>
      <w:bookmarkStart w:id="1275" w:name="bookmark1275"/>
      <w:bookmarkStart w:id="1276" w:name="bookmark1276"/>
      <w:r>
        <w:rPr>
          <w:rFonts w:ascii="Times New Roman" w:eastAsia="Times New Roman" w:hAnsi="Times New Roman" w:cs="Times New Roman"/>
          <w:color w:val="000000"/>
          <w:spacing w:val="0"/>
          <w:w w:val="100"/>
          <w:position w:val="0"/>
        </w:rPr>
        <w:t>1</w:t>
      </w:r>
      <w:bookmarkEnd w:id="1275"/>
      <w:r>
        <w:rPr>
          <w:color w:val="000000"/>
          <w:spacing w:val="0"/>
          <w:w w:val="100"/>
          <w:position w:val="0"/>
        </w:rPr>
        <w:t>）按款项性质列示其他应付款</w:t>
      </w:r>
      <w:bookmarkEnd w:id="1272"/>
      <w:bookmarkEnd w:id="1273"/>
      <w:bookmarkEnd w:id="1276"/>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应付代建工程款</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58,238,033.36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15,352,405.13</w:t>
            </w:r>
          </w:p>
        </w:tc>
      </w:tr>
    </w:tbl>
    <w:p>
      <w:pPr>
        <w:widowControl w:val="0"/>
        <w:spacing w:line="1" w:lineRule="exact"/>
      </w:pPr>
      <w:r>
        <w:br w:type="page"/>
      </w:r>
    </w:p>
    <w:tbl>
      <w:tblPr>
        <w:tblOverlap w:val="never"/>
        <w:jc w:val="center"/>
        <w:tblLayout w:type="fixed"/>
      </w:tblPr>
      <w:tblGrid>
        <w:gridCol w:w="3254"/>
        <w:gridCol w:w="3192"/>
        <w:gridCol w:w="3259"/>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2,922,844.14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3,228,957.36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393,415.16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334,058.53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4,714,940.12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5,534,463.83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66,269,232.78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24,449,884.85</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2</w:t>
      </w:r>
      <w:bookmarkEnd w:id="1279"/>
      <w:r>
        <w:rPr>
          <w:rFonts w:ascii="Times New Roman" w:eastAsia="Times New Roman" w:hAnsi="Times New Roman" w:cs="Times New Roman"/>
          <w:color w:val="000000"/>
          <w:spacing w:val="0"/>
          <w:w w:val="100"/>
          <w:position w:val="0"/>
        </w:rPr>
        <w:t>5</w:t>
      </w:r>
      <w:r>
        <w:rPr>
          <w:color w:val="000000"/>
          <w:spacing w:val="0"/>
          <w:w w:val="100"/>
          <w:position w:val="0"/>
        </w:rPr>
        <w:t>、一年内到期的非流动负债</w:t>
      </w:r>
      <w:bookmarkEnd w:id="1277"/>
      <w:bookmarkEnd w:id="1278"/>
      <w:bookmarkEnd w:id="128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294,027.78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203,333.33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294,027.78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203,333.33</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一年内到期的非流动负债为按照财会</w:t>
      </w:r>
      <w:r>
        <w:rPr>
          <w:rFonts w:ascii="Times New Roman" w:eastAsia="Times New Roman" w:hAnsi="Times New Roman" w:cs="Times New Roman"/>
          <w:color w:val="000000"/>
          <w:spacing w:val="0"/>
          <w:w w:val="100"/>
          <w:position w:val="0"/>
          <w:sz w:val="18"/>
          <w:szCs w:val="18"/>
        </w:rPr>
        <w:t xml:space="preserve">[2019]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号的规定列示的长期借款应付利息。</w:t>
      </w:r>
    </w:p>
    <w:p>
      <w:pPr>
        <w:pStyle w:val="Style34"/>
        <w:keepNext/>
        <w:keepLines/>
        <w:widowControl w:val="0"/>
        <w:shd w:val="clear" w:color="auto" w:fill="auto"/>
        <w:bidi w:val="0"/>
        <w:spacing w:before="0" w:line="240" w:lineRule="auto"/>
        <w:ind w:left="0" w:right="0" w:firstLine="0"/>
        <w:jc w:val="left"/>
      </w:pPr>
      <w:bookmarkStart w:id="1281" w:name="bookmark1281"/>
      <w:bookmarkStart w:id="1282" w:name="bookmark1282"/>
      <w:bookmarkStart w:id="1283" w:name="bookmark1283"/>
      <w:bookmarkStart w:id="1284" w:name="bookmark1284"/>
      <w:r>
        <w:rPr>
          <w:rFonts w:ascii="Times New Roman" w:eastAsia="Times New Roman" w:hAnsi="Times New Roman" w:cs="Times New Roman"/>
          <w:color w:val="000000"/>
          <w:spacing w:val="0"/>
          <w:w w:val="100"/>
          <w:position w:val="0"/>
        </w:rPr>
        <w:t>2</w:t>
      </w:r>
      <w:bookmarkEnd w:id="1283"/>
      <w:r>
        <w:rPr>
          <w:rFonts w:ascii="Times New Roman" w:eastAsia="Times New Roman" w:hAnsi="Times New Roman" w:cs="Times New Roman"/>
          <w:color w:val="000000"/>
          <w:spacing w:val="0"/>
          <w:w w:val="100"/>
          <w:position w:val="0"/>
        </w:rPr>
        <w:t>6</w:t>
      </w:r>
      <w:r>
        <w:rPr>
          <w:color w:val="000000"/>
          <w:spacing w:val="0"/>
          <w:w w:val="100"/>
          <w:position w:val="0"/>
        </w:rPr>
        <w:t>、其他流动负债</w:t>
      </w:r>
      <w:bookmarkEnd w:id="1281"/>
      <w:bookmarkEnd w:id="1282"/>
      <w:bookmarkEnd w:id="1284"/>
    </w:p>
    <w:p>
      <w:pPr>
        <w:pStyle w:val="Style3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2414"/>
        <w:gridCol w:w="2410"/>
        <w:gridCol w:w="2405"/>
        <w:gridCol w:w="2419"/>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22,490,942.38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14,118,832.08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14,414,119.24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22,490,942.38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14,118,832.08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14,414,119.24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其他流动负债为待转销项税额。</w:t>
      </w:r>
    </w:p>
    <w:p>
      <w:pPr>
        <w:widowControl w:val="0"/>
        <w:spacing w:after="399" w:line="1" w:lineRule="exact"/>
      </w:pPr>
    </w:p>
    <w:p>
      <w:pPr>
        <w:pStyle w:val="Style34"/>
        <w:keepNext/>
        <w:keepLines/>
        <w:widowControl w:val="0"/>
        <w:shd w:val="clear" w:color="auto" w:fill="auto"/>
        <w:bidi w:val="0"/>
        <w:spacing w:before="0" w:line="240" w:lineRule="auto"/>
        <w:ind w:left="0" w:right="0" w:firstLine="0"/>
        <w:jc w:val="left"/>
      </w:pPr>
      <w:bookmarkStart w:id="1285" w:name="bookmark1285"/>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2</w:t>
      </w:r>
      <w:bookmarkEnd w:id="1287"/>
      <w:r>
        <w:rPr>
          <w:rFonts w:ascii="Times New Roman" w:eastAsia="Times New Roman" w:hAnsi="Times New Roman" w:cs="Times New Roman"/>
          <w:color w:val="000000"/>
          <w:spacing w:val="0"/>
          <w:w w:val="100"/>
          <w:position w:val="0"/>
        </w:rPr>
        <w:t>7</w:t>
      </w:r>
      <w:r>
        <w:rPr>
          <w:color w:val="000000"/>
          <w:spacing w:val="0"/>
          <w:w w:val="100"/>
          <w:position w:val="0"/>
        </w:rPr>
        <w:t>、长期借款</w:t>
      </w:r>
      <w:bookmarkEnd w:id="1285"/>
      <w:bookmarkEnd w:id="1286"/>
      <w:bookmarkEnd w:id="1288"/>
    </w:p>
    <w:p>
      <w:pPr>
        <w:pStyle w:val="Style34"/>
        <w:keepNext/>
        <w:keepLines/>
        <w:widowControl w:val="0"/>
        <w:shd w:val="clear" w:color="auto" w:fill="auto"/>
        <w:bidi w:val="0"/>
        <w:spacing w:before="0" w:line="240" w:lineRule="auto"/>
        <w:ind w:left="0" w:right="0" w:firstLine="140"/>
        <w:jc w:val="left"/>
      </w:pPr>
      <w:bookmarkStart w:id="1285" w:name="bookmark1285"/>
      <w:bookmarkStart w:id="1286" w:name="bookmark1286"/>
      <w:bookmarkStart w:id="1289" w:name="bookmark12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85"/>
      <w:bookmarkEnd w:id="1286"/>
      <w:bookmarkEnd w:id="1289"/>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）长期借款情况</w:t>
      </w: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3254"/>
        <w:gridCol w:w="1416"/>
        <w:gridCol w:w="994"/>
        <w:gridCol w:w="811"/>
        <w:gridCol w:w="1618"/>
        <w:gridCol w:w="1622"/>
      </w:tblGrid>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借款开始日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合同到期日</w:t>
            </w:r>
          </w:p>
        </w:tc>
      </w:tr>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招商银行股份有限公司深圳梅林支行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招商银行股份有限公司深圳梅林支行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5.4625%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46"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招商银行股份有限公司深圳梅林支行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bl>
    <w:p>
      <w:pPr>
        <w:widowControl w:val="0"/>
        <w:spacing w:line="1" w:lineRule="exact"/>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534" w:right="980" w:bottom="1367" w:left="1003" w:header="0" w:footer="3" w:gutter="0"/>
          <w:cols w:space="720"/>
          <w:noEndnote/>
          <w:rtlGutter w:val="0"/>
          <w:docGrid w:linePitch="360"/>
        </w:sectPr>
      </w:pPr>
    </w:p>
    <w:tbl>
      <w:tblPr>
        <w:tblOverlap w:val="never"/>
        <w:jc w:val="center"/>
        <w:tblLayout w:type="fixed"/>
      </w:tblPr>
      <w:tblGrid>
        <w:gridCol w:w="3254"/>
        <w:gridCol w:w="1416"/>
        <w:gridCol w:w="994"/>
        <w:gridCol w:w="811"/>
        <w:gridCol w:w="1618"/>
        <w:gridCol w:w="1622"/>
      </w:tblGrid>
      <w:tr>
        <w:trPr>
          <w:trHeight w:val="4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招商银行股份有限公司深圳梅林支行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抵押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招商银行股份有限公司深圳梅林支行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抵押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招商银行股份有限公司深圳梅林支行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抵押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43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招商银行股份有限公司深圳梅林支行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抵押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r>
      <w:tr>
        <w:trPr>
          <w:trHeight w:val="4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）根据长期借款的实际借款利率计提的将于一年内支付的应付利息人民币</w:t>
      </w:r>
      <w:r>
        <w:rPr>
          <w:rFonts w:ascii="Times New Roman" w:eastAsia="Times New Roman" w:hAnsi="Times New Roman" w:cs="Times New Roman"/>
          <w:color w:val="000000"/>
          <w:spacing w:val="0"/>
          <w:w w:val="100"/>
          <w:position w:val="0"/>
          <w:sz w:val="18"/>
          <w:szCs w:val="18"/>
        </w:rPr>
        <w:t>294,027.78</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年：人民币</w:t>
      </w:r>
      <w:r>
        <w:rPr>
          <w:rFonts w:ascii="Times New Roman" w:eastAsia="Times New Roman" w:hAnsi="Times New Roman" w:cs="Times New Roman"/>
          <w:color w:val="000000"/>
          <w:spacing w:val="0"/>
          <w:w w:val="100"/>
          <w:position w:val="0"/>
          <w:sz w:val="18"/>
          <w:szCs w:val="18"/>
        </w:rPr>
        <w:t>203,333.33</w:t>
      </w:r>
      <w:r>
        <w:rPr>
          <w:color w:val="000000"/>
          <w:spacing w:val="0"/>
          <w:w w:val="100"/>
          <w:position w:val="0"/>
        </w:rPr>
        <w:t>元） 归集在一年内到期的非流动负债科目。</w:t>
      </w:r>
    </w:p>
    <w:p>
      <w:pPr>
        <w:pStyle w:val="Style21"/>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其他说明，包括利率区间：</w:t>
      </w:r>
    </w:p>
    <w:p>
      <w:pPr>
        <w:pStyle w:val="Style21"/>
        <w:keepNext w:val="0"/>
        <w:keepLines w:val="0"/>
        <w:widowControl w:val="0"/>
        <w:shd w:val="clear" w:color="auto" w:fill="auto"/>
        <w:bidi w:val="0"/>
        <w:spacing w:before="0" w:after="420" w:line="326"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2</w:t>
      </w:r>
      <w:bookmarkEnd w:id="1292"/>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290"/>
      <w:bookmarkEnd w:id="1291"/>
      <w:bookmarkEnd w:id="129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46,270,283.31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25,967,730.74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19,036,458.65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53,201,555.40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46,270,283.31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25,967,730.74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19,036,458.65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53,201,555.40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58"/>
        <w:gridCol w:w="1138"/>
        <w:gridCol w:w="1272"/>
        <w:gridCol w:w="850"/>
        <w:gridCol w:w="1138"/>
        <w:gridCol w:w="850"/>
        <w:gridCol w:w="566"/>
        <w:gridCol w:w="1133"/>
        <w:gridCol w:w="682"/>
      </w:tblGrid>
      <w:tr>
        <w:trPr>
          <w:trHeight w:val="134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本期计入其 他收益金额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与资产 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 关</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中美低碳建筑与社区创 新实验中心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启动区碳排放实时监测 公共平台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12,184,898.19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-3,675,701.26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3,970,804.05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4,538,392.88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98" w:lineRule="exact"/>
              <w:ind w:left="0" w:right="0" w:firstLine="0"/>
              <w:jc w:val="left"/>
            </w:pPr>
            <w:r>
              <w:rPr>
                <w:color w:val="000000"/>
                <w:spacing w:val="0"/>
                <w:w w:val="100"/>
                <w:position w:val="0"/>
              </w:rPr>
              <w:t>国际低碳城碳认证服务 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4,213,728.07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3,298,319.00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3,315,409.07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低碳检测服务机构培育 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2,719,876.08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529,317.00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3,090,559.08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0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深圳国际低碳城中美中 心建设渣土资源化利用 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1,221,558.00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4,704,000.00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3,197,698.00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2,727,860.00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建科大楼（节能贴息）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1,905,092.97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101,650.90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1,803,442.07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低压直流建筑关键技术 验证与产品研发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1,271,200.00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121,983.69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1,149,216.31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城市地面关键公共基础</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1,002,000.00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1,002,000.00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w:t>
            </w:r>
          </w:p>
        </w:tc>
      </w:tr>
    </w:tbl>
    <w:p>
      <w:pPr>
        <w:widowControl w:val="0"/>
        <w:spacing w:line="1" w:lineRule="exact"/>
      </w:pPr>
      <w:r>
        <w:br w:type="page"/>
      </w:r>
    </w:p>
    <w:tbl>
      <w:tblPr>
        <w:tblOverlap w:val="never"/>
        <w:jc w:val="center"/>
        <w:tblLayout w:type="fixed"/>
      </w:tblPr>
      <w:tblGrid>
        <w:gridCol w:w="1958"/>
        <w:gridCol w:w="1138"/>
        <w:gridCol w:w="1272"/>
        <w:gridCol w:w="850"/>
        <w:gridCol w:w="1138"/>
        <w:gridCol w:w="850"/>
        <w:gridCol w:w="566"/>
        <w:gridCol w:w="1142"/>
        <w:gridCol w:w="672"/>
      </w:tblGrid>
      <w:tr>
        <w:trPr>
          <w:trHeight w:val="259" w:hRule="exact"/>
        </w:trPr>
        <w:tc>
          <w:tcPr>
            <w:gridSpan w:val="5"/>
            <w:tcBorders/>
            <w:shd w:val="clear" w:color="auto" w:fill="FFFFFF"/>
            <w:vAlign w:val="top"/>
          </w:tcPr>
          <w:p>
            <w:pPr>
              <w:pStyle w:val="Style27"/>
              <w:keepNext w:val="0"/>
              <w:keepLines w:val="0"/>
              <w:widowControl w:val="0"/>
              <w:shd w:val="clear" w:color="auto" w:fill="auto"/>
              <w:tabs>
                <w:tab w:pos="4952" w:val="left"/>
              </w:tabs>
              <w:bidi w:val="0"/>
              <w:spacing w:before="0" w:after="0" w:line="240" w:lineRule="auto"/>
              <w:ind w:left="0" w:right="0" w:firstLine="200"/>
              <w:jc w:val="left"/>
            </w:pPr>
            <w:r>
              <w:rPr>
                <w:color w:val="162A8D"/>
                <w:spacing w:val="0"/>
                <w:w w:val="100"/>
                <w:position w:val="0"/>
              </w:rPr>
              <w:t>■</w:t>
              <w:tab/>
            </w:r>
            <w:r>
              <w:rPr>
                <w:color w:val="000000"/>
                <w:spacing w:val="0"/>
                <w:w w:val="100"/>
                <w:position w:val="0"/>
              </w:rPr>
              <w:t>深圳市建筑科学研</w:t>
            </w:r>
          </w:p>
        </w:tc>
        <w:tc>
          <w:tcPr>
            <w:gridSpan w:val="3"/>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F</w:t>
            </w:r>
            <w:r>
              <w:rPr>
                <w:color w:val="000000"/>
                <w:spacing w:val="0"/>
                <w:w w:val="100"/>
                <w:position w:val="0"/>
              </w:rPr>
              <w:t>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w:t>
            </w:r>
          </w:p>
        </w:tc>
        <w:tc>
          <w:tcPr>
            <w:tcBorders>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史告全文</w:t>
            </w:r>
          </w:p>
        </w:tc>
      </w:tr>
      <w:tr>
        <w:trPr>
          <w:trHeight w:val="6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设施的性能评估、性能</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预测与安全预警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深圳市低碳试点示范项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1,753,515.70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995,573.16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757,942.54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既有城市工业区信息化</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升级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945,282.25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338,300.00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608,033.29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675,548.96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既有城市工业区环境安 全及低影响开发关键技 术研究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544,123.70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237,658.49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576,465.21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废弃物资源化利用技术 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834,388.52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237,100.00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503,555.92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567,932.60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既有居住建筑室内外环 境宜居改善关键技术研 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517,972.86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138,592.00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203,960.30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452,604.56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城市节能和低碳解决方</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案的工具研究与开发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359,534.44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304,648.00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404,886.44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绿色建筑节能示范工程</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补贴（建科大楼）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385,000.00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365,000.00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195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福田区配套资助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住宅 通风和空气净化过滤技 术实施及效果评测及节 能、经济、适用的通风 及空气质量控制方法和 技术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346,100.00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346,100.00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城市能源结构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碳排放</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大气污染协同机理研究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290,782.50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其他与资产相关项目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97,999.64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与资产</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其他与收益相关项目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3,587,312.89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2,386,140.00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4,836,039.71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1,137,413.18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与收益</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46,270,283.31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25,967,730.74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19,036,458.65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53,201,555.40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其他说明: 无。</w:t>
      </w:r>
    </w:p>
    <w:p>
      <w:pPr>
        <w:pStyle w:val="Style34"/>
        <w:keepNext/>
        <w:keepLines/>
        <w:widowControl w:val="0"/>
        <w:shd w:val="clear" w:color="auto" w:fill="auto"/>
        <w:bidi w:val="0"/>
        <w:spacing w:before="0" w:after="380" w:line="240" w:lineRule="auto"/>
        <w:ind w:left="0" w:right="0" w:firstLine="0"/>
        <w:jc w:val="left"/>
      </w:pPr>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294"/>
      <w:bookmarkEnd w:id="1295"/>
      <w:bookmarkEnd w:id="1296"/>
    </w:p>
    <w:p>
      <w:pPr>
        <w:pStyle w:val="Style2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p>
      <w:pPr>
        <w:widowControl w:val="0"/>
        <w:spacing w:line="1" w:lineRule="exact"/>
        <w:sectPr>
          <w:headerReference w:type="default" r:id="rId267"/>
          <w:footerReference w:type="default" r:id="rId268"/>
          <w:headerReference w:type="even" r:id="rId269"/>
          <w:footerReference w:type="even" r:id="rId270"/>
          <w:headerReference w:type="first" r:id="rId271"/>
          <w:footerReference w:type="first" r:id="rId272"/>
          <w:footnotePr>
            <w:pos w:val="pageBottom"/>
            <w:numFmt w:val="decimal"/>
            <w:numRestart w:val="continuous"/>
          </w:footnotePr>
          <w:pgSz w:w="11900" w:h="16840"/>
          <w:pgMar w:top="1534" w:right="980" w:bottom="1367" w:left="1003" w:header="0" w:footer="3" w:gutter="0"/>
          <w:cols w:space="720"/>
          <w:noEndnote/>
          <w:titlePg/>
          <w:rtlGutter w:val="0"/>
          <w:docGrid w:linePitch="360"/>
        </w:sectPr>
      </w:pPr>
      <w:r>
        <mc:AlternateContent>
          <mc:Choice Requires="wps">
            <w:drawing>
              <wp:anchor distT="0" distB="0" distL="0" distR="0" simplePos="0" relativeHeight="125829416" behindDoc="0" locked="0" layoutInCell="1" allowOverlap="1">
                <wp:simplePos x="0" y="0"/>
                <wp:positionH relativeFrom="page">
                  <wp:posOffset>740410</wp:posOffset>
                </wp:positionH>
                <wp:positionV relativeFrom="paragraph">
                  <wp:posOffset>0</wp:posOffset>
                </wp:positionV>
                <wp:extent cx="3048000" cy="518160"/>
                <wp:wrapTopAndBottom/>
                <wp:docPr id="727" name="Shape 727"/>
                <a:graphic xmlns:a="http://schemas.openxmlformats.org/drawingml/2006/main">
                  <a:graphicData uri="http://schemas.microsoft.com/office/word/2010/wordprocessingShape">
                    <wps:wsp>
                      <wps:cNvSpPr txBox="1"/>
                      <wps:spPr>
                        <a:xfrm>
                          <a:ext cx="3048000" cy="518160"/>
                        </a:xfrm>
                        <a:prstGeom prst="rect"/>
                        <a:noFill/>
                      </wps:spPr>
                      <wps:txbx>
                        <w:txbxContent>
                          <w:tbl>
                            <w:tblPr>
                              <w:tblOverlap w:val="never"/>
                              <w:jc w:val="left"/>
                              <w:tblLayout w:type="fixed"/>
                            </w:tblPr>
                            <w:tblGrid>
                              <w:gridCol w:w="1205"/>
                              <w:gridCol w:w="1195"/>
                              <w:gridCol w:w="1195"/>
                              <w:gridCol w:w="1205"/>
                            </w:tblGrid>
                            <w:tr>
                              <w:trPr>
                                <w:tblHeade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本次</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r>
                          </w:tbl>
                          <w:p>
                            <w:pPr>
                              <w:widowControl w:val="0"/>
                              <w:spacing w:line="1" w:lineRule="exact"/>
                            </w:pPr>
                          </w:p>
                        </w:txbxContent>
                      </wps:txbx>
                      <wps:bodyPr lIns="0" tIns="0" rIns="0" bIns="0">
                        <a:noAutoFit/>
                      </wps:bodyPr>
                    </wps:wsp>
                  </a:graphicData>
                </a:graphic>
              </wp:anchor>
            </w:drawing>
          </mc:Choice>
          <mc:Fallback>
            <w:pict>
              <v:shape id="_x0000_s1753" type="#_x0000_t202" style="position:absolute;margin-left:58.300000000000004pt;margin-top:0;width:240.pt;height:40.800000000000004pt;z-index:-125829337;mso-wrap-distance-left:0;mso-wrap-distance-right:0;mso-position-horizontal-relative:page" filled="f" stroked="f">
                <v:textbox inset="0,0,0,0">
                  <w:txbxContent>
                    <w:tbl>
                      <w:tblPr>
                        <w:tblOverlap w:val="never"/>
                        <w:jc w:val="left"/>
                        <w:tblLayout w:type="fixed"/>
                      </w:tblPr>
                      <w:tblGrid>
                        <w:gridCol w:w="1205"/>
                        <w:gridCol w:w="1195"/>
                        <w:gridCol w:w="1195"/>
                        <w:gridCol w:w="1205"/>
                      </w:tblGrid>
                      <w:tr>
                        <w:trPr>
                          <w:tblHeade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本次</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18" behindDoc="0" locked="0" layoutInCell="1" allowOverlap="1">
                <wp:simplePos x="0" y="0"/>
                <wp:positionH relativeFrom="page">
                  <wp:posOffset>3776345</wp:posOffset>
                </wp:positionH>
                <wp:positionV relativeFrom="paragraph">
                  <wp:posOffset>0</wp:posOffset>
                </wp:positionV>
                <wp:extent cx="3051175" cy="518160"/>
                <wp:wrapTopAndBottom/>
                <wp:docPr id="729" name="Shape 729"/>
                <a:graphic xmlns:a="http://schemas.openxmlformats.org/drawingml/2006/main">
                  <a:graphicData uri="http://schemas.microsoft.com/office/word/2010/wordprocessingShape">
                    <wps:wsp>
                      <wps:cNvSpPr txBox="1"/>
                      <wps:spPr>
                        <a:xfrm>
                          <a:ext cx="3051175" cy="518160"/>
                        </a:xfrm>
                        <a:prstGeom prst="rect"/>
                        <a:noFill/>
                      </wps:spPr>
                      <wps:txbx>
                        <w:txbxContent>
                          <w:tbl>
                            <w:tblPr>
                              <w:tblOverlap w:val="never"/>
                              <w:jc w:val="left"/>
                              <w:tblLayout w:type="fixed"/>
                            </w:tblPr>
                            <w:tblGrid>
                              <w:gridCol w:w="1205"/>
                              <w:gridCol w:w="1200"/>
                              <w:gridCol w:w="1195"/>
                              <w:gridCol w:w="1205"/>
                            </w:tblGrid>
                            <w:tr>
                              <w:trPr>
                                <w:tblHeader/>
                                <w:trHeight w:val="403" w:hRule="exact"/>
                              </w:trPr>
                              <w:tc>
                                <w:tcPr>
                                  <w:gridSpan w:val="3"/>
                                  <w:tcBorders>
                                    <w:top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w:t>
                                  </w:r>
                                  <w:r>
                                    <w:rPr>
                                      <w:color w:val="000000"/>
                                      <w:spacing w:val="0"/>
                                      <w:w w:val="100"/>
                                      <w:position w:val="0"/>
                                    </w:rPr>
                                    <w:t>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755" type="#_x0000_t202" style="position:absolute;margin-left:297.35000000000002pt;margin-top:0;width:240.25pt;height:40.800000000000004pt;z-index:-125829335;mso-wrap-distance-left:0;mso-wrap-distance-right:0;mso-position-horizontal-relative:page" filled="f" stroked="f">
                <v:textbox inset="0,0,0,0">
                  <w:txbxContent>
                    <w:tbl>
                      <w:tblPr>
                        <w:tblOverlap w:val="never"/>
                        <w:jc w:val="left"/>
                        <w:tblLayout w:type="fixed"/>
                      </w:tblPr>
                      <w:tblGrid>
                        <w:gridCol w:w="1205"/>
                        <w:gridCol w:w="1200"/>
                        <w:gridCol w:w="1195"/>
                        <w:gridCol w:w="1205"/>
                      </w:tblGrid>
                      <w:tr>
                        <w:trPr>
                          <w:tblHeader/>
                          <w:trHeight w:val="403" w:hRule="exact"/>
                        </w:trPr>
                        <w:tc>
                          <w:tcPr>
                            <w:gridSpan w:val="3"/>
                            <w:tcBorders>
                              <w:top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K</w:t>
                            </w:r>
                            <w:r>
                              <w:rPr>
                                <w:color w:val="000000"/>
                                <w:spacing w:val="0"/>
                                <w:w w:val="100"/>
                                <w:position w:val="0"/>
                              </w:rPr>
                              <w:t>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v:textbox>
                <w10:wrap type="topAndBottom" anchorx="page"/>
              </v:shape>
            </w:pict>
          </mc:Fallback>
        </mc:AlternateContent>
      </w:r>
    </w:p>
    <w:p>
      <w:pPr>
        <w:pStyle w:val="Style39"/>
        <w:keepNext w:val="0"/>
        <w:keepLines w:val="0"/>
        <w:widowControl w:val="0"/>
        <w:shd w:val="clear" w:color="auto" w:fill="auto"/>
        <w:tabs>
          <w:tab w:pos="1214" w:val="left"/>
          <w:tab w:pos="3211" w:val="left"/>
          <w:tab w:pos="4406" w:val="left"/>
        </w:tabs>
        <w:bidi w:val="0"/>
        <w:spacing w:before="0" w:after="200" w:line="240" w:lineRule="auto"/>
        <w:ind w:left="0" w:right="0" w:firstLine="0"/>
        <w:jc w:val="left"/>
      </w:pPr>
      <w:r>
        <mc:AlternateContent>
          <mc:Choice Requires="wps">
            <w:drawing>
              <wp:anchor distT="0" distB="0" distL="114300" distR="114300" simplePos="0" relativeHeight="125829420" behindDoc="0" locked="0" layoutInCell="1" allowOverlap="1">
                <wp:simplePos x="0" y="0"/>
                <wp:positionH relativeFrom="page">
                  <wp:posOffset>4570095</wp:posOffset>
                </wp:positionH>
                <wp:positionV relativeFrom="paragraph">
                  <wp:posOffset>38100</wp:posOffset>
                </wp:positionV>
                <wp:extent cx="2267585" cy="115570"/>
                <wp:wrapSquare wrapText="left"/>
                <wp:docPr id="731" name="Shape 731"/>
                <a:graphic xmlns:a="http://schemas.openxmlformats.org/drawingml/2006/main">
                  <a:graphicData uri="http://schemas.microsoft.com/office/word/2010/wordprocessingShape">
                    <wps:wsp>
                      <wps:cNvSpPr txBox="1"/>
                      <wps:spPr>
                        <a:xfrm>
                          <a:ext cx="2267585" cy="115570"/>
                        </a:xfrm>
                        <a:prstGeom prst="rect"/>
                        <a:noFill/>
                      </wps:spPr>
                      <wps:txbx>
                        <w:txbxContent>
                          <w:p>
                            <w:pPr>
                              <w:pStyle w:val="Style39"/>
                              <w:keepNext w:val="0"/>
                              <w:keepLines w:val="0"/>
                              <w:widowControl w:val="0"/>
                              <w:shd w:val="clear" w:color="auto" w:fill="auto"/>
                              <w:tabs>
                                <w:tab w:pos="1190" w:val="left"/>
                              </w:tabs>
                              <w:bidi w:val="0"/>
                              <w:spacing w:before="0" w:after="0" w:line="240" w:lineRule="auto"/>
                              <w:ind w:left="0" w:right="0" w:firstLine="0"/>
                              <w:jc w:val="right"/>
                            </w:pPr>
                            <w:r>
                              <w:rPr>
                                <w:color w:val="000000"/>
                                <w:spacing w:val="0"/>
                                <w:w w:val="100"/>
                                <w:position w:val="0"/>
                              </w:rPr>
                              <w:t>0.00</w:t>
                              <w:tab/>
                              <w:t>0.00 146,666,700.00</w:t>
                            </w:r>
                          </w:p>
                        </w:txbxContent>
                      </wps:txbx>
                      <wps:bodyPr wrap="none" lIns="0" tIns="0" rIns="0" bIns="0">
                        <a:noAutoFit/>
                      </wps:bodyPr>
                    </wps:wsp>
                  </a:graphicData>
                </a:graphic>
              </wp:anchor>
            </w:drawing>
          </mc:Choice>
          <mc:Fallback>
            <w:pict>
              <v:shape id="_x0000_s1757" type="#_x0000_t202" style="position:absolute;margin-left:359.85000000000002pt;margin-top:3.pt;width:178.55000000000001pt;height:9.0999999999999996pt;z-index:-125829333;mso-wrap-distance-left:9.pt;mso-wrap-distance-right:9.pt;mso-position-horizontal-relative:page" filled="f" stroked="f">
                <v:textbox inset="0,0,0,0">
                  <w:txbxContent>
                    <w:p>
                      <w:pPr>
                        <w:pStyle w:val="Style39"/>
                        <w:keepNext w:val="0"/>
                        <w:keepLines w:val="0"/>
                        <w:widowControl w:val="0"/>
                        <w:shd w:val="clear" w:color="auto" w:fill="auto"/>
                        <w:tabs>
                          <w:tab w:pos="1190" w:val="left"/>
                        </w:tabs>
                        <w:bidi w:val="0"/>
                        <w:spacing w:before="0" w:after="0" w:line="240" w:lineRule="auto"/>
                        <w:ind w:left="0" w:right="0" w:firstLine="0"/>
                        <w:jc w:val="right"/>
                      </w:pPr>
                      <w:r>
                        <w:rPr>
                          <w:color w:val="000000"/>
                          <w:spacing w:val="0"/>
                          <w:w w:val="100"/>
                          <w:position w:val="0"/>
                        </w:rPr>
                        <w:t>0.00</w:t>
                        <w:tab/>
                        <w:t>0.00 146,666,700.00</w:t>
                      </w:r>
                    </w:p>
                  </w:txbxContent>
                </v:textbox>
                <w10:wrap type="square" side="left" anchorx="page"/>
              </v:shape>
            </w:pict>
          </mc:Fallback>
        </mc:AlternateContent>
      </w:r>
      <w:r>
        <w:rPr>
          <w:rFonts w:ascii="SimSun" w:eastAsia="SimSun" w:hAnsi="SimSun" w:cs="SimSun"/>
          <w:color w:val="000000"/>
          <w:spacing w:val="0"/>
          <w:w w:val="100"/>
          <w:position w:val="0"/>
          <w:sz w:val="17"/>
          <w:szCs w:val="17"/>
        </w:rPr>
        <w:t>股份总数</w:t>
        <w:tab/>
      </w:r>
      <w:r>
        <w:rPr>
          <w:color w:val="000000"/>
          <w:spacing w:val="0"/>
          <w:w w:val="100"/>
          <w:position w:val="0"/>
        </w:rPr>
        <w:t>146,666,700.00</w:t>
        <w:tab/>
        <w:t>0.00</w:t>
        <w:tab/>
        <w:t>0.00</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其他说明: </w:t>
      </w: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3</w:t>
      </w:r>
      <w:bookmarkEnd w:id="1299"/>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297"/>
      <w:bookmarkEnd w:id="1298"/>
      <w:bookmarkEnd w:id="130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126,541,353.92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126,541,353.92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127,541,353.92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127,541,353.92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r>
        <w:rPr>
          <w:rFonts w:ascii="Times New Roman" w:eastAsia="Times New Roman" w:hAnsi="Times New Roman" w:cs="Times New Roman"/>
          <w:color w:val="000000"/>
          <w:spacing w:val="0"/>
          <w:w w:val="100"/>
          <w:position w:val="0"/>
        </w:rPr>
        <w:t>3</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301"/>
      <w:bookmarkEnd w:id="1302"/>
      <w:bookmarkEnd w:id="13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16,395,079.97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2,501,031.71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18,896,111.68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16,395,079.97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2,501,031.71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18,896,111.68</w:t>
            </w:r>
          </w:p>
        </w:tc>
      </w:tr>
    </w:tbl>
    <w:p>
      <w:pPr>
        <w:pStyle w:val="Style2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盈余公积说明，包括本期增减变动情况、变动原因说明: 法定盈余公积按净利润的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提取。</w:t>
      </w:r>
    </w:p>
    <w:p>
      <w:pPr>
        <w:pStyle w:val="Style34"/>
        <w:keepNext/>
        <w:keepLines/>
        <w:widowControl w:val="0"/>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3</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、未分配利润</w:t>
      </w:r>
      <w:bookmarkEnd w:id="1305"/>
      <w:bookmarkEnd w:id="1306"/>
      <w:bookmarkEnd w:id="1308"/>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179,021,444.99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154,114,765.30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1,050,747.91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180,072,192.90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154,114,765.30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43,866,588.22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36,620,943.28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2,501,031.71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1,447,594.59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11,000,002.50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10,266,669.00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210,437,746.91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179,021,444.99</w:t>
            </w:r>
          </w:p>
        </w:tc>
      </w:tr>
    </w:tbl>
    <w:p>
      <w:pPr>
        <w:widowControl w:val="0"/>
        <w:spacing w:after="13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1"/>
        <w:keepNext w:val="0"/>
        <w:keepLines w:val="0"/>
        <w:widowControl w:val="0"/>
        <w:shd w:val="clear" w:color="auto" w:fill="auto"/>
        <w:tabs>
          <w:tab w:pos="330" w:val="left"/>
        </w:tabs>
        <w:bidi w:val="0"/>
        <w:spacing w:before="0" w:after="140" w:line="240" w:lineRule="auto"/>
        <w:ind w:left="0" w:right="0" w:firstLine="0"/>
        <w:jc w:val="left"/>
      </w:pPr>
      <w:bookmarkStart w:id="1309" w:name="bookmark1309"/>
      <w:r>
        <w:rPr>
          <w:rFonts w:ascii="Times New Roman" w:eastAsia="Times New Roman" w:hAnsi="Times New Roman" w:cs="Times New Roman"/>
          <w:color w:val="000000"/>
          <w:spacing w:val="0"/>
          <w:w w:val="100"/>
          <w:position w:val="0"/>
          <w:sz w:val="18"/>
          <w:szCs w:val="18"/>
        </w:rPr>
        <w:t>1</w:t>
      </w:r>
      <w:bookmarkEnd w:id="130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310" w:name="bookmark1310"/>
      <w:r>
        <w:rPr>
          <w:rFonts w:ascii="Times New Roman" w:eastAsia="Times New Roman" w:hAnsi="Times New Roman" w:cs="Times New Roman"/>
          <w:color w:val="000000"/>
          <w:spacing w:val="0"/>
          <w:w w:val="100"/>
          <w:position w:val="0"/>
          <w:sz w:val="18"/>
          <w:szCs w:val="18"/>
        </w:rPr>
        <w:t>2</w:t>
      </w:r>
      <w:bookmarkEnd w:id="131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1,050,747.91</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311" w:name="bookmark1311"/>
      <w:r>
        <w:rPr>
          <w:rFonts w:ascii="Times New Roman" w:eastAsia="Times New Roman" w:hAnsi="Times New Roman" w:cs="Times New Roman"/>
          <w:color w:val="000000"/>
          <w:spacing w:val="0"/>
          <w:w w:val="100"/>
          <w:position w:val="0"/>
          <w:sz w:val="18"/>
          <w:szCs w:val="18"/>
        </w:rPr>
        <w:t>3</w:t>
      </w:r>
      <w:bookmarkEnd w:id="13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40" w:line="240" w:lineRule="auto"/>
        <w:ind w:left="0" w:right="0" w:firstLine="0"/>
        <w:jc w:val="left"/>
      </w:pPr>
      <w:bookmarkStart w:id="1312" w:name="bookmark1312"/>
      <w:r>
        <w:rPr>
          <w:rFonts w:ascii="Times New Roman" w:eastAsia="Times New Roman" w:hAnsi="Times New Roman" w:cs="Times New Roman"/>
          <w:color w:val="000000"/>
          <w:spacing w:val="0"/>
          <w:w w:val="100"/>
          <w:position w:val="0"/>
          <w:sz w:val="18"/>
          <w:szCs w:val="18"/>
        </w:rPr>
        <w:t>4</w:t>
      </w:r>
      <w:bookmarkEnd w:id="13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1"/>
        <w:keepNext w:val="0"/>
        <w:keepLines w:val="0"/>
        <w:widowControl w:val="0"/>
        <w:shd w:val="clear" w:color="auto" w:fill="auto"/>
        <w:tabs>
          <w:tab w:pos="349" w:val="left"/>
        </w:tabs>
        <w:bidi w:val="0"/>
        <w:spacing w:before="0" w:after="160" w:line="240" w:lineRule="auto"/>
        <w:ind w:left="0" w:right="0" w:firstLine="0"/>
        <w:jc w:val="left"/>
      </w:pPr>
      <w:bookmarkStart w:id="1313" w:name="bookmark1313"/>
      <w:r>
        <w:rPr>
          <w:rFonts w:ascii="Times New Roman" w:eastAsia="Times New Roman" w:hAnsi="Times New Roman" w:cs="Times New Roman"/>
          <w:color w:val="000000"/>
          <w:spacing w:val="0"/>
          <w:w w:val="100"/>
          <w:position w:val="0"/>
          <w:sz w:val="18"/>
          <w:szCs w:val="18"/>
        </w:rPr>
        <w:t>5</w:t>
      </w:r>
      <w:bookmarkEnd w:id="13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4"/>
        <w:keepNext/>
        <w:keepLines/>
        <w:widowControl w:val="0"/>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3</w:t>
      </w:r>
      <w:bookmarkEnd w:id="1316"/>
      <w:r>
        <w:rPr>
          <w:rFonts w:ascii="Times New Roman" w:eastAsia="Times New Roman" w:hAnsi="Times New Roman" w:cs="Times New Roman"/>
          <w:color w:val="000000"/>
          <w:spacing w:val="0"/>
          <w:w w:val="100"/>
          <w:position w:val="0"/>
        </w:rPr>
        <w:t>3</w:t>
      </w:r>
      <w:r>
        <w:rPr>
          <w:color w:val="000000"/>
          <w:spacing w:val="0"/>
          <w:w w:val="100"/>
          <w:position w:val="0"/>
        </w:rPr>
        <w:t>、营业收入和营业成本</w:t>
      </w:r>
      <w:bookmarkEnd w:id="1314"/>
      <w:bookmarkEnd w:id="1315"/>
      <w:bookmarkEnd w:id="1317"/>
    </w:p>
    <w:p>
      <w:pPr>
        <w:pStyle w:val="Style34"/>
        <w:keepNext/>
        <w:keepLines/>
        <w:widowControl w:val="0"/>
        <w:shd w:val="clear" w:color="auto" w:fill="auto"/>
        <w:bidi w:val="0"/>
        <w:spacing w:before="0" w:after="320" w:line="240" w:lineRule="auto"/>
        <w:ind w:left="0" w:right="0" w:firstLine="0"/>
        <w:jc w:val="left"/>
      </w:pPr>
      <w:bookmarkStart w:id="1314" w:name="bookmark1314"/>
      <w:bookmarkStart w:id="1315" w:name="bookmark1315"/>
      <w:bookmarkStart w:id="1318" w:name="bookmark1318"/>
      <w:r>
        <w:rPr>
          <w:color w:val="000000"/>
          <w:spacing w:val="0"/>
          <w:w w:val="100"/>
          <w:position w:val="0"/>
          <w:sz w:val="20"/>
          <w:szCs w:val="20"/>
        </w:rPr>
        <w:t>(1)</w:t>
      </w:r>
      <w:r>
        <w:rPr>
          <w:color w:val="000000"/>
          <w:spacing w:val="0"/>
          <w:w w:val="100"/>
          <w:position w:val="0"/>
        </w:rPr>
        <w:t>营业收入、营业成本</w:t>
      </w:r>
      <w:bookmarkEnd w:id="1314"/>
      <w:bookmarkEnd w:id="1315"/>
      <w:bookmarkEnd w:id="1318"/>
    </w:p>
    <w:tbl>
      <w:tblPr>
        <w:tblOverlap w:val="never"/>
        <w:jc w:val="center"/>
        <w:tblLayout w:type="fixed"/>
      </w:tblPr>
      <w:tblGrid>
        <w:gridCol w:w="2995"/>
        <w:gridCol w:w="1560"/>
        <w:gridCol w:w="1560"/>
        <w:gridCol w:w="1555"/>
        <w:gridCol w:w="1594"/>
      </w:tblGrid>
      <w:tr>
        <w:trPr>
          <w:trHeight w:val="35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r>
      <w:tr>
        <w:trPr>
          <w:trHeight w:val="33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成本</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-城市规划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94, </w:t>
            </w:r>
            <w:r>
              <w:rPr>
                <w:color w:val="000000"/>
                <w:spacing w:val="0"/>
                <w:w w:val="100"/>
                <w:position w:val="0"/>
                <w:sz w:val="16"/>
                <w:szCs w:val="16"/>
              </w:rPr>
              <w:t xml:space="preserve">641,652.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53,974, </w:t>
            </w:r>
            <w:r>
              <w:rPr>
                <w:color w:val="000000"/>
                <w:spacing w:val="0"/>
                <w:w w:val="100"/>
                <w:position w:val="0"/>
                <w:sz w:val="16"/>
                <w:szCs w:val="16"/>
              </w:rPr>
              <w:t>083.83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79,535,136.55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46, </w:t>
            </w:r>
            <w:r>
              <w:rPr>
                <w:color w:val="000000"/>
                <w:spacing w:val="0"/>
                <w:w w:val="100"/>
                <w:position w:val="0"/>
                <w:sz w:val="16"/>
                <w:szCs w:val="16"/>
              </w:rPr>
              <w:t>605,681.60</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-公信服务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160, 987, </w:t>
            </w:r>
            <w:r>
              <w:rPr>
                <w:color w:val="000000"/>
                <w:spacing w:val="0"/>
                <w:w w:val="100"/>
                <w:position w:val="0"/>
                <w:sz w:val="16"/>
                <w:szCs w:val="16"/>
              </w:rPr>
              <w:t xml:space="preserve">452.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104, 795, </w:t>
            </w:r>
            <w:r>
              <w:rPr>
                <w:color w:val="000000"/>
                <w:spacing w:val="0"/>
                <w:w w:val="100"/>
                <w:position w:val="0"/>
                <w:sz w:val="16"/>
                <w:szCs w:val="16"/>
              </w:rPr>
              <w:t xml:space="preserve">972.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126, 675, </w:t>
            </w:r>
            <w:r>
              <w:rPr>
                <w:color w:val="000000"/>
                <w:spacing w:val="0"/>
                <w:w w:val="100"/>
                <w:position w:val="0"/>
                <w:sz w:val="16"/>
                <w:szCs w:val="16"/>
              </w:rPr>
              <w:t xml:space="preserve">249.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60, </w:t>
            </w:r>
            <w:r>
              <w:rPr>
                <w:color w:val="000000"/>
                <w:spacing w:val="0"/>
                <w:w w:val="100"/>
                <w:position w:val="0"/>
                <w:sz w:val="16"/>
                <w:szCs w:val="16"/>
              </w:rPr>
              <w:t>243,316.46</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-建筑设计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108, 254, </w:t>
            </w:r>
            <w:r>
              <w:rPr>
                <w:color w:val="000000"/>
                <w:spacing w:val="0"/>
                <w:w w:val="100"/>
                <w:position w:val="0"/>
                <w:sz w:val="16"/>
                <w:szCs w:val="16"/>
              </w:rPr>
              <w:t xml:space="preserve">008.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64,239,273.86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85,403,799. </w:t>
            </w:r>
            <w:r>
              <w:rPr>
                <w:color w:val="000000"/>
                <w:spacing w:val="0"/>
                <w:w w:val="100"/>
                <w:position w:val="0"/>
                <w:sz w:val="16"/>
                <w:szCs w:val="16"/>
              </w:rPr>
              <w:t>16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57,088,188.58</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-建筑咨询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28,702,184.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17,711,609.81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40, 820, </w:t>
            </w:r>
            <w:r>
              <w:rPr>
                <w:color w:val="000000"/>
                <w:spacing w:val="0"/>
                <w:w w:val="100"/>
                <w:position w:val="0"/>
                <w:sz w:val="16"/>
                <w:szCs w:val="16"/>
              </w:rPr>
              <w:t xml:space="preserve">006.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25,470, </w:t>
            </w:r>
            <w:r>
              <w:rPr>
                <w:color w:val="000000"/>
                <w:spacing w:val="0"/>
                <w:w w:val="100"/>
                <w:position w:val="0"/>
                <w:sz w:val="16"/>
                <w:szCs w:val="16"/>
              </w:rPr>
              <w:t>747.36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color w:val="000000"/>
                <w:spacing w:val="0"/>
                <w:w w:val="100"/>
                <w:position w:val="0"/>
                <w:sz w:val="16"/>
                <w:szCs w:val="16"/>
              </w:rPr>
              <w:t>EPC</w:t>
            </w:r>
            <w:r>
              <w:rPr>
                <w:color w:val="000000"/>
                <w:spacing w:val="0"/>
                <w:w w:val="100"/>
                <w:position w:val="0"/>
              </w:rPr>
              <w:t>及项目全过程管理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91,749, </w:t>
            </w:r>
            <w:r>
              <w:rPr>
                <w:color w:val="000000"/>
                <w:spacing w:val="0"/>
                <w:w w:val="100"/>
                <w:position w:val="0"/>
                <w:sz w:val="16"/>
                <w:szCs w:val="16"/>
              </w:rPr>
              <w:t xml:space="preserve">889.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70,737,474.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101,949,597.64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82, 466, </w:t>
            </w:r>
            <w:r>
              <w:rPr>
                <w:color w:val="000000"/>
                <w:spacing w:val="0"/>
                <w:w w:val="100"/>
                <w:position w:val="0"/>
                <w:sz w:val="16"/>
                <w:szCs w:val="16"/>
              </w:rPr>
              <w:t xml:space="preserve">651. </w:t>
            </w:r>
            <w:r>
              <w:rPr>
                <w:color w:val="000000"/>
                <w:spacing w:val="0"/>
                <w:w w:val="100"/>
                <w:position w:val="0"/>
                <w:sz w:val="16"/>
                <w:szCs w:val="16"/>
              </w:rPr>
              <w:t>09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122,482.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19,439,166.06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33,588,270.85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33,567,641.07</w:t>
            </w: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506, 457, </w:t>
            </w:r>
            <w:r>
              <w:rPr>
                <w:color w:val="000000"/>
                <w:spacing w:val="0"/>
                <w:w w:val="100"/>
                <w:position w:val="0"/>
                <w:sz w:val="16"/>
                <w:szCs w:val="16"/>
              </w:rPr>
              <w:t xml:space="preserve">668.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330, </w:t>
            </w:r>
            <w:r>
              <w:rPr>
                <w:color w:val="000000"/>
                <w:spacing w:val="0"/>
                <w:w w:val="100"/>
                <w:position w:val="0"/>
                <w:sz w:val="16"/>
                <w:szCs w:val="16"/>
              </w:rPr>
              <w:t>897,581.35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467, 972, </w:t>
            </w:r>
            <w:r>
              <w:rPr>
                <w:color w:val="000000"/>
                <w:spacing w:val="0"/>
                <w:w w:val="100"/>
                <w:position w:val="0"/>
                <w:sz w:val="16"/>
                <w:szCs w:val="16"/>
              </w:rPr>
              <w:t xml:space="preserve">060.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305,442,226. </w:t>
            </w:r>
            <w:r>
              <w:rPr>
                <w:color w:val="000000"/>
                <w:spacing w:val="0"/>
                <w:w w:val="100"/>
                <w:position w:val="0"/>
                <w:sz w:val="16"/>
                <w:szCs w:val="16"/>
              </w:rPr>
              <w:t>16</w:t>
            </w:r>
          </w:p>
        </w:tc>
      </w:tr>
      <w:tr>
        <w:trPr>
          <w:trHeight w:val="331"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其中：合同产生的收入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495,539,553.69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317,230,727.68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455,372,392.92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291,277,493.84</w:t>
            </w:r>
          </w:p>
        </w:tc>
      </w:tr>
      <w:tr>
        <w:trPr>
          <w:trHeight w:val="36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10,918, </w:t>
            </w:r>
            <w:r>
              <w:rPr>
                <w:color w:val="000000"/>
                <w:spacing w:val="0"/>
                <w:w w:val="100"/>
                <w:position w:val="0"/>
                <w:sz w:val="16"/>
                <w:szCs w:val="16"/>
              </w:rPr>
              <w:t xml:space="preserve">114. </w:t>
            </w:r>
            <w:r>
              <w:rPr>
                <w:color w:val="000000"/>
                <w:spacing w:val="0"/>
                <w:w w:val="100"/>
                <w:position w:val="0"/>
                <w:sz w:val="16"/>
                <w:szCs w:val="16"/>
              </w:rPr>
              <w:t>85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13,666, </w:t>
            </w:r>
            <w:r>
              <w:rPr>
                <w:color w:val="000000"/>
                <w:spacing w:val="0"/>
                <w:w w:val="100"/>
                <w:position w:val="0"/>
                <w:sz w:val="16"/>
                <w:szCs w:val="16"/>
              </w:rPr>
              <w:t>853.67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12,599, </w:t>
            </w:r>
            <w:r>
              <w:rPr>
                <w:color w:val="000000"/>
                <w:spacing w:val="0"/>
                <w:w w:val="100"/>
                <w:position w:val="0"/>
                <w:sz w:val="16"/>
                <w:szCs w:val="16"/>
              </w:rPr>
              <w:t>667.90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14,164,732.32</w:t>
            </w:r>
          </w:p>
        </w:tc>
      </w:tr>
    </w:tbl>
    <w:p>
      <w:pPr>
        <w:widowControl w:val="0"/>
        <w:spacing w:after="319" w:line="1" w:lineRule="exact"/>
      </w:pPr>
    </w:p>
    <w:p>
      <w:pPr>
        <w:pStyle w:val="Style34"/>
        <w:keepNext/>
        <w:keepLines/>
        <w:widowControl w:val="0"/>
        <w:numPr>
          <w:ilvl w:val="0"/>
          <w:numId w:val="65"/>
        </w:numPr>
        <w:shd w:val="clear" w:color="auto" w:fill="auto"/>
        <w:bidi w:val="0"/>
        <w:spacing w:before="0" w:after="320" w:line="240" w:lineRule="auto"/>
        <w:ind w:left="0" w:right="0" w:firstLine="0"/>
        <w:jc w:val="left"/>
      </w:pPr>
      <w:bookmarkStart w:id="1319" w:name="bookmark1319"/>
      <w:bookmarkStart w:id="1320" w:name="bookmark1320"/>
      <w:bookmarkStart w:id="1321" w:name="bookmark1321"/>
      <w:bookmarkStart w:id="1322" w:name="bookmark1322"/>
      <w:bookmarkEnd w:id="1321"/>
      <w:r>
        <w:rPr>
          <w:color w:val="000000"/>
          <w:spacing w:val="0"/>
          <w:w w:val="100"/>
          <w:position w:val="0"/>
        </w:rPr>
        <w:t>经营业务按地区分</w:t>
      </w:r>
      <w:bookmarkEnd w:id="1319"/>
      <w:bookmarkEnd w:id="1320"/>
      <w:bookmarkEnd w:id="1322"/>
    </w:p>
    <w:tbl>
      <w:tblPr>
        <w:tblOverlap w:val="never"/>
        <w:jc w:val="center"/>
        <w:tblLayout w:type="fixed"/>
      </w:tblPr>
      <w:tblGrid>
        <w:gridCol w:w="2995"/>
        <w:gridCol w:w="1560"/>
        <w:gridCol w:w="1560"/>
        <w:gridCol w:w="1555"/>
        <w:gridCol w:w="1594"/>
      </w:tblGrid>
      <w:tr>
        <w:trPr>
          <w:trHeight w:val="350"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pPr>
            <w:r>
              <w:rPr>
                <w:color w:val="000000"/>
                <w:spacing w:val="0"/>
                <w:w w:val="100"/>
                <w:position w:val="0"/>
              </w:rPr>
              <w:t>成本</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101,082,306. </w:t>
            </w:r>
            <w:r>
              <w:rPr>
                <w:color w:val="000000"/>
                <w:spacing w:val="0"/>
                <w:w w:val="100"/>
                <w:position w:val="0"/>
                <w:sz w:val="16"/>
                <w:szCs w:val="16"/>
              </w:rPr>
              <w:t>57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87,614, </w:t>
            </w:r>
            <w:r>
              <w:rPr>
                <w:color w:val="000000"/>
                <w:spacing w:val="0"/>
                <w:w w:val="100"/>
                <w:position w:val="0"/>
                <w:sz w:val="16"/>
                <w:szCs w:val="16"/>
              </w:rPr>
              <w:t>030.34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93,095,675.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78,012,967.71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19,178,378.67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22,624, </w:t>
            </w:r>
            <w:r>
              <w:rPr>
                <w:color w:val="000000"/>
                <w:spacing w:val="0"/>
                <w:w w:val="100"/>
                <w:position w:val="0"/>
                <w:sz w:val="16"/>
                <w:szCs w:val="16"/>
              </w:rPr>
              <w:t>025.60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18, </w:t>
            </w:r>
            <w:r>
              <w:rPr>
                <w:color w:val="000000"/>
                <w:spacing w:val="0"/>
                <w:w w:val="100"/>
                <w:position w:val="0"/>
                <w:sz w:val="16"/>
                <w:szCs w:val="16"/>
              </w:rPr>
              <w:t>687,969.45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12,982,686.46</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329,410, </w:t>
            </w:r>
            <w:r>
              <w:rPr>
                <w:color w:val="000000"/>
                <w:spacing w:val="0"/>
                <w:w w:val="100"/>
                <w:position w:val="0"/>
                <w:sz w:val="16"/>
                <w:szCs w:val="16"/>
              </w:rPr>
              <w:t xml:space="preserve">743.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191,667, </w:t>
            </w:r>
            <w:r>
              <w:rPr>
                <w:color w:val="000000"/>
                <w:spacing w:val="0"/>
                <w:w w:val="100"/>
                <w:position w:val="0"/>
                <w:sz w:val="16"/>
                <w:szCs w:val="16"/>
              </w:rPr>
              <w:t xml:space="preserve">166.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326, </w:t>
            </w:r>
            <w:r>
              <w:rPr>
                <w:color w:val="000000"/>
                <w:spacing w:val="0"/>
                <w:w w:val="100"/>
                <w:position w:val="0"/>
                <w:sz w:val="16"/>
                <w:szCs w:val="16"/>
              </w:rPr>
              <w:t xml:space="preserve">834,318.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192,870, </w:t>
            </w:r>
            <w:r>
              <w:rPr>
                <w:color w:val="000000"/>
                <w:spacing w:val="0"/>
                <w:w w:val="100"/>
                <w:position w:val="0"/>
                <w:sz w:val="16"/>
                <w:szCs w:val="16"/>
              </w:rPr>
              <w:t xml:space="preserve">953. </w:t>
            </w:r>
            <w:r>
              <w:rPr>
                <w:color w:val="000000"/>
                <w:spacing w:val="0"/>
                <w:w w:val="100"/>
                <w:position w:val="0"/>
                <w:sz w:val="16"/>
                <w:szCs w:val="16"/>
              </w:rPr>
              <w:t>12</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44, </w:t>
            </w:r>
            <w:r>
              <w:rPr>
                <w:color w:val="000000"/>
                <w:spacing w:val="0"/>
                <w:w w:val="100"/>
                <w:position w:val="0"/>
                <w:sz w:val="16"/>
                <w:szCs w:val="16"/>
              </w:rPr>
              <w:t>427,455.58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22,385,192.97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15,461,232.84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 xml:space="preserve">11,394, </w:t>
            </w:r>
            <w:r>
              <w:rPr>
                <w:color w:val="000000"/>
                <w:spacing w:val="0"/>
                <w:w w:val="100"/>
                <w:position w:val="0"/>
                <w:sz w:val="16"/>
                <w:szCs w:val="16"/>
              </w:rPr>
              <w:t xml:space="preserve">477. </w:t>
            </w:r>
            <w:r>
              <w:rPr>
                <w:color w:val="000000"/>
                <w:spacing w:val="0"/>
                <w:w w:val="100"/>
                <w:position w:val="0"/>
                <w:sz w:val="16"/>
                <w:szCs w:val="16"/>
              </w:rPr>
              <w:t>91</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6, 807, </w:t>
            </w:r>
            <w:r>
              <w:rPr>
                <w:color w:val="000000"/>
                <w:spacing w:val="0"/>
                <w:w w:val="100"/>
                <w:position w:val="0"/>
                <w:sz w:val="16"/>
                <w:szCs w:val="16"/>
              </w:rPr>
              <w:t xml:space="preserve">934.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3,505,916.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8,777,569.81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7,632,886.39</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4,796,132.09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2,630,371.86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5,115,294.81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2, 548, </w:t>
            </w:r>
            <w:r>
              <w:rPr>
                <w:color w:val="000000"/>
                <w:spacing w:val="0"/>
                <w:w w:val="100"/>
                <w:position w:val="0"/>
                <w:sz w:val="16"/>
                <w:szCs w:val="16"/>
              </w:rPr>
              <w:t xml:space="preserve">254. </w:t>
            </w:r>
            <w:r>
              <w:rPr>
                <w:color w:val="000000"/>
                <w:spacing w:val="0"/>
                <w:w w:val="100"/>
                <w:position w:val="0"/>
                <w:sz w:val="16"/>
                <w:szCs w:val="16"/>
              </w:rPr>
              <w:t>57</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东北地区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 xml:space="preserve">754,716.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470, </w:t>
            </w:r>
            <w:r>
              <w:rPr>
                <w:color w:val="000000"/>
                <w:spacing w:val="0"/>
                <w:w w:val="100"/>
                <w:position w:val="0"/>
                <w:sz w:val="16"/>
                <w:szCs w:val="16"/>
              </w:rPr>
              <w:t xml:space="preserve">877. </w:t>
            </w:r>
            <w:r>
              <w:rPr>
                <w:color w:val="000000"/>
                <w:spacing w:val="0"/>
                <w:w w:val="100"/>
                <w:position w:val="0"/>
                <w:sz w:val="16"/>
                <w:szCs w:val="16"/>
              </w:rPr>
              <w:t>48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4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380" w:firstLine="0"/>
              <w:jc w:val="right"/>
              <w:rPr>
                <w:sz w:val="16"/>
                <w:szCs w:val="16"/>
              </w:rPr>
            </w:pPr>
            <w:r>
              <w:rPr>
                <w:color w:val="000000"/>
                <w:spacing w:val="0"/>
                <w:w w:val="100"/>
                <w:position w:val="0"/>
                <w:sz w:val="16"/>
                <w:szCs w:val="16"/>
              </w:rPr>
              <w:t>-</w:t>
            </w:r>
          </w:p>
        </w:tc>
      </w:tr>
      <w:tr>
        <w:trPr>
          <w:trHeight w:val="36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506, 457, </w:t>
            </w:r>
            <w:r>
              <w:rPr>
                <w:color w:val="000000"/>
                <w:spacing w:val="0"/>
                <w:w w:val="100"/>
                <w:position w:val="0"/>
                <w:sz w:val="16"/>
                <w:szCs w:val="16"/>
              </w:rPr>
              <w:t xml:space="preserve">668. </w:t>
            </w:r>
            <w:r>
              <w:rPr>
                <w:color w:val="000000"/>
                <w:spacing w:val="0"/>
                <w:w w:val="100"/>
                <w:position w:val="0"/>
                <w:sz w:val="16"/>
                <w:szCs w:val="16"/>
              </w:rPr>
              <w:t>54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330, </w:t>
            </w:r>
            <w:r>
              <w:rPr>
                <w:color w:val="000000"/>
                <w:spacing w:val="0"/>
                <w:w w:val="100"/>
                <w:position w:val="0"/>
                <w:sz w:val="16"/>
                <w:szCs w:val="16"/>
              </w:rPr>
              <w:t>897,581.35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467, 972, </w:t>
            </w:r>
            <w:r>
              <w:rPr>
                <w:color w:val="000000"/>
                <w:spacing w:val="0"/>
                <w:w w:val="100"/>
                <w:position w:val="0"/>
                <w:sz w:val="16"/>
                <w:szCs w:val="16"/>
              </w:rPr>
              <w:t xml:space="preserve">060. </w:t>
            </w:r>
            <w:r>
              <w:rPr>
                <w:color w:val="000000"/>
                <w:spacing w:val="0"/>
                <w:w w:val="100"/>
                <w:position w:val="0"/>
                <w:sz w:val="16"/>
                <w:szCs w:val="16"/>
              </w:rPr>
              <w:t>82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305,442,226. </w:t>
            </w:r>
            <w:r>
              <w:rPr>
                <w:color w:val="000000"/>
                <w:spacing w:val="0"/>
                <w:w w:val="100"/>
                <w:position w:val="0"/>
                <w:sz w:val="16"/>
                <w:szCs w:val="16"/>
              </w:rPr>
              <w:t>16</w:t>
            </w:r>
          </w:p>
        </w:tc>
      </w:tr>
    </w:tbl>
    <w:p>
      <w:pPr>
        <w:widowControl w:val="0"/>
        <w:spacing w:after="319" w:line="1" w:lineRule="exact"/>
      </w:pPr>
    </w:p>
    <w:p>
      <w:pPr>
        <w:pStyle w:val="Style34"/>
        <w:keepNext/>
        <w:keepLines/>
        <w:widowControl w:val="0"/>
        <w:numPr>
          <w:ilvl w:val="0"/>
          <w:numId w:val="65"/>
        </w:numPr>
        <w:shd w:val="clear" w:color="auto" w:fill="auto"/>
        <w:bidi w:val="0"/>
        <w:spacing w:before="0" w:after="320" w:line="240" w:lineRule="auto"/>
        <w:ind w:left="0" w:right="0" w:firstLine="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与分摊至剩余履约义务的交易价格相关的信息</w:t>
      </w:r>
      <w:bookmarkEnd w:id="1323"/>
      <w:bookmarkEnd w:id="1324"/>
      <w:bookmarkEnd w:id="1326"/>
    </w:p>
    <w:p>
      <w:pPr>
        <w:pStyle w:val="Style21"/>
        <w:keepNext w:val="0"/>
        <w:keepLines w:val="0"/>
        <w:widowControl w:val="0"/>
        <w:shd w:val="clear" w:color="auto" w:fill="auto"/>
        <w:bidi w:val="0"/>
        <w:spacing w:before="0" w:after="320" w:line="240" w:lineRule="exact"/>
        <w:ind w:left="0" w:right="0" w:firstLine="0"/>
        <w:jc w:val="left"/>
      </w:pPr>
      <w:r>
        <w:rPr>
          <w:color w:val="000000"/>
          <w:spacing w:val="0"/>
          <w:w w:val="100"/>
          <w:position w:val="0"/>
        </w:rPr>
        <w:t>于</w:t>
      </w: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日，本集团分摊至尚未履行(或部分未履行)履约义务的交易价格预计为人民币</w:t>
      </w:r>
      <w:r>
        <w:rPr>
          <w:color w:val="000000"/>
          <w:spacing w:val="0"/>
          <w:w w:val="100"/>
          <w:position w:val="0"/>
          <w:sz w:val="16"/>
          <w:szCs w:val="16"/>
        </w:rPr>
        <w:t>3.91</w:t>
      </w:r>
      <w:r>
        <w:rPr>
          <w:color w:val="000000"/>
          <w:spacing w:val="0"/>
          <w:w w:val="100"/>
          <w:position w:val="0"/>
        </w:rPr>
        <w:t>亿元，主要为尚 未达到收入确认时点的各类型存量服务合同。本集团预计在未来</w:t>
      </w:r>
      <w:r>
        <w:rPr>
          <w:color w:val="000000"/>
          <w:spacing w:val="0"/>
          <w:w w:val="100"/>
          <w:position w:val="0"/>
          <w:sz w:val="16"/>
          <w:szCs w:val="16"/>
        </w:rPr>
        <w:t>1-3</w:t>
      </w:r>
      <w:r>
        <w:rPr>
          <w:color w:val="000000"/>
          <w:spacing w:val="0"/>
          <w:w w:val="100"/>
          <w:position w:val="0"/>
        </w:rPr>
        <w:t>年内，完成所有存量合同，达到合同约定的交付条件， 在客户取得相关商品或服务控制权时点，确认销售收入的实现。</w:t>
      </w:r>
    </w:p>
    <w:p>
      <w:pPr>
        <w:pStyle w:val="Style34"/>
        <w:keepNext/>
        <w:keepLines/>
        <w:widowControl w:val="0"/>
        <w:shd w:val="clear" w:color="auto" w:fill="auto"/>
        <w:bidi w:val="0"/>
        <w:spacing w:before="0" w:after="38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3</w:t>
      </w:r>
      <w:bookmarkEnd w:id="1329"/>
      <w:r>
        <w:rPr>
          <w:rFonts w:ascii="Times New Roman" w:eastAsia="Times New Roman" w:hAnsi="Times New Roman" w:cs="Times New Roman"/>
          <w:color w:val="000000"/>
          <w:spacing w:val="0"/>
          <w:w w:val="100"/>
          <w:position w:val="0"/>
        </w:rPr>
        <w:t>4</w:t>
      </w:r>
      <w:r>
        <w:rPr>
          <w:color w:val="000000"/>
          <w:spacing w:val="0"/>
          <w:w w:val="100"/>
          <w:position w:val="0"/>
        </w:rPr>
        <w:t>、税金及附加</w:t>
      </w:r>
      <w:bookmarkEnd w:id="1327"/>
      <w:bookmarkEnd w:id="1328"/>
      <w:bookmarkEnd w:id="13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496,826.90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416,138.39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355,278.71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297,770.48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673,545.72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889,375.69</w:t>
            </w:r>
          </w:p>
        </w:tc>
      </w:tr>
    </w:tbl>
    <w:p>
      <w:pPr>
        <w:widowControl w:val="0"/>
        <w:spacing w:line="1" w:lineRule="exact"/>
        <w:sectPr>
          <w:headerReference w:type="default" r:id="rId273"/>
          <w:footerReference w:type="default" r:id="rId274"/>
          <w:headerReference w:type="even" r:id="rId275"/>
          <w:footerReference w:type="even" r:id="rId276"/>
          <w:headerReference w:type="first" r:id="rId277"/>
          <w:footerReference w:type="first" r:id="rId278"/>
          <w:footnotePr>
            <w:pos w:val="pageBottom"/>
            <w:numFmt w:val="decimal"/>
            <w:numRestart w:val="continuous"/>
          </w:footnotePr>
          <w:pgSz w:w="11900" w:h="16840"/>
          <w:pgMar w:top="1534" w:right="980" w:bottom="1367" w:left="1003" w:header="0" w:footer="3" w:gutter="0"/>
          <w:cols w:space="720"/>
          <w:noEndnote/>
          <w:titlePg/>
          <w:rtlGutter w:val="0"/>
          <w:docGrid w:linePitch="360"/>
        </w:sectPr>
      </w:pPr>
    </w:p>
    <w:tbl>
      <w:tblPr>
        <w:tblOverlap w:val="never"/>
        <w:jc w:val="center"/>
        <w:tblLayout w:type="fixed"/>
      </w:tblPr>
      <w:tblGrid>
        <w:gridCol w:w="3197"/>
        <w:gridCol w:w="3192"/>
        <w:gridCol w:w="3197"/>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50,353.10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57,472.40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8,698.38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362,077.38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395,575.40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1,946,780.19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2,058,593.55</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331" w:name="bookmark1331"/>
      <w:bookmarkStart w:id="1332" w:name="bookmark1332"/>
      <w:bookmarkStart w:id="1333" w:name="bookmark1333"/>
      <w:bookmarkStart w:id="1334" w:name="bookmark1334"/>
      <w:r>
        <w:rPr>
          <w:rFonts w:ascii="Times New Roman" w:eastAsia="Times New Roman" w:hAnsi="Times New Roman" w:cs="Times New Roman"/>
          <w:color w:val="000000"/>
          <w:spacing w:val="0"/>
          <w:w w:val="100"/>
          <w:position w:val="0"/>
        </w:rPr>
        <w:t>3</w:t>
      </w:r>
      <w:bookmarkEnd w:id="1333"/>
      <w:r>
        <w:rPr>
          <w:rFonts w:ascii="Times New Roman" w:eastAsia="Times New Roman" w:hAnsi="Times New Roman" w:cs="Times New Roman"/>
          <w:color w:val="000000"/>
          <w:spacing w:val="0"/>
          <w:w w:val="100"/>
          <w:position w:val="0"/>
        </w:rPr>
        <w:t>5</w:t>
      </w:r>
      <w:r>
        <w:rPr>
          <w:color w:val="000000"/>
          <w:spacing w:val="0"/>
          <w:w w:val="100"/>
          <w:position w:val="0"/>
        </w:rPr>
        <w:t>、销售费用</w:t>
      </w:r>
      <w:bookmarkEnd w:id="1331"/>
      <w:bookmarkEnd w:id="1332"/>
      <w:bookmarkEnd w:id="133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23,724,120.00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29,176,315.31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5,140,149.38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7,022,797.41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4,069,665.37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4,640,874.86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1,506,742.54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3,396,252.37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2,417,350.91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3,149,449.13</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3,131,887.83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2,960,774.21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1,059,889.05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2,008,808.32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图文制作费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600,051.83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1,653,941.19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交通及汽车费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716,145.88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1,311,995.02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3,430,396.43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4,256,765.48</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45,796,399.22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59,577,973.30</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6</w:t>
      </w:r>
      <w:r>
        <w:rPr>
          <w:color w:val="000000"/>
          <w:spacing w:val="0"/>
          <w:w w:val="100"/>
          <w:position w:val="0"/>
        </w:rPr>
        <w:t>、管理费用</w:t>
      </w:r>
      <w:bookmarkEnd w:id="1335"/>
      <w:bookmarkEnd w:id="1336"/>
      <w:bookmarkEnd w:id="133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27,934,150.40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25,415,408.26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4,974,271.11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5,422,972.46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6,586,034.13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5,158,626.52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6,099,921.00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4,462,670.66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98,390.84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1,311,666.21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水电气及维修费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1,476,267.29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1,161,137.50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5,148,432.25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3,631,734.56</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52,317,467.02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46,564,216.17</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rFonts w:ascii="Times New Roman" w:eastAsia="Times New Roman" w:hAnsi="Times New Roman" w:cs="Times New Roman"/>
          <w:color w:val="000000"/>
          <w:spacing w:val="0"/>
          <w:w w:val="100"/>
          <w:position w:val="0"/>
        </w:rPr>
        <w:t>7</w:t>
      </w:r>
      <w:r>
        <w:rPr>
          <w:color w:val="000000"/>
          <w:spacing w:val="0"/>
          <w:w w:val="100"/>
          <w:position w:val="0"/>
        </w:rPr>
        <w:t>、研发费用</w:t>
      </w:r>
      <w:bookmarkEnd w:id="1339"/>
      <w:bookmarkEnd w:id="1340"/>
      <w:bookmarkEnd w:id="1342"/>
    </w:p>
    <w:p>
      <w:pPr>
        <w:pStyle w:val="Style2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工资及福利费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15,367,888.79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12,929,660.65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8,738,087.11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9,266,945.91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课题研发经费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10,221,211.12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14,333,695.71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1,321,463.21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857,455.77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35,648,650.23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37,387,758.04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rFonts w:ascii="Times New Roman" w:eastAsia="Times New Roman" w:hAnsi="Times New Roman" w:cs="Times New Roman"/>
          <w:color w:val="000000"/>
          <w:spacing w:val="0"/>
          <w:w w:val="100"/>
          <w:position w:val="0"/>
        </w:rPr>
        <w:t>8</w:t>
      </w:r>
      <w:r>
        <w:rPr>
          <w:color w:val="000000"/>
          <w:spacing w:val="0"/>
          <w:w w:val="100"/>
          <w:position w:val="0"/>
        </w:rPr>
        <w:t>、财务费用</w:t>
      </w:r>
      <w:bookmarkEnd w:id="1343"/>
      <w:bookmarkEnd w:id="1344"/>
      <w:bookmarkEnd w:id="134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贷款及应付款项的利息支出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10,969,330.62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9,390,147.99</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减：资本化的利息支出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9,957,780.29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5,384,332.81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存款及应收款项的利息收入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-918,544.71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-715,393.98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147,985.40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140,132.15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240,991.02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3,430,553.35</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本集团本年度用于确定借款费用资本化金额的资本化率为</w:t>
      </w:r>
      <w:r>
        <w:rPr>
          <w:rFonts w:ascii="Times New Roman" w:eastAsia="Times New Roman" w:hAnsi="Times New Roman" w:cs="Times New Roman"/>
          <w:color w:val="000000"/>
          <w:spacing w:val="0"/>
          <w:w w:val="100"/>
          <w:position w:val="0"/>
          <w:sz w:val="18"/>
          <w:szCs w:val="18"/>
        </w:rPr>
        <w:t>4.50%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4.66%</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3</w:t>
      </w:r>
      <w:bookmarkEnd w:id="1349"/>
      <w:r>
        <w:rPr>
          <w:rFonts w:ascii="Times New Roman" w:eastAsia="Times New Roman" w:hAnsi="Times New Roman" w:cs="Times New Roman"/>
          <w:color w:val="000000"/>
          <w:spacing w:val="0"/>
          <w:w w:val="100"/>
          <w:position w:val="0"/>
        </w:rPr>
        <w:t>9</w:t>
      </w:r>
      <w:r>
        <w:rPr>
          <w:color w:val="000000"/>
          <w:spacing w:val="0"/>
          <w:w w:val="100"/>
          <w:position w:val="0"/>
        </w:rPr>
        <w:t>、其他收益</w:t>
      </w:r>
      <w:bookmarkEnd w:id="1347"/>
      <w:bookmarkEnd w:id="1348"/>
      <w:bookmarkEnd w:id="1350"/>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915"/>
        <w:gridCol w:w="1843"/>
        <w:gridCol w:w="255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本期计入非经常性损益的金额</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政府补助（明细详见递延收益科目附 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19,036,458.65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27,282,768.22</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19,036,458.65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增值税进项税加计扣除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3,051,788.76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1,758,875.52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22,088,247.41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29,041,643.74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19,036,458.65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4</w:t>
      </w:r>
      <w:bookmarkEnd w:id="1353"/>
      <w:r>
        <w:rPr>
          <w:rFonts w:ascii="Times New Roman" w:eastAsia="Times New Roman" w:hAnsi="Times New Roman" w:cs="Times New Roman"/>
          <w:color w:val="000000"/>
          <w:spacing w:val="0"/>
          <w:w w:val="100"/>
          <w:position w:val="0"/>
        </w:rPr>
        <w:t>0</w:t>
      </w:r>
      <w:r>
        <w:rPr>
          <w:color w:val="000000"/>
          <w:spacing w:val="0"/>
          <w:w w:val="100"/>
          <w:position w:val="0"/>
        </w:rPr>
        <w:t>、投资收益</w:t>
      </w:r>
      <w:bookmarkEnd w:id="1351"/>
      <w:bookmarkEnd w:id="1352"/>
      <w:bookmarkEnd w:id="135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-589,024.14</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 金融资产在持有期间的投资收益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2,232,654.34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326,217.72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1,643,630.20</w:t>
            </w:r>
          </w:p>
        </w:tc>
      </w:tr>
    </w:tbl>
    <w:p>
      <w:pPr>
        <w:sectPr>
          <w:headerReference w:type="default" r:id="rId279"/>
          <w:footerReference w:type="default" r:id="rId280"/>
          <w:headerReference w:type="even" r:id="rId281"/>
          <w:footerReference w:type="even" r:id="rId282"/>
          <w:footnotePr>
            <w:pos w:val="pageBottom"/>
            <w:numFmt w:val="decimal"/>
            <w:numRestart w:val="continuous"/>
          </w:footnotePr>
          <w:pgSz w:w="11900" w:h="16840"/>
          <w:pgMar w:top="1534" w:right="980" w:bottom="1367" w:left="1003" w:header="0" w:footer="3" w:gutter="0"/>
          <w:cols w:space="720"/>
          <w:noEndnote/>
          <w:rtlGutter w:val="0"/>
          <w:docGrid w:linePitch="360"/>
        </w:sectPr>
      </w:pPr>
    </w:p>
    <w:p>
      <w:pPr>
        <w:pStyle w:val="Style34"/>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4</w:t>
      </w:r>
      <w:bookmarkEnd w:id="1357"/>
      <w:r>
        <w:rPr>
          <w:rFonts w:ascii="Times New Roman" w:eastAsia="Times New Roman" w:hAnsi="Times New Roman" w:cs="Times New Roman"/>
          <w:color w:val="000000"/>
          <w:spacing w:val="0"/>
          <w:w w:val="100"/>
          <w:position w:val="0"/>
        </w:rPr>
        <w:t>1</w:t>
      </w:r>
      <w:r>
        <w:rPr>
          <w:color w:val="000000"/>
          <w:spacing w:val="0"/>
          <w:w w:val="100"/>
          <w:position w:val="0"/>
        </w:rPr>
        <w:t>、公允价值变动收益</w:t>
      </w:r>
      <w:bookmarkEnd w:id="1355"/>
      <w:bookmarkEnd w:id="1356"/>
      <w:bookmarkEnd w:id="135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715,804.10</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715,804.10</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公允价值变动收益为本集团持有的交易性金融资产按投资本金和预期收益率确认的公允价值变动收益。</w:t>
      </w:r>
    </w:p>
    <w:p>
      <w:pPr>
        <w:pStyle w:val="Style34"/>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359"/>
      <w:bookmarkEnd w:id="1360"/>
      <w:bookmarkEnd w:id="13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-646,380.55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716,952.11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-9,603,512.58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-7,657,701.50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-10,249,893.13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-6,940,749.39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363"/>
      <w:bookmarkEnd w:id="1364"/>
      <w:bookmarkEnd w:id="1366"/>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-1,597,261.30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-1,597,261.30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rFonts w:ascii="Times New Roman" w:eastAsia="Times New Roman" w:hAnsi="Times New Roman" w:cs="Times New Roman"/>
          <w:color w:val="000000"/>
          <w:spacing w:val="0"/>
          <w:w w:val="100"/>
          <w:position w:val="0"/>
        </w:rPr>
        <w:t>4</w:t>
      </w:r>
      <w:r>
        <w:rPr>
          <w:color w:val="000000"/>
          <w:spacing w:val="0"/>
          <w:w w:val="100"/>
          <w:position w:val="0"/>
        </w:rPr>
        <w:t>、资产处置损失</w:t>
      </w:r>
      <w:bookmarkEnd w:id="1367"/>
      <w:bookmarkEnd w:id="1368"/>
      <w:bookmarkEnd w:id="1370"/>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资产处置损失的来源</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99,622.82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7,641.55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4</w:t>
      </w:r>
      <w:bookmarkEnd w:id="1373"/>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371"/>
      <w:bookmarkEnd w:id="1372"/>
      <w:bookmarkEnd w:id="1374"/>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2,202,516.32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5,336,179.23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2,202,516.32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110,573.15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70,931.29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110,573.15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2,313,089.47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5,407,110.52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2,313,089.47</w:t>
            </w:r>
          </w:p>
        </w:tc>
      </w:tr>
    </w:tbl>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p>
      <w:pPr>
        <w:widowControl w:val="0"/>
        <w:spacing w:line="1" w:lineRule="exact"/>
      </w:pPr>
      <w:r>
        <w:br w:type="page"/>
      </w:r>
    </w:p>
    <w:tbl>
      <w:tblPr>
        <w:tblOverlap w:val="never"/>
        <w:jc w:val="center"/>
        <w:tblLayout w:type="fixed"/>
      </w:tblPr>
      <w:tblGrid>
        <w:gridCol w:w="1253"/>
        <w:gridCol w:w="566"/>
        <w:gridCol w:w="566"/>
        <w:gridCol w:w="2126"/>
        <w:gridCol w:w="1133"/>
        <w:gridCol w:w="744"/>
        <w:gridCol w:w="1061"/>
        <w:gridCol w:w="1066"/>
        <w:gridCol w:w="1070"/>
      </w:tblGrid>
      <w:tr>
        <w:trPr>
          <w:trHeight w:val="734"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发放 主体</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是否特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殊补贴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产业发展专项 资金等与收益 相关的政府补 助项目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因从事国家鼓励和扶持特 定行业、产业而获得的补 助（按国家级政策规定依 法取得）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2,202,516.32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5,336,179.23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2,202,516.32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5,336,179.23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4</w:t>
      </w:r>
      <w:bookmarkEnd w:id="1377"/>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375"/>
      <w:bookmarkEnd w:id="1376"/>
      <w:bookmarkEnd w:id="137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2,001.39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2,001.39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2,001.39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2,001.39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379"/>
      <w:bookmarkEnd w:id="1380"/>
      <w:bookmarkEnd w:id="1382"/>
    </w:p>
    <w:p>
      <w:pPr>
        <w:pStyle w:val="Style34"/>
        <w:keepNext/>
        <w:keepLines/>
        <w:widowControl w:val="0"/>
        <w:shd w:val="clear" w:color="auto" w:fill="auto"/>
        <w:bidi w:val="0"/>
        <w:spacing w:before="0" w:after="320" w:line="240" w:lineRule="auto"/>
        <w:ind w:left="0" w:right="0" w:firstLine="0"/>
        <w:jc w:val="left"/>
      </w:pPr>
      <w:bookmarkStart w:id="1379" w:name="bookmark1379"/>
      <w:bookmarkStart w:id="1380" w:name="bookmark1380"/>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379"/>
      <w:bookmarkEnd w:id="1380"/>
      <w:bookmarkEnd w:id="1383"/>
    </w:p>
    <w:tbl>
      <w:tblPr>
        <w:tblOverlap w:val="never"/>
        <w:jc w:val="center"/>
        <w:tblLayout w:type="fixed"/>
      </w:tblPr>
      <w:tblGrid>
        <w:gridCol w:w="4411"/>
        <w:gridCol w:w="850"/>
        <w:gridCol w:w="1987"/>
        <w:gridCol w:w="2016"/>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按税法及相关规定计算的当年所得税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8,519, </w:t>
            </w:r>
            <w:r>
              <w:rPr>
                <w:color w:val="000000"/>
                <w:spacing w:val="0"/>
                <w:w w:val="100"/>
                <w:position w:val="0"/>
                <w:sz w:val="16"/>
                <w:szCs w:val="16"/>
              </w:rPr>
              <w:t xml:space="preserve">974.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15,377,205.52</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递延所得税的变动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(3,179, </w:t>
            </w:r>
            <w:r>
              <w:rPr>
                <w:color w:val="000000"/>
                <w:spacing w:val="0"/>
                <w:w w:val="100"/>
                <w:position w:val="0"/>
                <w:sz w:val="16"/>
                <w:szCs w:val="16"/>
              </w:rPr>
              <w:t xml:space="preserve">091. </w:t>
            </w:r>
            <w:r>
              <w:rPr>
                <w:color w:val="000000"/>
                <w:spacing w:val="0"/>
                <w:w w:val="100"/>
                <w:position w:val="0"/>
                <w:sz w:val="16"/>
                <w:szCs w:val="16"/>
              </w:rPr>
              <w:t>60)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(9,263,038.22)</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5, 340, </w:t>
            </w:r>
            <w:r>
              <w:rPr>
                <w:color w:val="000000"/>
                <w:spacing w:val="0"/>
                <w:w w:val="100"/>
                <w:position w:val="0"/>
                <w:sz w:val="16"/>
                <w:szCs w:val="16"/>
              </w:rPr>
              <w:t xml:space="preserve">882. </w:t>
            </w:r>
            <w:r>
              <w:rPr>
                <w:color w:val="000000"/>
                <w:spacing w:val="0"/>
                <w:w w:val="100"/>
                <w:position w:val="0"/>
                <w:sz w:val="16"/>
                <w:szCs w:val="16"/>
              </w:rPr>
              <w:t>72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6,114,167.30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w:t>
      </w:r>
      <w:bookmarkEnd w:id="1386"/>
      <w:r>
        <w:rPr>
          <w:rFonts w:ascii="Times New Roman" w:eastAsia="Times New Roman" w:hAnsi="Times New Roman" w:cs="Times New Roman"/>
          <w:color w:val="000000"/>
          <w:spacing w:val="0"/>
          <w:w w:val="100"/>
          <w:position w:val="0"/>
        </w:rPr>
        <w:t>2）</w:t>
      </w:r>
      <w:r>
        <w:rPr>
          <w:color w:val="000000"/>
          <w:spacing w:val="0"/>
          <w:w w:val="100"/>
          <w:position w:val="0"/>
        </w:rPr>
        <w:t>递延所得税的变动分析如下:</w:t>
      </w:r>
      <w:bookmarkEnd w:id="1384"/>
      <w:bookmarkEnd w:id="1385"/>
      <w:bookmarkEnd w:id="1387"/>
    </w:p>
    <w:tbl>
      <w:tblPr>
        <w:tblOverlap w:val="never"/>
        <w:jc w:val="center"/>
        <w:tblLayout w:type="fixed"/>
      </w:tblPr>
      <w:tblGrid>
        <w:gridCol w:w="5261"/>
        <w:gridCol w:w="1987"/>
        <w:gridCol w:w="2016"/>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暂时性差异的产生和转回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(2,501,740.82)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(8,702,380.06)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所得税税率的变动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(38,805.14)</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(677,350.78)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(521,853.02)</w:t>
            </w:r>
          </w:p>
        </w:tc>
      </w:tr>
      <w:tr>
        <w:trPr>
          <w:trHeight w:val="34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(3,179, </w:t>
            </w:r>
            <w:r>
              <w:rPr>
                <w:color w:val="000000"/>
                <w:spacing w:val="0"/>
                <w:w w:val="100"/>
                <w:position w:val="0"/>
                <w:sz w:val="16"/>
                <w:szCs w:val="16"/>
              </w:rPr>
              <w:t xml:space="preserve">091. </w:t>
            </w:r>
            <w:r>
              <w:rPr>
                <w:color w:val="000000"/>
                <w:spacing w:val="0"/>
                <w:w w:val="100"/>
                <w:position w:val="0"/>
                <w:sz w:val="16"/>
                <w:szCs w:val="16"/>
              </w:rPr>
              <w:t>60)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(9,263,038.22)</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w:t>
      </w:r>
      <w:bookmarkEnd w:id="1390"/>
      <w:r>
        <w:rPr>
          <w:rFonts w:ascii="Times New Roman" w:eastAsia="Times New Roman" w:hAnsi="Times New Roman" w:cs="Times New Roman"/>
          <w:color w:val="000000"/>
          <w:spacing w:val="0"/>
          <w:w w:val="100"/>
          <w:position w:val="0"/>
        </w:rPr>
        <w:t>3）</w:t>
      </w:r>
      <w:r>
        <w:rPr>
          <w:color w:val="000000"/>
          <w:spacing w:val="0"/>
          <w:w w:val="100"/>
          <w:position w:val="0"/>
        </w:rPr>
        <w:t>所得税费用与会计利润的关系如下:</w:t>
      </w:r>
      <w:bookmarkEnd w:id="1388"/>
      <w:bookmarkEnd w:id="1389"/>
      <w:bookmarkEnd w:id="1391"/>
    </w:p>
    <w:tbl>
      <w:tblPr>
        <w:tblOverlap w:val="never"/>
        <w:jc w:val="center"/>
        <w:tblLayout w:type="fixed"/>
      </w:tblPr>
      <w:tblGrid>
        <w:gridCol w:w="5246"/>
        <w:gridCol w:w="1987"/>
        <w:gridCol w:w="2011"/>
      </w:tblGrid>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5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pPr>
            <w:r>
              <w:rPr>
                <w:color w:val="000000"/>
                <w:spacing w:val="0"/>
                <w:w w:val="100"/>
                <w:position w:val="0"/>
                <w:sz w:val="16"/>
                <w:szCs w:val="16"/>
              </w:rPr>
              <w:t xml:space="preserve">2019 </w:t>
            </w:r>
            <w:r>
              <w:rPr>
                <w:color w:val="000000"/>
                <w:spacing w:val="0"/>
                <w:w w:val="100"/>
                <w:position w:val="0"/>
              </w:rPr>
              <w:t>年</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税前总额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52,388,575.47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40"/>
              <w:jc w:val="left"/>
              <w:rPr>
                <w:sz w:val="16"/>
                <w:szCs w:val="16"/>
              </w:rPr>
            </w:pPr>
            <w:r>
              <w:rPr>
                <w:color w:val="000000"/>
                <w:spacing w:val="0"/>
                <w:w w:val="100"/>
                <w:position w:val="0"/>
                <w:sz w:val="16"/>
                <w:szCs w:val="16"/>
              </w:rPr>
              <w:t>43,367,423.61</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按税率</w:t>
            </w:r>
            <w:r>
              <w:rPr>
                <w:color w:val="000000"/>
                <w:spacing w:val="0"/>
                <w:w w:val="100"/>
                <w:position w:val="0"/>
                <w:sz w:val="16"/>
                <w:szCs w:val="16"/>
              </w:rPr>
              <w:t>15%</w:t>
            </w:r>
            <w:r>
              <w:rPr>
                <w:color w:val="000000"/>
                <w:spacing w:val="0"/>
                <w:w w:val="100"/>
                <w:position w:val="0"/>
              </w:rPr>
              <w:t>计算的预期所得税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7,858, </w:t>
            </w:r>
            <w:r>
              <w:rPr>
                <w:color w:val="000000"/>
                <w:spacing w:val="0"/>
                <w:w w:val="100"/>
                <w:position w:val="0"/>
                <w:sz w:val="16"/>
                <w:szCs w:val="16"/>
              </w:rPr>
              <w:t xml:space="preserve">286.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6,505,113.54</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(244, </w:t>
            </w:r>
            <w:r>
              <w:rPr>
                <w:color w:val="000000"/>
                <w:spacing w:val="0"/>
                <w:w w:val="100"/>
                <w:position w:val="0"/>
                <w:sz w:val="16"/>
                <w:szCs w:val="16"/>
              </w:rPr>
              <w:t xml:space="preserve">794.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(785,187.76)</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调整以前年度所得税的影响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 xml:space="preserve">(329,484. </w:t>
            </w:r>
            <w:r>
              <w:rPr>
                <w:color w:val="000000"/>
                <w:spacing w:val="0"/>
                <w:w w:val="100"/>
                <w:position w:val="0"/>
                <w:sz w:val="16"/>
                <w:szCs w:val="16"/>
              </w:rPr>
              <w:t>69)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137,565.62</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tabs>
                <w:tab w:pos="1366" w:val="left"/>
              </w:tabs>
              <w:bidi w:val="0"/>
              <w:spacing w:before="0" w:after="0" w:line="240" w:lineRule="auto"/>
              <w:ind w:left="0" w:right="0" w:firstLine="180"/>
              <w:jc w:val="left"/>
            </w:pPr>
            <w:r>
              <w:rPr>
                <w:color w:val="000000"/>
                <w:spacing w:val="0"/>
                <w:w w:val="100"/>
                <w:position w:val="0"/>
              </w:rPr>
              <w:t>非应税损失/</w:t>
              <w:tab/>
              <w:t>（收入）的影响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19,017.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88,353.62</w:t>
            </w:r>
          </w:p>
        </w:tc>
      </w:tr>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40"/>
              <w:jc w:val="left"/>
              <w:rPr>
                <w:sz w:val="16"/>
                <w:szCs w:val="16"/>
              </w:rPr>
            </w:pPr>
            <w:r>
              <w:rPr>
                <w:color w:val="000000"/>
                <w:spacing w:val="0"/>
                <w:w w:val="100"/>
                <w:position w:val="0"/>
                <w:sz w:val="16"/>
                <w:szCs w:val="16"/>
              </w:rPr>
              <w:t xml:space="preserve">962, </w:t>
            </w:r>
            <w:r>
              <w:rPr>
                <w:color w:val="000000"/>
                <w:spacing w:val="0"/>
                <w:w w:val="100"/>
                <w:position w:val="0"/>
                <w:sz w:val="16"/>
                <w:szCs w:val="16"/>
              </w:rPr>
              <w:t xml:space="preserve">348.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1,094,598.16</w:t>
            </w:r>
          </w:p>
        </w:tc>
      </w:tr>
    </w:tbl>
    <w:p>
      <w:pPr>
        <w:widowControl w:val="0"/>
        <w:spacing w:line="1" w:lineRule="exact"/>
      </w:pPr>
      <w:r>
        <w:br w:type="page"/>
      </w:r>
    </w:p>
    <w:tbl>
      <w:tblPr>
        <w:tblOverlap w:val="never"/>
        <w:jc w:val="center"/>
        <w:tblLayout w:type="fixed"/>
      </w:tblPr>
      <w:tblGrid>
        <w:gridCol w:w="5285"/>
        <w:gridCol w:w="1987"/>
        <w:gridCol w:w="2491"/>
      </w:tblGrid>
      <w:tr>
        <w:trPr>
          <w:trHeight w:val="56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0" w:lineRule="exact"/>
              <w:ind w:left="440" w:right="0" w:hanging="220"/>
              <w:jc w:val="left"/>
            </w:pPr>
            <w:r>
              <w:rPr>
                <w:color w:val="000000"/>
                <w:spacing w:val="0"/>
                <w:w w:val="100"/>
                <w:position w:val="0"/>
              </w:rPr>
              <w:t>使用前期未确认递延所得税资产的可抵扣亏损的 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(484,117.27)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40"/>
              <w:jc w:val="left"/>
              <w:rPr>
                <w:sz w:val="16"/>
                <w:szCs w:val="16"/>
              </w:rPr>
            </w:pPr>
            <w:r>
              <w:rPr>
                <w:color w:val="000000"/>
                <w:spacing w:val="0"/>
                <w:w w:val="100"/>
                <w:position w:val="0"/>
                <w:sz w:val="16"/>
                <w:szCs w:val="16"/>
              </w:rPr>
              <w:t>(112,268.16)</w:t>
            </w:r>
          </w:p>
        </w:tc>
      </w:tr>
      <w:tr>
        <w:trPr>
          <w:trHeight w:val="55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35" w:lineRule="exact"/>
              <w:ind w:left="440" w:right="0" w:hanging="220"/>
              <w:jc w:val="left"/>
            </w:pPr>
            <w:r>
              <w:rPr>
                <w:color w:val="000000"/>
                <w:spacing w:val="0"/>
                <w:w w:val="100"/>
                <w:position w:val="0"/>
              </w:rPr>
              <w:t>本年未确认递延所得税资产的可抵扣暂时性差异及 可抵扣亏损的影响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706.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1,663,472.71</w:t>
            </w:r>
          </w:p>
        </w:tc>
      </w:tr>
      <w:tr>
        <w:trPr>
          <w:trHeight w:val="31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研发费用加计扣除的影响</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(2,571,079. </w:t>
            </w:r>
            <w:r>
              <w:rPr>
                <w:color w:val="000000"/>
                <w:spacing w:val="0"/>
                <w:w w:val="100"/>
                <w:position w:val="0"/>
                <w:sz w:val="16"/>
                <w:szCs w:val="16"/>
              </w:rPr>
              <w:t>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(2,477,480.43)</w:t>
            </w:r>
          </w:p>
        </w:tc>
      </w:tr>
      <w:tr>
        <w:trPr>
          <w:trHeight w:val="35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本年所得税费用</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40" w:firstLine="0"/>
              <w:jc w:val="right"/>
              <w:rPr>
                <w:sz w:val="16"/>
                <w:szCs w:val="16"/>
              </w:rPr>
            </w:pPr>
            <w:r>
              <w:rPr>
                <w:color w:val="000000"/>
                <w:spacing w:val="0"/>
                <w:w w:val="100"/>
                <w:position w:val="0"/>
                <w:sz w:val="16"/>
                <w:szCs w:val="16"/>
              </w:rPr>
              <w:t xml:space="preserve">5,340, </w:t>
            </w:r>
            <w:r>
              <w:rPr>
                <w:color w:val="000000"/>
                <w:spacing w:val="0"/>
                <w:w w:val="100"/>
                <w:position w:val="0"/>
                <w:sz w:val="16"/>
                <w:szCs w:val="16"/>
              </w:rPr>
              <w:t xml:space="preserve">882. </w:t>
            </w:r>
            <w:r>
              <w:rPr>
                <w:color w:val="000000"/>
                <w:spacing w:val="0"/>
                <w:w w:val="100"/>
                <w:position w:val="0"/>
                <w:sz w:val="16"/>
                <w:szCs w:val="16"/>
              </w:rPr>
              <w:t>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40"/>
              <w:jc w:val="left"/>
              <w:rPr>
                <w:sz w:val="16"/>
                <w:szCs w:val="16"/>
              </w:rPr>
            </w:pPr>
            <w:r>
              <w:rPr>
                <w:color w:val="000000"/>
                <w:spacing w:val="0"/>
                <w:w w:val="100"/>
                <w:position w:val="0"/>
                <w:sz w:val="16"/>
                <w:szCs w:val="16"/>
              </w:rPr>
              <w:t xml:space="preserve">6,114,167. </w:t>
            </w:r>
            <w:r>
              <w:rPr>
                <w:color w:val="000000"/>
                <w:spacing w:val="0"/>
                <w:w w:val="100"/>
                <w:position w:val="0"/>
                <w:sz w:val="16"/>
                <w:szCs w:val="16"/>
              </w:rPr>
              <w:t>30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392"/>
      <w:bookmarkEnd w:id="1393"/>
      <w:bookmarkEnd w:id="1395"/>
    </w:p>
    <w:p>
      <w:pPr>
        <w:pStyle w:val="Style34"/>
        <w:keepNext/>
        <w:keepLines/>
        <w:widowControl w:val="0"/>
        <w:shd w:val="clear" w:color="auto" w:fill="auto"/>
        <w:bidi w:val="0"/>
        <w:spacing w:before="0" w:after="380" w:line="240" w:lineRule="auto"/>
        <w:ind w:left="0" w:right="0" w:firstLine="0"/>
        <w:jc w:val="left"/>
      </w:pPr>
      <w:bookmarkStart w:id="1392" w:name="bookmark1392"/>
      <w:bookmarkStart w:id="1393" w:name="bookmark1393"/>
      <w:bookmarkStart w:id="1396" w:name="bookmark13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92"/>
      <w:bookmarkEnd w:id="1393"/>
      <w:bookmarkEnd w:id="139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28,170,247.06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19,555,998.83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918,544.71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709,644.97</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收到的往来款项及其他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38,704,960.84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3,017,402.93</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67,793,752.61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23,283,046.73</w:t>
            </w:r>
          </w:p>
        </w:tc>
      </w:tr>
    </w:tbl>
    <w:p>
      <w:pPr>
        <w:pStyle w:val="Style2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收到的其他与经营活动有关的现金说明: 无。</w:t>
      </w:r>
    </w:p>
    <w:p>
      <w:pPr>
        <w:pStyle w:val="Style34"/>
        <w:keepNext/>
        <w:keepLines/>
        <w:widowControl w:val="0"/>
        <w:shd w:val="clear" w:color="auto" w:fill="auto"/>
        <w:bidi w:val="0"/>
        <w:spacing w:before="0" w:after="380" w:line="240" w:lineRule="auto"/>
        <w:ind w:left="0" w:right="0" w:firstLine="180"/>
        <w:jc w:val="left"/>
      </w:pPr>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97"/>
      <w:bookmarkEnd w:id="1398"/>
      <w:bookmarkEnd w:id="139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20,300,406.96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21,253,282.49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差旅及交通费用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13,911,913.17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17,212,559.83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5,698,671.89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11,546,551.04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39,910,992.02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50,012,393.36</w:t>
            </w:r>
          </w:p>
        </w:tc>
      </w:tr>
    </w:tbl>
    <w:p>
      <w:pPr>
        <w:pStyle w:val="Style2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支付的其他与经营活动有关的现金说明: 无。</w:t>
      </w:r>
    </w:p>
    <w:p>
      <w:pPr>
        <w:pStyle w:val="Style34"/>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4</w:t>
      </w:r>
      <w:bookmarkEnd w:id="1402"/>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400"/>
      <w:bookmarkEnd w:id="1401"/>
      <w:bookmarkEnd w:id="1403"/>
    </w:p>
    <w:p>
      <w:pPr>
        <w:pStyle w:val="Style34"/>
        <w:keepNext/>
        <w:keepLines/>
        <w:widowControl w:val="0"/>
        <w:shd w:val="clear" w:color="auto" w:fill="auto"/>
        <w:bidi w:val="0"/>
        <w:spacing w:before="0" w:after="380" w:line="240" w:lineRule="auto"/>
        <w:ind w:left="0" w:right="0" w:firstLine="0"/>
        <w:jc w:val="left"/>
      </w:pPr>
      <w:bookmarkStart w:id="1400" w:name="bookmark1400"/>
      <w:bookmarkStart w:id="1401" w:name="bookmark1401"/>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00"/>
      <w:bookmarkEnd w:id="1401"/>
      <w:bookmarkEnd w:id="1404"/>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5078"/>
        <w:gridCol w:w="2126"/>
        <w:gridCol w:w="2381"/>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47,047,692.75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37,253,256.31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1,597,261.30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078"/>
        <w:gridCol w:w="2126"/>
        <w:gridCol w:w="2381"/>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加：信用减值准备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10,249,893.13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6,940,749.39</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18,734,826.45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16,064,303.82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10,217,284.31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7,555,290.84</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11,593,703.66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10,817,685.48</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处置固定资产、无形资产和其他长期资产的损失（收 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99,622.82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7,641.55</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-715,804.10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1,011,550.33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4,005,815.18</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-326,217.72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-1,643,630.20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-3,179,091.60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-9,263,038.22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-31,636.25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29,983.65</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-97,259,424.06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-28,909,877.10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58,966,583.94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35,974,895.09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7"/>
                <w:szCs w:val="17"/>
              </w:rPr>
              <w:t>递延收益增加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减少</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6,931,272.09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-14,603,558.22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65,653,321.15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63,513,713.47</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241,360,212.83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200,785,027.19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200,785,027.19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145,584,988.20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40,575,185.64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55,200,038.99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05"/>
      <w:bookmarkEnd w:id="1406"/>
      <w:bookmarkEnd w:id="140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241,360,212.83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200,785,027.19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91,167.39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121,967.34</w:t>
            </w:r>
          </w:p>
        </w:tc>
      </w:tr>
    </w:tbl>
    <w:p>
      <w:pPr>
        <w:widowControl w:val="0"/>
        <w:spacing w:line="1" w:lineRule="exact"/>
      </w:pPr>
      <w:r>
        <w:br w:type="page"/>
      </w:r>
    </w:p>
    <w:tbl>
      <w:tblPr>
        <w:tblOverlap w:val="never"/>
        <w:jc w:val="center"/>
        <w:tblLayout w:type="fixed"/>
      </w:tblPr>
      <w:tblGrid>
        <w:gridCol w:w="3336"/>
        <w:gridCol w:w="3058"/>
        <w:gridCol w:w="3192"/>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241,269,045.44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168,663,059.85</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原始期限在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个月以内的定期存款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241,360,212.83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200,785,027.19</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40" w:line="240"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5</w:t>
      </w:r>
      <w:bookmarkEnd w:id="1410"/>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408"/>
      <w:bookmarkEnd w:id="1409"/>
      <w:bookmarkEnd w:id="1411"/>
    </w:p>
    <w:tbl>
      <w:tblPr>
        <w:tblOverlap w:val="never"/>
        <w:jc w:val="center"/>
        <w:tblLayout w:type="fixed"/>
      </w:tblPr>
      <w:tblGrid>
        <w:gridCol w:w="1805"/>
        <w:gridCol w:w="1421"/>
        <w:gridCol w:w="1416"/>
        <w:gridCol w:w="1416"/>
        <w:gridCol w:w="1416"/>
        <w:gridCol w:w="1790"/>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本年增加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本年减少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受限原因</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10, </w:t>
            </w:r>
            <w:r>
              <w:rPr>
                <w:color w:val="000000"/>
                <w:spacing w:val="0"/>
                <w:w w:val="100"/>
                <w:position w:val="0"/>
                <w:sz w:val="16"/>
                <w:szCs w:val="16"/>
              </w:rPr>
              <w:t>075,354.76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181,338,137.30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141,607,992.80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49, </w:t>
            </w:r>
            <w:r>
              <w:rPr>
                <w:color w:val="000000"/>
                <w:spacing w:val="0"/>
                <w:w w:val="100"/>
                <w:position w:val="0"/>
                <w:sz w:val="16"/>
                <w:szCs w:val="16"/>
              </w:rPr>
              <w:t>805,499.26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保函保证金、代建户</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12,621,343.00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330, </w:t>
            </w:r>
            <w:r>
              <w:rPr>
                <w:color w:val="000000"/>
                <w:spacing w:val="0"/>
                <w:w w:val="100"/>
                <w:position w:val="0"/>
                <w:sz w:val="16"/>
                <w:szCs w:val="16"/>
              </w:rPr>
              <w:t xml:space="preserve">039.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12,291,303.06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用于抵押借款</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56,168, </w:t>
            </w:r>
            <w:r>
              <w:rPr>
                <w:color w:val="000000"/>
                <w:spacing w:val="0"/>
                <w:w w:val="100"/>
                <w:position w:val="0"/>
                <w:sz w:val="16"/>
                <w:szCs w:val="16"/>
              </w:rPr>
              <w:t xml:space="preserve">845.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98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3,472,603.21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52,696,242.32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pPr>
            <w:r>
              <w:rPr>
                <w:color w:val="000000"/>
                <w:spacing w:val="0"/>
                <w:w w:val="100"/>
                <w:position w:val="0"/>
              </w:rPr>
              <w:t>用于抵押借款</w:t>
            </w:r>
          </w:p>
        </w:tc>
      </w:tr>
      <w:tr>
        <w:trPr>
          <w:trHeight w:val="34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78, </w:t>
            </w:r>
            <w:r>
              <w:rPr>
                <w:color w:val="000000"/>
                <w:spacing w:val="0"/>
                <w:w w:val="100"/>
                <w:position w:val="0"/>
                <w:sz w:val="16"/>
                <w:szCs w:val="16"/>
              </w:rPr>
              <w:t>865,543.29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181,338,137.30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145,410, </w:t>
            </w:r>
            <w:r>
              <w:rPr>
                <w:color w:val="000000"/>
                <w:spacing w:val="0"/>
                <w:w w:val="100"/>
                <w:position w:val="0"/>
                <w:sz w:val="16"/>
                <w:szCs w:val="16"/>
              </w:rPr>
              <w:t xml:space="preserve">635.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114,793,044.64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5</w:t>
      </w:r>
      <w:bookmarkEnd w:id="1414"/>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412"/>
      <w:bookmarkEnd w:id="1413"/>
      <w:bookmarkEnd w:id="1415"/>
    </w:p>
    <w:p>
      <w:pPr>
        <w:pStyle w:val="Style34"/>
        <w:keepNext/>
        <w:keepLines/>
        <w:widowControl w:val="0"/>
        <w:shd w:val="clear" w:color="auto" w:fill="auto"/>
        <w:bidi w:val="0"/>
        <w:spacing w:before="0" w:after="340" w:line="240" w:lineRule="auto"/>
        <w:ind w:left="0" w:right="0" w:firstLine="0"/>
        <w:jc w:val="left"/>
      </w:pPr>
      <w:bookmarkStart w:id="1412" w:name="bookmark1412"/>
      <w:bookmarkStart w:id="1413" w:name="bookmark1413"/>
      <w:bookmarkStart w:id="1416" w:name="bookmark14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12"/>
      <w:bookmarkEnd w:id="1413"/>
      <w:bookmarkEnd w:id="14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218"/>
        <w:gridCol w:w="1560"/>
        <w:gridCol w:w="1421"/>
        <w:gridCol w:w="1387"/>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计入当期损益的 金额</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中美低碳建筑与社区创新实验中心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启动区碳排放实时监测公共平台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-3,675,701.26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3,970,804.05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国际低碳城碳认证服务中心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3,298,319.00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低碳检测服务机构培育工程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529,317.00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深圳国际低碳城中美中心建设渣土资源化利用示范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4,704,000.00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3,197,698.00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建科大楼（节能贴息）</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101,650.90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低压直流建筑关键技术验证与产品研发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1,271,200.00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121,983.69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城市地面关键公共基础设施的性能评估、性能预测与安全预警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1,002,000.00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深圳市低碳试点示范项目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995,573.16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既有城市工业区信息化升级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338,300.00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608,033.29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既有城市工业区环境安全及低影响开发关键技术研究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237,658.49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废弃物资源化利用技术研究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503,555.92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既有居住建筑室内外环境宜居改善关键技术研究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138,592.00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203,960.30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城市节能和低碳解决方案的工具研究与开发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304,648.00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绿色建筑节能示范工程补贴（建科大楼）</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福田区配套资助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住宅通风和空气净化过滤技术实施及效果评测及 节能、经济、适用的通风及空气质量控制方法和技术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line="1" w:lineRule="exact"/>
      </w:pPr>
      <w:r>
        <w:br w:type="page"/>
      </w:r>
    </w:p>
    <w:tbl>
      <w:tblPr>
        <w:tblOverlap w:val="never"/>
        <w:jc w:val="center"/>
        <w:tblLayout w:type="fixed"/>
      </w:tblPr>
      <w:tblGrid>
        <w:gridCol w:w="5275"/>
        <w:gridCol w:w="1560"/>
        <w:gridCol w:w="1421"/>
        <w:gridCol w:w="1450"/>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城市能源结构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碳排放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大气污染协同机理研究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9,217.50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其他与资产相关项目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97,999.64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其他与收益相关项目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2,386,140.00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4,836,039.71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增值税进项税加计扣除</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3,051,788.76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3,051,788.76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产业发展专项资金等与收益相关的政府补助项目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2,202,516.32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2,202,516.32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110,573.15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营业外收入</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110,573.15</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140"/>
        <w:jc w:val="left"/>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17"/>
      <w:bookmarkEnd w:id="1418"/>
      <w:bookmarkEnd w:id="1419"/>
    </w:p>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启动区碳排放实时监测公共平台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3,675,701.26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未使用完专项资金退回</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52</w:t>
      </w:r>
      <w:r>
        <w:rPr>
          <w:color w:val="000000"/>
          <w:spacing w:val="0"/>
          <w:w w:val="100"/>
          <w:position w:val="0"/>
        </w:rPr>
        <w:t>、其他</w:t>
      </w:r>
      <w:bookmarkEnd w:id="1420"/>
      <w:bookmarkEnd w:id="1421"/>
      <w:bookmarkEnd w:id="1422"/>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)基本每股收益和稀释每股收益的计算过程</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基本每股收益以归属于本公司普通股股东的合并净利润除以本公司发行在外普通股的加权平均数计算:</w:t>
      </w: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4670"/>
        <w:gridCol w:w="2554"/>
        <w:gridCol w:w="2650"/>
      </w:tblGrid>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归属于本公司普通股股东的合并净利润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43,866,588.22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36,620,943.28</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146,666,700.00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146,666,700.00</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0.2497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普通股的加权平均数计算过程如下:</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单位：股</w:t>
      </w:r>
    </w:p>
    <w:tbl>
      <w:tblPr>
        <w:tblOverlap w:val="never"/>
        <w:jc w:val="center"/>
        <w:tblLayout w:type="fixed"/>
      </w:tblPr>
      <w:tblGrid>
        <w:gridCol w:w="4670"/>
        <w:gridCol w:w="2554"/>
        <w:gridCol w:w="2650"/>
      </w:tblGrid>
      <w:tr>
        <w:trPr>
          <w:trHeight w:val="35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年初已发行普通股股数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146,666,700.00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146,666,700.00</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年末普通股的加权平均数</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146,666,700.00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146,666,700.00</w:t>
            </w:r>
          </w:p>
        </w:tc>
      </w:tr>
    </w:tbl>
    <w:p>
      <w:pPr>
        <w:widowControl w:val="0"/>
        <w:spacing w:after="37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本公司无稀释性潜在普通股。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)利润表补充资料</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对利润表中的费用按性质分类:</w:t>
      </w: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4670"/>
        <w:gridCol w:w="2554"/>
        <w:gridCol w:w="2650"/>
      </w:tblGrid>
      <w:tr>
        <w:trPr>
          <w:trHeight w:val="36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506,457,668.54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467,972,060.82</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减：职工薪酬费用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209,393,416.12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207,570,511.89</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分包费</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89,061,653.85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75,149,168.09</w:t>
            </w:r>
          </w:p>
        </w:tc>
      </w:tr>
    </w:tbl>
    <w:p>
      <w:pPr>
        <w:widowControl w:val="0"/>
        <w:spacing w:line="1" w:lineRule="exact"/>
      </w:pPr>
      <w:r>
        <w:br w:type="page"/>
      </w:r>
    </w:p>
    <w:tbl>
      <w:tblPr>
        <w:tblOverlap w:val="never"/>
        <w:jc w:val="center"/>
        <w:tblLayout w:type="fixed"/>
      </w:tblPr>
      <w:tblGrid>
        <w:gridCol w:w="4670"/>
        <w:gridCol w:w="2549"/>
        <w:gridCol w:w="2654"/>
      </w:tblGrid>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38,120,091.02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34,437,280.14</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20,300,406.96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21,253,282.49</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(19,036,458.65)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(27,282,768.22)</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办公及会务费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13,938,663.53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13,072,955.96</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课题研发经费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10,221,211.12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14,333,695.71</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1,597,261.30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10,249,893.13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6,940,749.39</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8,492,499.53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9,861,770.51</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240,991.02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3,430,553.35</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1,946,780.19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2,058,593.55</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71,853,772.03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69,182,840.61</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50,077,487.39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37,963,427.35</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423" w:name="bookmark1423"/>
      <w:bookmarkStart w:id="1424" w:name="bookmark1424"/>
      <w:bookmarkStart w:id="1425" w:name="bookmark1425"/>
      <w:bookmarkStart w:id="1426" w:name="bookmark1426"/>
      <w:r>
        <w:rPr>
          <w:color w:val="000000"/>
          <w:spacing w:val="0"/>
          <w:w w:val="100"/>
          <w:position w:val="0"/>
        </w:rPr>
        <w:t>八</w:t>
      </w:r>
      <w:bookmarkEnd w:id="1425"/>
      <w:r>
        <w:rPr>
          <w:color w:val="000000"/>
          <w:spacing w:val="0"/>
          <w:w w:val="100"/>
          <w:position w:val="0"/>
        </w:rPr>
        <w:t>、合并范围的变更</w:t>
      </w:r>
      <w:bookmarkEnd w:id="1423"/>
      <w:bookmarkEnd w:id="1424"/>
      <w:bookmarkEnd w:id="1426"/>
    </w:p>
    <w:p>
      <w:pPr>
        <w:pStyle w:val="Style34"/>
        <w:keepNext/>
        <w:keepLines/>
        <w:widowControl w:val="0"/>
        <w:shd w:val="clear" w:color="auto" w:fill="auto"/>
        <w:bidi w:val="0"/>
        <w:spacing w:before="0" w:after="260" w:line="240" w:lineRule="auto"/>
        <w:ind w:left="0" w:right="0" w:firstLine="0"/>
        <w:jc w:val="left"/>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427"/>
      <w:bookmarkEnd w:id="1428"/>
      <w:bookmarkEnd w:id="1429"/>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说明其他原因导致的合并范围变动（如，新设子公司、清算子公司等）及其相关情况：</w:t>
      </w:r>
    </w:p>
    <w:p>
      <w:pPr>
        <w:pStyle w:val="Style2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本集团本年新设立两家子公司，分别为湾区（深圳）城市规划设计有限公司（简称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湾区规划设计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，参见附注九、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和湾区（深圳）绿色技术有限公司（简称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湾区绿色技术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，参见附注九、</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日，该两家公司均尚 未发生实际业务。</w:t>
      </w:r>
    </w:p>
    <w:p>
      <w:pPr>
        <w:pStyle w:val="Style30"/>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九</w:t>
      </w:r>
      <w:bookmarkEnd w:id="1432"/>
      <w:r>
        <w:rPr>
          <w:color w:val="000000"/>
          <w:spacing w:val="0"/>
          <w:w w:val="100"/>
          <w:position w:val="0"/>
        </w:rPr>
        <w:t>、在其他主体中的权益</w:t>
      </w:r>
      <w:bookmarkEnd w:id="1430"/>
      <w:bookmarkEnd w:id="1431"/>
      <w:bookmarkEnd w:id="1433"/>
    </w:p>
    <w:p>
      <w:pPr>
        <w:pStyle w:val="Style34"/>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434"/>
      <w:bookmarkEnd w:id="1435"/>
      <w:bookmarkEnd w:id="1436"/>
    </w:p>
    <w:p>
      <w:pPr>
        <w:pStyle w:val="Style34"/>
        <w:keepNext/>
        <w:keepLines/>
        <w:widowControl w:val="0"/>
        <w:shd w:val="clear" w:color="auto" w:fill="auto"/>
        <w:bidi w:val="0"/>
        <w:spacing w:before="0" w:after="320" w:line="240" w:lineRule="auto"/>
        <w:ind w:left="0" w:right="0" w:firstLine="0"/>
        <w:jc w:val="left"/>
      </w:pPr>
      <w:bookmarkStart w:id="1434" w:name="bookmark1434"/>
      <w:bookmarkStart w:id="1435" w:name="bookmark1435"/>
      <w:bookmarkStart w:id="1437" w:name="bookmark1437"/>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434"/>
      <w:bookmarkEnd w:id="1435"/>
      <w:bookmarkEnd w:id="1437"/>
    </w:p>
    <w:tbl>
      <w:tblPr>
        <w:tblOverlap w:val="never"/>
        <w:jc w:val="center"/>
        <w:tblLayout w:type="fixed"/>
      </w:tblPr>
      <w:tblGrid>
        <w:gridCol w:w="1253"/>
        <w:gridCol w:w="989"/>
        <w:gridCol w:w="994"/>
        <w:gridCol w:w="3542"/>
        <w:gridCol w:w="854"/>
        <w:gridCol w:w="706"/>
        <w:gridCol w:w="710"/>
        <w:gridCol w:w="576"/>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注册资本</w:t>
            </w:r>
          </w:p>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万元</w:t>
            </w:r>
            <w:r>
              <w:rPr>
                <w:color w:val="000000"/>
                <w:spacing w:val="0"/>
                <w:w w:val="100"/>
                <w:position w:val="0"/>
                <w:sz w:val="18"/>
                <w:szCs w:val="18"/>
              </w:rPr>
              <w:t>）</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取得</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迪赛恩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信息工程监理、咨询；建筑工程、环艺设计 与咨询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艾科筑业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住宅产业化和可再生资源与建筑一体化的研 究</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 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市政建设及规划咨询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无偿 划转</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北京艾科城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设立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建筑工程设计与咨询</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both"/>
              <w:rPr>
                <w:sz w:val="16"/>
                <w:szCs w:val="16"/>
              </w:rPr>
            </w:pPr>
            <w:r>
              <w:rPr>
                <w:rFonts w:ascii="Arial" w:eastAsia="Arial" w:hAnsi="Arial" w:cs="Arial"/>
                <w:color w:val="000000"/>
                <w:spacing w:val="0"/>
                <w:w w:val="100"/>
                <w:position w:val="0"/>
                <w:sz w:val="16"/>
                <w:szCs w:val="16"/>
              </w:rPr>
              <w:t>300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设立</w:t>
            </w:r>
          </w:p>
        </w:tc>
      </w:tr>
    </w:tbl>
    <w:p>
      <w:pPr>
        <w:widowControl w:val="0"/>
        <w:spacing w:line="1" w:lineRule="exact"/>
      </w:pPr>
      <w:r>
        <w:br w:type="page"/>
      </w:r>
    </w:p>
    <w:tbl>
      <w:tblPr>
        <w:tblOverlap w:val="never"/>
        <w:jc w:val="center"/>
        <w:tblLayout w:type="fixed"/>
      </w:tblPr>
      <w:tblGrid>
        <w:gridCol w:w="1253"/>
        <w:gridCol w:w="989"/>
        <w:gridCol w:w="994"/>
        <w:gridCol w:w="3542"/>
        <w:gridCol w:w="854"/>
        <w:gridCol w:w="706"/>
        <w:gridCol w:w="710"/>
        <w:gridCol w:w="576"/>
      </w:tblGrid>
      <w:tr>
        <w:trPr>
          <w:trHeight w:val="73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建研检测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建筑工程检测、监测、测量，建筑材料与部 品检测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 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常州城建艾科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常州市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绿色城市与绿色建筑研发服务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生态科技领域内的技术开发、技术咨询、技 术服务、技术转让；房地产经纪，物业管理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绿色建筑与园区运营管理；文化艺术交流策 划</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雄安玖壹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保定市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保定市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生态环境技术开发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投资 设立</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绿研检验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保定市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保定市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工程检测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设立</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建信筑和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软件与信息技术服务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500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设立</w:t>
            </w: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湖北建胜</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建筑工程安全生产评价，工程技术咨询及指 导服务，工程造价信息咨询服务，工程技术 专家论证服务，房屋租赁</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3,103.85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精兴建设</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7" w:lineRule="exact"/>
              <w:ind w:left="0" w:right="0" w:firstLine="0"/>
              <w:jc w:val="both"/>
            </w:pPr>
            <w:r>
              <w:rPr>
                <w:color w:val="000000"/>
                <w:spacing w:val="0"/>
                <w:w w:val="100"/>
                <w:position w:val="0"/>
              </w:rPr>
              <w:t>建设工程检测，地基与基础工程检测，主体 结构工程现场检测等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图强建设</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武汉市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一类及一类以下建筑工程施工图设计文件审 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领航培训</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建筑行业从业人员职业技能培训</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丰天工程</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荆门市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工程项目招标代理服务，工程项目咨询、代 理服务，政府采购代理服务，不动产测绘等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湾区规划设计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城市规划设计、建筑工程设计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设立</w:t>
            </w:r>
          </w:p>
        </w:tc>
      </w:tr>
      <w:tr>
        <w:trPr>
          <w:trHeight w:val="72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湾区绿色技术</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both"/>
            </w:pPr>
            <w:r>
              <w:rPr>
                <w:color w:val="000000"/>
                <w:spacing w:val="0"/>
                <w:w w:val="100"/>
                <w:position w:val="0"/>
              </w:rPr>
              <w:t>工程项目管理及相关技术服务；环境工程咨</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询；绿色节能改造工程咨询与施工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rFonts w:ascii="Arial" w:eastAsia="Arial" w:hAnsi="Arial" w:cs="Arial"/>
                <w:color w:val="000000"/>
                <w:spacing w:val="0"/>
                <w:w w:val="100"/>
                <w:position w:val="0"/>
                <w:sz w:val="16"/>
                <w:szCs w:val="16"/>
              </w:rPr>
              <w:t>100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 设立</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在子公司的持股比例不同于表决权比例的说明：</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截至本报告期末，本集团所持湖北建胜及其子公司的股权比例为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，根据湖北建胜公司章程中关于表决权的约定，本集 团可以控制湖北建胜及其子公司。</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对于纳入合并范围的重要的结构化主体，控制的依据：</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确定公司是代理人还是委托人的依据：</w:t>
      </w:r>
    </w:p>
    <w:p>
      <w:pPr>
        <w:pStyle w:val="Style21"/>
        <w:keepNext w:val="0"/>
        <w:keepLines w:val="0"/>
        <w:widowControl w:val="0"/>
        <w:shd w:val="clear" w:color="auto" w:fill="auto"/>
        <w:bidi w:val="0"/>
        <w:spacing w:before="0" w:after="160" w:line="317" w:lineRule="exact"/>
        <w:ind w:left="0" w:right="0" w:firstLine="0"/>
        <w:jc w:val="left"/>
      </w:pPr>
      <w:r>
        <w:rPr>
          <w:color w:val="000000"/>
          <w:spacing w:val="0"/>
          <w:w w:val="100"/>
          <w:position w:val="0"/>
        </w:rPr>
        <w:t>无。</w:t>
      </w:r>
    </w:p>
    <w:p>
      <w:pPr>
        <w:pStyle w:val="Style2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0" w:line="240" w:lineRule="auto"/>
        <w:ind w:left="0" w:right="0" w:firstLine="0"/>
        <w:jc w:val="left"/>
        <w:sectPr>
          <w:headerReference w:type="default" r:id="rId283"/>
          <w:footerReference w:type="default" r:id="rId284"/>
          <w:headerReference w:type="even" r:id="rId285"/>
          <w:footerReference w:type="even" r:id="rId286"/>
          <w:headerReference w:type="first" r:id="rId287"/>
          <w:footerReference w:type="first" r:id="rId288"/>
          <w:footnotePr>
            <w:pos w:val="pageBottom"/>
            <w:numFmt w:val="decimal"/>
            <w:numRestart w:val="continuous"/>
          </w:footnotePr>
          <w:pgSz w:w="11900" w:h="16840"/>
          <w:pgMar w:top="1534" w:right="980" w:bottom="1367" w:left="1003" w:header="0" w:footer="3" w:gutter="0"/>
          <w:cols w:space="720"/>
          <w:noEndnote/>
          <w:titlePg/>
          <w:rtlGutter w:val="0"/>
          <w:docGrid w:linePitch="360"/>
        </w:sectPr>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438"/>
      <w:bookmarkEnd w:id="1439"/>
      <w:bookmarkEnd w:id="144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0"/>
      </w:tblGrid>
      <w:tr>
        <w:trPr>
          <w:trHeight w:val="76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2,894,718.87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22,847,332.87</w:t>
            </w:r>
          </w:p>
        </w:tc>
      </w:tr>
    </w:tbl>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子公司少数股东的持股比例不同于表决权比例的说明: 无。</w:t>
      </w:r>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w:t>
      </w:r>
      <w:bookmarkEnd w:id="1443"/>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441"/>
      <w:bookmarkEnd w:id="1442"/>
      <w:bookmarkEnd w:id="1444"/>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非流动</w:t>
            </w:r>
          </w:p>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528" w:hRule="exact"/>
        </w:trPr>
        <w:tc>
          <w:tcPr>
            <w:vMerge w:val="restart"/>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湖北建 胜及其 子公司</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23,560,6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20,982,9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44,543,5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6,142,80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321,952.</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6,464,75</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16,987,0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21,714,9</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38,702,0</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5,081,56</w:t>
            </w:r>
          </w:p>
        </w:tc>
        <w:tc>
          <w:tcPr>
            <w:tcBorders>
              <w:top w:val="single" w:sz="4"/>
              <w:lef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366,145.</w:t>
            </w:r>
          </w:p>
        </w:tc>
        <w:tc>
          <w:tcPr>
            <w:tcBorders>
              <w:top w:val="single" w:sz="4"/>
              <w:left w:val="single" w:sz="4"/>
              <w:right w:val="single" w:sz="4"/>
            </w:tcBorders>
            <w:shd w:val="clear" w:color="auto" w:fill="FFFFFF"/>
            <w:vAlign w:val="bottom"/>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5,447,70</w:t>
            </w:r>
          </w:p>
        </w:tc>
      </w:tr>
      <w:tr>
        <w:trPr>
          <w:trHeight w:val="509"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19.61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62.40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82.01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02.76</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w:t>
            </w:r>
          </w:p>
        </w:tc>
        <w:tc>
          <w:tcPr>
            <w:tcBorders>
              <w:left w:val="single" w:sz="4"/>
              <w:bottom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w:t>
            </w:r>
          </w:p>
        </w:tc>
        <w:tc>
          <w:tcPr>
            <w:tcBorders>
              <w:left w:val="single" w:sz="4"/>
              <w:bottom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湖北建胜及 其子公司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35,598,514.7</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4,824,531.45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4,824,531.45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9,872,758.11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12,305,972.9</w:t>
            </w:r>
          </w:p>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2,215,700.12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2,215,700.12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3,729,297.43</w:t>
            </w:r>
          </w:p>
        </w:tc>
      </w:tr>
    </w:tbl>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上表列示了上述子公司的主要财务信息，这些子公司的主要财务信息是集团内部交易抵销前的金额，但是经过了合并日公 允价值以及统一会计政策的调整。</w:t>
      </w:r>
    </w:p>
    <w:p>
      <w:pPr>
        <w:pStyle w:val="Style34"/>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445"/>
      <w:bookmarkEnd w:id="1446"/>
      <w:bookmarkEnd w:id="1447"/>
    </w:p>
    <w:p>
      <w:pPr>
        <w:pStyle w:val="Style34"/>
        <w:keepNext/>
        <w:keepLines/>
        <w:widowControl w:val="0"/>
        <w:shd w:val="clear" w:color="auto" w:fill="auto"/>
        <w:bidi w:val="0"/>
        <w:spacing w:before="0" w:after="380" w:line="240" w:lineRule="auto"/>
        <w:ind w:left="0" w:right="0" w:firstLine="0"/>
        <w:jc w:val="left"/>
      </w:pPr>
      <w:bookmarkStart w:id="1445" w:name="bookmark1445"/>
      <w:bookmarkStart w:id="1446" w:name="bookmark1446"/>
      <w:bookmarkStart w:id="1448" w:name="bookmark14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445"/>
      <w:bookmarkEnd w:id="1446"/>
      <w:bookmarkEnd w:id="1448"/>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3331"/>
        <w:gridCol w:w="3058"/>
        <w:gridCol w:w="3197"/>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3,610,696.80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3,737,477.72</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-589,024.14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-126,780.92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-589,024.14</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本集团无合营企业。</w:t>
      </w:r>
    </w:p>
    <w:p>
      <w:pPr>
        <w:pStyle w:val="Style30"/>
        <w:keepNext/>
        <w:keepLines/>
        <w:widowControl w:val="0"/>
        <w:shd w:val="clear" w:color="auto" w:fill="auto"/>
        <w:bidi w:val="0"/>
        <w:spacing w:before="0" w:after="260" w:line="240" w:lineRule="auto"/>
        <w:ind w:left="0" w:right="0" w:firstLine="0"/>
        <w:jc w:val="left"/>
      </w:pPr>
      <w:bookmarkStart w:id="1449" w:name="bookmark1449"/>
      <w:bookmarkStart w:id="1450" w:name="bookmark1450"/>
      <w:bookmarkStart w:id="1451" w:name="bookmark1451"/>
      <w:r>
        <w:rPr>
          <w:color w:val="000000"/>
          <w:spacing w:val="0"/>
          <w:w w:val="100"/>
          <w:position w:val="0"/>
        </w:rPr>
        <w:t>十、与金融工具相关的风险</w:t>
      </w:r>
      <w:bookmarkEnd w:id="1449"/>
      <w:bookmarkEnd w:id="1450"/>
      <w:bookmarkEnd w:id="1451"/>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本公司的主要金融工具包括应收款项、应付款项等，各项金融工具的详细情况说明见本附注五相关项目。与这些金融工具有 关的风险，以及本公司为降低这些风险所采取的风险管理政策如下所述。本公司管理层对这些风险敞口进行管理和监控以确 保将上述风险控制在限定的范围之内。</w:t>
      </w:r>
    </w:p>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本集团在日常活动中面临各种金融工具的风险，主要包括：</w:t>
      </w:r>
    </w:p>
    <w:p>
      <w:pPr>
        <w:pStyle w:val="Style21"/>
        <w:keepNext w:val="0"/>
        <w:keepLines w:val="0"/>
        <w:widowControl w:val="0"/>
        <w:numPr>
          <w:ilvl w:val="0"/>
          <w:numId w:val="71"/>
        </w:numPr>
        <w:shd w:val="clear" w:color="auto" w:fill="auto"/>
        <w:tabs>
          <w:tab w:pos="380" w:val="left"/>
        </w:tabs>
        <w:bidi w:val="0"/>
        <w:spacing w:before="0" w:after="0" w:line="360" w:lineRule="auto"/>
        <w:ind w:left="0" w:right="0" w:firstLine="0"/>
        <w:jc w:val="both"/>
      </w:pPr>
      <w:bookmarkStart w:id="1452" w:name="bookmark1452"/>
      <w:bookmarkEnd w:id="1452"/>
      <w:r>
        <w:rPr>
          <w:color w:val="000000"/>
          <w:spacing w:val="0"/>
          <w:w w:val="100"/>
          <w:position w:val="0"/>
        </w:rPr>
        <w:t>信用风险</w:t>
      </w:r>
    </w:p>
    <w:p>
      <w:pPr>
        <w:pStyle w:val="Style21"/>
        <w:keepNext w:val="0"/>
        <w:keepLines w:val="0"/>
        <w:widowControl w:val="0"/>
        <w:numPr>
          <w:ilvl w:val="0"/>
          <w:numId w:val="71"/>
        </w:numPr>
        <w:shd w:val="clear" w:color="auto" w:fill="auto"/>
        <w:tabs>
          <w:tab w:pos="380" w:val="left"/>
        </w:tabs>
        <w:bidi w:val="0"/>
        <w:spacing w:before="0" w:after="0" w:line="360" w:lineRule="auto"/>
        <w:ind w:left="0" w:right="0" w:firstLine="0"/>
        <w:jc w:val="both"/>
      </w:pPr>
      <w:bookmarkStart w:id="1453" w:name="bookmark1453"/>
      <w:bookmarkEnd w:id="1453"/>
      <w:r>
        <w:rPr>
          <w:color w:val="000000"/>
          <w:spacing w:val="0"/>
          <w:w w:val="100"/>
          <w:position w:val="0"/>
        </w:rPr>
        <w:t>流动性风险</w:t>
      </w:r>
    </w:p>
    <w:p>
      <w:pPr>
        <w:pStyle w:val="Style21"/>
        <w:keepNext w:val="0"/>
        <w:keepLines w:val="0"/>
        <w:widowControl w:val="0"/>
        <w:numPr>
          <w:ilvl w:val="0"/>
          <w:numId w:val="71"/>
        </w:numPr>
        <w:shd w:val="clear" w:color="auto" w:fill="auto"/>
        <w:tabs>
          <w:tab w:pos="380" w:val="left"/>
        </w:tabs>
        <w:bidi w:val="0"/>
        <w:spacing w:before="0" w:after="0" w:line="360" w:lineRule="auto"/>
        <w:ind w:left="0" w:right="0" w:firstLine="0"/>
        <w:jc w:val="both"/>
      </w:pPr>
      <w:bookmarkStart w:id="1454" w:name="bookmark1454"/>
      <w:bookmarkEnd w:id="1454"/>
      <w:r>
        <w:rPr>
          <w:color w:val="000000"/>
          <w:spacing w:val="0"/>
          <w:w w:val="100"/>
          <w:position w:val="0"/>
        </w:rPr>
        <w:t>利率风险</w:t>
      </w:r>
    </w:p>
    <w:p>
      <w:pPr>
        <w:pStyle w:val="Style21"/>
        <w:keepNext w:val="0"/>
        <w:keepLines w:val="0"/>
        <w:widowControl w:val="0"/>
        <w:numPr>
          <w:ilvl w:val="0"/>
          <w:numId w:val="71"/>
        </w:numPr>
        <w:shd w:val="clear" w:color="auto" w:fill="auto"/>
        <w:tabs>
          <w:tab w:pos="380" w:val="left"/>
        </w:tabs>
        <w:bidi w:val="0"/>
        <w:spacing w:before="0" w:after="0" w:line="360" w:lineRule="auto"/>
        <w:ind w:left="0" w:right="0" w:firstLine="0"/>
        <w:jc w:val="both"/>
      </w:pPr>
      <w:bookmarkStart w:id="1455" w:name="bookmark1455"/>
      <w:bookmarkEnd w:id="1455"/>
      <w:r>
        <w:rPr>
          <w:color w:val="000000"/>
          <w:spacing w:val="0"/>
          <w:w w:val="100"/>
          <w:position w:val="0"/>
        </w:rPr>
        <w:t>汇率风险</w:t>
      </w:r>
    </w:p>
    <w:p>
      <w:pPr>
        <w:pStyle w:val="Style21"/>
        <w:keepNext w:val="0"/>
        <w:keepLines w:val="0"/>
        <w:widowControl w:val="0"/>
        <w:numPr>
          <w:ilvl w:val="0"/>
          <w:numId w:val="71"/>
        </w:numPr>
        <w:shd w:val="clear" w:color="auto" w:fill="auto"/>
        <w:tabs>
          <w:tab w:pos="380" w:val="left"/>
        </w:tabs>
        <w:bidi w:val="0"/>
        <w:spacing w:before="0" w:after="0" w:line="360" w:lineRule="auto"/>
        <w:ind w:left="0" w:right="0" w:firstLine="0"/>
        <w:jc w:val="both"/>
      </w:pPr>
      <w:bookmarkStart w:id="1456" w:name="bookmark1456"/>
      <w:bookmarkEnd w:id="1456"/>
      <w:r>
        <w:rPr>
          <w:color w:val="000000"/>
          <w:spacing w:val="0"/>
          <w:w w:val="100"/>
          <w:position w:val="0"/>
        </w:rPr>
        <w:t>其他价格风险</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下文主要论述上述风险敞口及其形成原因以及在本年发生的变化、风险管理目标、政策和程序以及计量风险的方法及其在本 年发生的变化等。</w:t>
      </w:r>
    </w:p>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本集团从事风险管理的目标是在风险和收益之间取得适当的平衡，力求降低金融风险对本集团财务业绩的不利影响。基于该 风险管理目标，本集团已制定风险管理政策以辨别和分析本集团所面临的风险，设定适当的风险可接受水平并设计相应的内 部控制程序，以监控本集团的风险水平。本集团会定期审阅这些风险管理政策及有关内部控制系统，以适应市场情况或本集 团经营活动的改变。</w:t>
      </w:r>
    </w:p>
    <w:p>
      <w:pPr>
        <w:pStyle w:val="Style21"/>
        <w:keepNext w:val="0"/>
        <w:keepLines w:val="0"/>
        <w:widowControl w:val="0"/>
        <w:shd w:val="clear" w:color="auto" w:fill="auto"/>
        <w:tabs>
          <w:tab w:pos="380" w:val="left"/>
        </w:tabs>
        <w:bidi w:val="0"/>
        <w:spacing w:before="0" w:after="0" w:line="360" w:lineRule="auto"/>
        <w:ind w:left="0" w:right="0" w:firstLine="0"/>
        <w:jc w:val="both"/>
      </w:pPr>
      <w:bookmarkStart w:id="1457" w:name="bookmark1457"/>
      <w:r>
        <w:rPr>
          <w:rFonts w:ascii="Times New Roman" w:eastAsia="Times New Roman" w:hAnsi="Times New Roman" w:cs="Times New Roman"/>
          <w:color w:val="000000"/>
          <w:spacing w:val="0"/>
          <w:w w:val="100"/>
          <w:position w:val="0"/>
          <w:sz w:val="18"/>
          <w:szCs w:val="18"/>
        </w:rPr>
        <w:t>1</w:t>
      </w:r>
      <w:bookmarkEnd w:id="1457"/>
      <w:r>
        <w:rPr>
          <w:color w:val="000000"/>
          <w:spacing w:val="0"/>
          <w:w w:val="100"/>
          <w:position w:val="0"/>
        </w:rPr>
        <w:t>、</w:t>
        <w:tab/>
        <w:t>信用风险</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信用风险，是指金融工具的一方不能履行义务，造成另一方发生财务损失的风险。本集团的信用风险主要来自货币资金、应 收款项、合同资产、交易性金融资产等。管理层会持续监控这些信用风险的敞口。</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本集团除现金以外的货币资金主要存放于信用良好的金融机构，管理层认为其不存在重大的信用风险，预期不会因为对方违 约而给本集团造成损失。</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本集团所承受的最大信用风险敞口为资产负债表中每项金融资产（包括交易性金融资产）的账面金额。</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）应收账款和合同资产</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本集团信用风险主要是受每个客户自身特性的影响，而不是客户所在的行业或国家和地区。因此重大信用风险集中的情况主 要源自本集团存在对个别客户的重大应收账款和合同资产。于资产负债表日，本集团的前五大客户的应收账款和合同资产占 本集团应收账款和合同资产总额的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对于应收账款，本集团风险管理委员会已根据实际情况制定了信用政策，对客户进行信用评估以确定赊销额度与信用期限。 信用评估主要根据客户的财务状况、外部评级及银行信用记录（如有可能）。有关的应收账款自出具账单日起</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天内到期。 在一般情况下，本集团不会要求客户提供抵押品。</w:t>
      </w:r>
    </w:p>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有关应收账款和合同资产的具体信息，请参见应收账款和合同资产的相关披露。</w:t>
      </w:r>
    </w:p>
    <w:p>
      <w:pPr>
        <w:pStyle w:val="Style21"/>
        <w:keepNext w:val="0"/>
        <w:keepLines w:val="0"/>
        <w:widowControl w:val="0"/>
        <w:shd w:val="clear" w:color="auto" w:fill="auto"/>
        <w:tabs>
          <w:tab w:pos="380" w:val="left"/>
        </w:tabs>
        <w:bidi w:val="0"/>
        <w:spacing w:before="0" w:after="0" w:line="360" w:lineRule="auto"/>
        <w:ind w:left="0" w:right="0" w:firstLine="0"/>
        <w:jc w:val="both"/>
      </w:pPr>
      <w:bookmarkStart w:id="1458" w:name="bookmark1458"/>
      <w:r>
        <w:rPr>
          <w:rFonts w:ascii="Times New Roman" w:eastAsia="Times New Roman" w:hAnsi="Times New Roman" w:cs="Times New Roman"/>
          <w:color w:val="000000"/>
          <w:spacing w:val="0"/>
          <w:w w:val="100"/>
          <w:position w:val="0"/>
          <w:sz w:val="18"/>
          <w:szCs w:val="18"/>
        </w:rPr>
        <w:t>2</w:t>
      </w:r>
      <w:bookmarkEnd w:id="1458"/>
      <w:r>
        <w:rPr>
          <w:color w:val="000000"/>
          <w:spacing w:val="0"/>
          <w:w w:val="100"/>
          <w:position w:val="0"/>
        </w:rPr>
        <w:t>、</w:t>
        <w:tab/>
        <w:t>流动性风险</w:t>
      </w:r>
    </w:p>
    <w:p>
      <w:pPr>
        <w:pStyle w:val="Style21"/>
        <w:keepNext w:val="0"/>
        <w:keepLines w:val="0"/>
        <w:widowControl w:val="0"/>
        <w:shd w:val="clear" w:color="auto" w:fill="auto"/>
        <w:bidi w:val="0"/>
        <w:spacing w:before="0" w:after="120" w:line="312" w:lineRule="exact"/>
        <w:ind w:left="0" w:right="0" w:firstLine="0"/>
        <w:jc w:val="both"/>
      </w:pPr>
      <w:r>
        <w:rPr>
          <w:color w:val="000000"/>
          <w:spacing w:val="0"/>
          <w:w w:val="100"/>
          <w:position w:val="0"/>
        </w:rPr>
        <w:t>流动性风险，是指企业在履行以交付现金或其他金融资产的方式结算的义务时发生资金短缺的风险。本集团实行现金统一管 理，包括现金盈余的短期投资和筹措贷款以应付预计现金需求（如果借款额超过某些预设授权上限，便需获得本公司董事会 的批准）。本集团的政策是定期监控短期和长期的流动资金需求，以及是否符合借款协议的规定，以确保维持充裕的现金储 备和可供随时变现的有价证券，同时获得主要金融机构承诺提供足够的备用资金，以满足短期和较长期的流动资金需求。</w:t>
        <w:br w:type="page"/>
      </w:r>
      <w:r>
        <w:rPr>
          <w:color w:val="000000"/>
          <w:spacing w:val="0"/>
          <w:w w:val="100"/>
          <w:position w:val="0"/>
        </w:rPr>
        <w:t>本集团于资产负债表日的金融负债按未折现的合同现金流量（包括按合同利率（如果是浮动利率则按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日的现行利率） </w:t>
      </w:r>
      <w:r>
        <w:rPr>
          <w:color w:val="000000"/>
          <w:spacing w:val="0"/>
          <w:w w:val="100"/>
          <w:position w:val="0"/>
        </w:rPr>
        <w:t>计算的利息）的剩余合约期限，以及被要求支付的最早日期如下:</w:t>
      </w: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1570"/>
        <w:gridCol w:w="1560"/>
        <w:gridCol w:w="1416"/>
        <w:gridCol w:w="1416"/>
        <w:gridCol w:w="854"/>
        <w:gridCol w:w="1416"/>
        <w:gridCol w:w="1426"/>
      </w:tblGrid>
      <w:tr>
        <w:trPr>
          <w:trHeight w:val="350"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600"/>
              <w:jc w:val="left"/>
            </w:pPr>
            <w:r>
              <w:rPr>
                <w:color w:val="000000"/>
                <w:spacing w:val="0"/>
                <w:w w:val="100"/>
                <w:position w:val="0"/>
              </w:rPr>
              <w:t>项目</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年未折现的合同现金流量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资产负债表日 账面价值</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年内或实时偿还</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vMerge/>
            <w:tcBorders>
              <w:left w:val="single" w:sz="4"/>
              <w:right w:val="single" w:sz="4"/>
            </w:tcBorders>
            <w:shd w:val="clear" w:color="auto" w:fill="D3D3D3"/>
            <w:vAlign w:val="center"/>
          </w:tcPr>
          <w:p>
            <w:pP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112,269,544.44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112,269,544.44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110,099,944.44</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214,364,677.43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214,364,677.43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214,364,677.43</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66,269,232.78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66,269,232.78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66,269,232.78</w:t>
            </w:r>
          </w:p>
        </w:tc>
      </w:tr>
      <w:tr>
        <w:trPr>
          <w:trHeight w:val="6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长期借款（含一 年内到期的部分）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10,785,527.78</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118,491,500.00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126,804,984.59</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256,082,012.37</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228,294,027.78</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403,688,982.43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118,491,500.00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126,804,984.59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648,985,467.02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619,027,882.43</w:t>
            </w:r>
          </w:p>
        </w:tc>
      </w:tr>
    </w:tbl>
    <w:p>
      <w:pPr>
        <w:widowControl w:val="0"/>
        <w:spacing w:after="3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1570"/>
        <w:gridCol w:w="1714"/>
        <w:gridCol w:w="1277"/>
        <w:gridCol w:w="1402"/>
        <w:gridCol w:w="854"/>
        <w:gridCol w:w="1416"/>
        <w:gridCol w:w="1426"/>
      </w:tblGrid>
      <w:tr>
        <w:trPr>
          <w:trHeight w:val="355"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600"/>
              <w:jc w:val="left"/>
            </w:pPr>
            <w:r>
              <w:rPr>
                <w:color w:val="000000"/>
                <w:spacing w:val="0"/>
                <w:w w:val="100"/>
                <w:position w:val="0"/>
              </w:rPr>
              <w:t>项目</w:t>
            </w:r>
          </w:p>
        </w:tc>
        <w:tc>
          <w:tcPr>
            <w:gridSpan w:val="5"/>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年未折现的合同现金流量</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资产负债表日 账面价值</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年内或实时偿还</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vMerge/>
            <w:tcBorders>
              <w:left w:val="single" w:sz="4"/>
              <w:right w:val="single" w:sz="4"/>
            </w:tcBorders>
            <w:shd w:val="clear" w:color="auto" w:fill="D3D3D3"/>
            <w:vAlign w:val="center"/>
          </w:tcPr>
          <w:p>
            <w:pP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101,660,794.18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101,660,794.18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100,146,875.00</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158,167,897.71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158,167,897.71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158,167,897.71</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24,449,884.85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24,449,884.85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24,449,884.85</w:t>
            </w:r>
          </w:p>
        </w:tc>
      </w:tr>
      <w:tr>
        <w:trPr>
          <w:trHeight w:val="6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长期借款（含一年 内到期的部分）</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7,523,333.33</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7,320,000.00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156,615,272.26</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171,458,605.59</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150,203,333.33</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291,801,910.07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7,320,000.00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156,615,272.26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455,737,182.33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432,967,990.89</w:t>
            </w:r>
          </w:p>
        </w:tc>
      </w:tr>
    </w:tbl>
    <w:p>
      <w:pPr>
        <w:widowControl w:val="0"/>
        <w:spacing w:after="279" w:line="1" w:lineRule="exact"/>
      </w:pPr>
    </w:p>
    <w:p>
      <w:pPr>
        <w:pStyle w:val="Style21"/>
        <w:keepNext w:val="0"/>
        <w:keepLines w:val="0"/>
        <w:widowControl w:val="0"/>
        <w:shd w:val="clear" w:color="auto" w:fill="auto"/>
        <w:bidi w:val="0"/>
        <w:spacing w:before="0" w:after="40" w:line="278" w:lineRule="exact"/>
        <w:ind w:left="0" w:right="0" w:firstLine="0"/>
        <w:jc w:val="left"/>
      </w:pPr>
      <w:bookmarkStart w:id="1459" w:name="bookmark1459"/>
      <w:r>
        <w:rPr>
          <w:rFonts w:ascii="Times New Roman" w:eastAsia="Times New Roman" w:hAnsi="Times New Roman" w:cs="Times New Roman"/>
          <w:color w:val="000000"/>
          <w:spacing w:val="0"/>
          <w:w w:val="100"/>
          <w:position w:val="0"/>
          <w:sz w:val="18"/>
          <w:szCs w:val="18"/>
        </w:rPr>
        <w:t>3</w:t>
      </w:r>
      <w:bookmarkEnd w:id="1459"/>
      <w:r>
        <w:rPr>
          <w:color w:val="000000"/>
          <w:spacing w:val="0"/>
          <w:w w:val="100"/>
          <w:position w:val="0"/>
        </w:rPr>
        <w:t>、利率风险</w:t>
      </w:r>
    </w:p>
    <w:p>
      <w:pPr>
        <w:pStyle w:val="Style21"/>
        <w:keepNext w:val="0"/>
        <w:keepLines w:val="0"/>
        <w:widowControl w:val="0"/>
        <w:shd w:val="clear" w:color="auto" w:fill="auto"/>
        <w:bidi w:val="0"/>
        <w:spacing w:before="0" w:after="40" w:line="278" w:lineRule="exact"/>
        <w:ind w:left="0" w:right="0" w:firstLine="0"/>
        <w:jc w:val="left"/>
      </w:pPr>
      <w:r>
        <w:rPr>
          <w:color w:val="000000"/>
          <w:spacing w:val="0"/>
          <w:w w:val="100"/>
          <w:position w:val="0"/>
        </w:rPr>
        <w:t>固定利率和浮动利率的带息金融工具分别使本集团面临公允价值利率风险及现金流量利率风险。本集团根据市场环境来决 定固定利率与浮动利率工具的比例，并通过定期审阅与监察维持适当的固定和浮动利率工具组合。</w:t>
      </w:r>
    </w:p>
    <w:p>
      <w:pPr>
        <w:pStyle w:val="Style21"/>
        <w:keepNext w:val="0"/>
        <w:keepLines w:val="0"/>
        <w:widowControl w:val="0"/>
        <w:shd w:val="clear" w:color="auto" w:fill="auto"/>
        <w:bidi w:val="0"/>
        <w:spacing w:before="0" w:after="40" w:line="27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日持有的计息金融工具如下：</w:t>
      </w:r>
    </w:p>
    <w:p>
      <w:pPr>
        <w:pStyle w:val="Style21"/>
        <w:keepNext w:val="0"/>
        <w:keepLines w:val="0"/>
        <w:widowControl w:val="0"/>
        <w:shd w:val="clear" w:color="auto" w:fill="auto"/>
        <w:bidi w:val="0"/>
        <w:spacing w:before="0" w:after="120" w:line="278" w:lineRule="exact"/>
        <w:ind w:left="0" w:right="0" w:firstLine="0"/>
        <w:jc w:val="left"/>
      </w:pPr>
      <w:r>
        <w:rPr>
          <w:color w:val="000000"/>
          <w:spacing w:val="0"/>
          <w:w w:val="100"/>
          <w:position w:val="0"/>
        </w:rPr>
        <w:t>固定利率金融工具：</w:t>
      </w: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2731"/>
        <w:gridCol w:w="1651"/>
        <w:gridCol w:w="1834"/>
        <w:gridCol w:w="1824"/>
        <w:gridCol w:w="1834"/>
      </w:tblGrid>
      <w:tr>
        <w:trPr>
          <w:trHeight w:val="355"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5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60"/>
              <w:jc w:val="left"/>
            </w:pPr>
            <w:r>
              <w:rPr>
                <w:color w:val="000000"/>
                <w:spacing w:val="0"/>
                <w:w w:val="100"/>
                <w:position w:val="0"/>
              </w:rPr>
              <w:t>实际利率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货币资金（定期存款）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32,000,000.00</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65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长期借款及一年内到期的 非流动负债</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3.6000%-5.4625%</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4.6000%-5.4625%</w:t>
            </w:r>
          </w:p>
        </w:tc>
        <w:tc>
          <w:tcPr>
            <w:tcBorders>
              <w:top w:val="single" w:sz="4"/>
              <w:left w:val="single" w:sz="4"/>
              <w:right w:val="single" w:sz="4"/>
            </w:tcBorders>
            <w:shd w:val="clear" w:color="auto" w:fill="FFFFFF"/>
            <w:vAlign w:val="top"/>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150,000,000.00</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228,000,000.00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182,000,000.00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浮动利率金融工具:</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2563"/>
        <w:gridCol w:w="1824"/>
        <w:gridCol w:w="1690"/>
        <w:gridCol w:w="1963"/>
        <w:gridCol w:w="1834"/>
      </w:tblGrid>
      <w:tr>
        <w:trPr>
          <w:trHeight w:val="355" w:hRule="exact"/>
        </w:trPr>
        <w:tc>
          <w:tcPr>
            <w:vMerge w:val="restart"/>
            <w:tcBorders>
              <w:top w:val="single" w:sz="4"/>
              <w:left w:val="single" w:sz="4"/>
            </w:tcBorders>
            <w:shd w:val="clear" w:color="auto" w:fill="D3D3D3"/>
            <w:vAlign w:val="top"/>
          </w:tcPr>
          <w:p>
            <w:pPr>
              <w:pStyle w:val="Style27"/>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6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r>
    </w:tbl>
    <w:p>
      <w:pPr>
        <w:widowControl w:val="0"/>
        <w:spacing w:line="1" w:lineRule="exact"/>
      </w:pPr>
    </w:p>
    <w:tbl>
      <w:tblPr>
        <w:tblOverlap w:val="never"/>
        <w:jc w:val="center"/>
        <w:tblLayout w:type="fixed"/>
      </w:tblPr>
      <w:tblGrid>
        <w:gridCol w:w="2563"/>
        <w:gridCol w:w="1824"/>
        <w:gridCol w:w="1690"/>
        <w:gridCol w:w="1963"/>
        <w:gridCol w:w="1834"/>
      </w:tblGrid>
      <w:tr>
        <w:trPr>
          <w:trHeight w:val="37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短期借款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LPR.PBO C</w:t>
            </w:r>
            <w:r>
              <w:rPr>
                <w:color w:val="000000"/>
                <w:spacing w:val="0"/>
                <w:w w:val="100"/>
                <w:position w:val="0"/>
              </w:rPr>
              <w:t>浮动</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LPR.PBO C</w:t>
            </w:r>
            <w:r>
              <w:rPr>
                <w:color w:val="000000"/>
                <w:spacing w:val="0"/>
                <w:w w:val="100"/>
                <w:position w:val="0"/>
              </w:rPr>
              <w:t>浮动</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5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100,000,000.00</w:t>
            </w:r>
          </w:p>
        </w:tc>
      </w:tr>
    </w:tbl>
    <w:p>
      <w:pPr>
        <w:widowControl w:val="0"/>
        <w:spacing w:after="259" w:line="1" w:lineRule="exact"/>
      </w:pP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敏感性分析：</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假定其他因素不变，截止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日，利率每上升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个基点将会导致集团净利润以及股东权益减少约人民币</w:t>
      </w:r>
      <w:r>
        <w:rPr>
          <w:rFonts w:ascii="Times New Roman" w:eastAsia="Times New Roman" w:hAnsi="Times New Roman" w:cs="Times New Roman"/>
          <w:color w:val="000000"/>
          <w:spacing w:val="0"/>
          <w:w w:val="100"/>
          <w:position w:val="0"/>
          <w:sz w:val="18"/>
          <w:szCs w:val="18"/>
        </w:rPr>
        <w:t>43,111.09</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 xml:space="preserve">日:人民币 </w:t>
      </w:r>
      <w:r>
        <w:rPr>
          <w:rFonts w:ascii="Times New Roman" w:eastAsia="Times New Roman" w:hAnsi="Times New Roman" w:cs="Times New Roman"/>
          <w:color w:val="000000"/>
          <w:spacing w:val="0"/>
          <w:w w:val="100"/>
          <w:position w:val="0"/>
          <w:sz w:val="18"/>
          <w:szCs w:val="18"/>
        </w:rPr>
        <w:t xml:space="preserve">181,304.01 </w:t>
      </w:r>
      <w:r>
        <w:rPr>
          <w:color w:val="000000"/>
          <w:spacing w:val="0"/>
          <w:w w:val="100"/>
          <w:position w:val="0"/>
        </w:rPr>
        <w:t>元</w:t>
      </w:r>
      <w:r>
        <w:rPr>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对于本集团在资产负债表日持有的使本集团面临公允价值利率风险的金融工具，上述敏感性分析中的净利润及股东权益的 影响是假设在资产负债表日利率发生变动，按照新利率对上述金融工具进行重新计量后的影响。对于资产负债表日持有的、 使本集团面临现金流量利率风险的浮动利率非衍生工具，上述敏感性分析中的净利润及股东权益的影响是上述利率变动对 按年度估算的利息费用或收入的影响，并考虑了借款利息资本化的影响。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年的分析基于同样的假设和方法。</w:t>
      </w:r>
    </w:p>
    <w:p>
      <w:pPr>
        <w:pStyle w:val="Style21"/>
        <w:keepNext w:val="0"/>
        <w:keepLines w:val="0"/>
        <w:widowControl w:val="0"/>
        <w:shd w:val="clear" w:color="auto" w:fill="auto"/>
        <w:bidi w:val="0"/>
        <w:spacing w:before="0" w:after="0" w:line="360" w:lineRule="auto"/>
        <w:ind w:left="0" w:right="0" w:firstLine="0"/>
        <w:jc w:val="left"/>
      </w:pPr>
      <w:bookmarkStart w:id="1460" w:name="bookmark1460"/>
      <w:r>
        <w:rPr>
          <w:rFonts w:ascii="Times New Roman" w:eastAsia="Times New Roman" w:hAnsi="Times New Roman" w:cs="Times New Roman"/>
          <w:color w:val="000000"/>
          <w:spacing w:val="0"/>
          <w:w w:val="100"/>
          <w:position w:val="0"/>
          <w:sz w:val="18"/>
          <w:szCs w:val="18"/>
        </w:rPr>
        <w:t>4</w:t>
      </w:r>
      <w:bookmarkEnd w:id="1460"/>
      <w:r>
        <w:rPr>
          <w:color w:val="000000"/>
          <w:spacing w:val="0"/>
          <w:w w:val="100"/>
          <w:position w:val="0"/>
        </w:rPr>
        <w:t>、汇率风险</w:t>
      </w:r>
    </w:p>
    <w:p>
      <w:pPr>
        <w:pStyle w:val="Style2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本集团的主要经营业务来源于中国境内，主要业务以人民币结算，存在的汇率风险较小。</w:t>
      </w:r>
    </w:p>
    <w:p>
      <w:pPr>
        <w:pStyle w:val="Style30"/>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r>
        <w:rPr>
          <w:color w:val="000000"/>
          <w:spacing w:val="0"/>
          <w:w w:val="100"/>
          <w:position w:val="0"/>
        </w:rPr>
        <w:t>十一、公允价值的披露</w:t>
      </w:r>
      <w:bookmarkEnd w:id="1461"/>
      <w:bookmarkEnd w:id="1462"/>
      <w:bookmarkEnd w:id="1463"/>
    </w:p>
    <w:p>
      <w:pPr>
        <w:pStyle w:val="Style34"/>
        <w:keepNext/>
        <w:keepLines/>
        <w:widowControl w:val="0"/>
        <w:shd w:val="clear" w:color="auto" w:fill="auto"/>
        <w:bidi w:val="0"/>
        <w:spacing w:before="0" w:after="380" w:line="240" w:lineRule="auto"/>
        <w:ind w:left="0" w:right="0" w:firstLine="0"/>
        <w:jc w:val="left"/>
      </w:pPr>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464"/>
      <w:bookmarkEnd w:id="1465"/>
      <w:bookmarkEnd w:id="1466"/>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2242"/>
        <w:gridCol w:w="1987"/>
        <w:gridCol w:w="2126"/>
        <w:gridCol w:w="1982"/>
        <w:gridCol w:w="1248"/>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34"/>
        <w:keepNext/>
        <w:keepLines/>
        <w:widowControl w:val="0"/>
        <w:shd w:val="clear" w:color="auto" w:fill="auto"/>
        <w:bidi w:val="0"/>
        <w:spacing w:before="0" w:after="260" w:line="240" w:lineRule="auto"/>
        <w:ind w:left="0" w:right="0" w:firstLine="0"/>
        <w:jc w:val="left"/>
      </w:pPr>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467"/>
      <w:bookmarkEnd w:id="1468"/>
      <w:bookmarkEnd w:id="1469"/>
    </w:p>
    <w:p>
      <w:pPr>
        <w:pStyle w:val="Style2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第一层次输入值：在计量日能够取得的相同资产或负债在活跃市场上未经调整的报价。</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color w:val="000000"/>
          <w:spacing w:val="0"/>
          <w:w w:val="100"/>
          <w:position w:val="0"/>
        </w:rPr>
        <w:t>、</w:t>
        <w:tab/>
        <w:t>持续和非持续第二层次公允价值计量项目，采用的估值技术和重要参数的定性及定量信息</w:t>
      </w:r>
      <w:bookmarkEnd w:id="1470"/>
      <w:bookmarkEnd w:id="1471"/>
      <w:bookmarkEnd w:id="1473"/>
    </w:p>
    <w:p>
      <w:pPr>
        <w:pStyle w:val="Style2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第二层次输入值：除第一层次输入值外相关资产或负债直接或间接可观察的输入值。</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4</w:t>
      </w:r>
      <w:bookmarkEnd w:id="1476"/>
      <w:r>
        <w:rPr>
          <w:color w:val="000000"/>
          <w:spacing w:val="0"/>
          <w:w w:val="100"/>
          <w:position w:val="0"/>
        </w:rPr>
        <w:t>、</w:t>
        <w:tab/>
        <w:t>持续和非持续第三层次公允价值计量项目，采用的估值技术和重要参数的定性及定量信息</w:t>
      </w:r>
      <w:bookmarkEnd w:id="1474"/>
      <w:bookmarkEnd w:id="1475"/>
      <w:bookmarkEnd w:id="1477"/>
    </w:p>
    <w:p>
      <w:pPr>
        <w:pStyle w:val="Style21"/>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持续以第三层次公允价值计量的交易性金融资产主要为本集团持有的理财产品。本集团按投资本金和预期收益率确认公允 价值。</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5</w:t>
      </w:r>
      <w:bookmarkEnd w:id="1480"/>
      <w:r>
        <w:rPr>
          <w:color w:val="000000"/>
          <w:spacing w:val="0"/>
          <w:w w:val="100"/>
          <w:position w:val="0"/>
        </w:rPr>
        <w:t>、</w:t>
        <w:tab/>
        <w:t>其他</w:t>
      </w:r>
      <w:bookmarkEnd w:id="1478"/>
      <w:bookmarkEnd w:id="1479"/>
      <w:bookmarkEnd w:id="1481"/>
    </w:p>
    <w:p>
      <w:pPr>
        <w:pStyle w:val="Style21"/>
        <w:keepNext w:val="0"/>
        <w:keepLines w:val="0"/>
        <w:widowControl w:val="0"/>
        <w:shd w:val="clear" w:color="auto" w:fill="auto"/>
        <w:bidi w:val="0"/>
        <w:spacing w:before="0" w:after="380" w:line="322" w:lineRule="exact"/>
        <w:ind w:left="0" w:right="0" w:firstLine="0"/>
        <w:jc w:val="left"/>
        <w:sectPr>
          <w:headerReference w:type="default" r:id="rId289"/>
          <w:footerReference w:type="default" r:id="rId290"/>
          <w:headerReference w:type="even" r:id="rId291"/>
          <w:footerReference w:type="even" r:id="rId292"/>
          <w:headerReference w:type="first" r:id="rId293"/>
          <w:footerReference w:type="first" r:id="rId294"/>
          <w:footnotePr>
            <w:pos w:val="pageBottom"/>
            <w:numFmt w:val="decimal"/>
            <w:numRestart w:val="continuous"/>
          </w:footnotePr>
          <w:pgSz w:w="11900" w:h="16840"/>
          <w:pgMar w:top="1534" w:right="980" w:bottom="1367" w:left="1003" w:header="0" w:footer="3" w:gutter="0"/>
          <w:cols w:space="720"/>
          <w:noEndnote/>
          <w:titlePg/>
          <w:rtlGutter w:val="0"/>
          <w:docGrid w:linePitch="360"/>
        </w:sectPr>
      </w:pPr>
      <w:r>
        <w:rPr>
          <w:color w:val="000000"/>
          <w:spacing w:val="0"/>
          <w:w w:val="100"/>
          <w:position w:val="0"/>
        </w:rPr>
        <w:t>本集团截止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日和</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日不以公允价值计量的各项金融资产和金融负债的账面价值与公允价值之间无 重大差异。</w:t>
      </w:r>
    </w:p>
    <w:p>
      <w:pPr>
        <w:pStyle w:val="Style30"/>
        <w:keepNext/>
        <w:keepLines/>
        <w:widowControl w:val="0"/>
        <w:shd w:val="clear" w:color="auto" w:fill="auto"/>
        <w:bidi w:val="0"/>
        <w:spacing w:before="0" w:after="400" w:line="240" w:lineRule="auto"/>
        <w:ind w:left="0" w:right="0" w:firstLine="0"/>
        <w:jc w:val="left"/>
      </w:pPr>
      <w:bookmarkStart w:id="1482" w:name="bookmark1482"/>
      <w:bookmarkStart w:id="1483" w:name="bookmark1483"/>
      <w:bookmarkStart w:id="1484" w:name="bookmark1484"/>
      <w:r>
        <w:rPr>
          <w:color w:val="000000"/>
          <w:spacing w:val="0"/>
          <w:w w:val="100"/>
          <w:position w:val="0"/>
        </w:rPr>
        <w:t>十二、关联方及关联交易</w:t>
      </w:r>
      <w:bookmarkEnd w:id="1482"/>
      <w:bookmarkEnd w:id="1483"/>
      <w:bookmarkEnd w:id="1484"/>
    </w:p>
    <w:p>
      <w:pPr>
        <w:pStyle w:val="Style34"/>
        <w:keepNext/>
        <w:keepLines/>
        <w:widowControl w:val="0"/>
        <w:shd w:val="clear" w:color="auto" w:fill="auto"/>
        <w:bidi w:val="0"/>
        <w:spacing w:before="0" w:after="320" w:line="240" w:lineRule="auto"/>
        <w:ind w:left="0" w:right="0" w:firstLine="0"/>
        <w:jc w:val="left"/>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485"/>
      <w:bookmarkEnd w:id="1486"/>
      <w:bookmarkEnd w:id="1487"/>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深圳市资本运营集</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团有限公司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投资业务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1,462,000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w:t>
            </w:r>
          </w:p>
        </w:tc>
      </w:tr>
    </w:tbl>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本企业的母公司情况的说明</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经深圳市人民政府国有资产监督管理委员会批准、深圳市市场监督管理局核准，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深圳市远致投资有限公司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日正式更名为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深圳市资本运营集团有限公司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本企业最终控制方是深圳市资本运营集团有限公司。</w:t>
      </w:r>
    </w:p>
    <w:p>
      <w:pPr>
        <w:pStyle w:val="Style2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00" w:line="322" w:lineRule="exact"/>
        <w:ind w:left="0" w:right="0" w:firstLine="0"/>
        <w:jc w:val="left"/>
      </w:pPr>
      <w:r>
        <w:rPr>
          <w:color w:val="000000"/>
          <w:spacing w:val="0"/>
          <w:w w:val="100"/>
          <w:position w:val="0"/>
        </w:rPr>
        <w:t>无。</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bookmarkEnd w:id="1490"/>
      <w:r>
        <w:rPr>
          <w:color w:val="000000"/>
          <w:spacing w:val="0"/>
          <w:w w:val="100"/>
          <w:position w:val="0"/>
        </w:rPr>
        <w:t>、</w:t>
        <w:tab/>
        <w:t>本企业的子公司情况</w:t>
      </w:r>
      <w:bookmarkEnd w:id="1488"/>
      <w:bookmarkEnd w:id="1489"/>
      <w:bookmarkEnd w:id="1491"/>
    </w:p>
    <w:p>
      <w:pPr>
        <w:pStyle w:val="Style21"/>
        <w:keepNext w:val="0"/>
        <w:keepLines w:val="0"/>
        <w:widowControl w:val="0"/>
        <w:shd w:val="clear" w:color="auto" w:fill="auto"/>
        <w:bidi w:val="0"/>
        <w:spacing w:before="0" w:after="400" w:line="322"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4"/>
        <w:keepNext/>
        <w:keepLines/>
        <w:widowControl w:val="0"/>
        <w:shd w:val="clear" w:color="auto" w:fill="auto"/>
        <w:tabs>
          <w:tab w:pos="378" w:val="left"/>
        </w:tabs>
        <w:bidi w:val="0"/>
        <w:spacing w:before="0" w:after="260" w:line="240" w:lineRule="auto"/>
        <w:ind w:left="0" w:right="0" w:firstLine="0"/>
        <w:jc w:val="left"/>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color w:val="000000"/>
          <w:spacing w:val="0"/>
          <w:w w:val="100"/>
          <w:position w:val="0"/>
        </w:rPr>
        <w:t>、</w:t>
        <w:tab/>
        <w:t>本企业合营和联营企业情况</w:t>
      </w:r>
      <w:bookmarkEnd w:id="1492"/>
      <w:bookmarkEnd w:id="1493"/>
      <w:bookmarkEnd w:id="1495"/>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1"/>
        <w:keepNext w:val="0"/>
        <w:keepLines w:val="0"/>
        <w:widowControl w:val="0"/>
        <w:shd w:val="clear" w:color="auto" w:fill="auto"/>
        <w:bidi w:val="0"/>
        <w:spacing w:before="0" w:after="100" w:line="32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控股股东控制的其他公司及公司的联营公司</w:t>
            </w:r>
          </w:p>
        </w:tc>
      </w:tr>
    </w:tbl>
    <w:p>
      <w:pPr>
        <w:widowControl w:val="0"/>
        <w:spacing w:after="9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2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4</w:t>
      </w:r>
      <w:bookmarkEnd w:id="1498"/>
      <w:r>
        <w:rPr>
          <w:color w:val="000000"/>
          <w:spacing w:val="0"/>
          <w:w w:val="100"/>
          <w:position w:val="0"/>
        </w:rPr>
        <w:t>、其他关联方情况</w:t>
      </w:r>
      <w:bookmarkEnd w:id="1496"/>
      <w:bookmarkEnd w:id="1497"/>
      <w:bookmarkEnd w:id="149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前海科创投控股有限公司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董事长叶青出任董事的公司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中关村发展集团股份有限公司（以下简称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中关村发展）</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董事邵顺昌（已离任）担任董事的公司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中关村发展控制的公司（各公司名称如下）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中关村发展控制的公司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北京中关村微纳能源投资有限公司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北京中关村集成电路设计园发展有限责任公司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中关村医疗器械园有限公司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北京中关村信息谷资产管理有限责任公司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北京中关村生命科学园发展有限责任公司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bl>
    <w:p>
      <w:pPr>
        <w:widowControl w:val="0"/>
        <w:spacing w:line="1" w:lineRule="exact"/>
      </w:pPr>
      <w:r>
        <w:br w:type="page"/>
      </w:r>
    </w:p>
    <w:tbl>
      <w:tblPr>
        <w:tblOverlap w:val="never"/>
        <w:jc w:val="center"/>
        <w:tblLayout w:type="fixed"/>
      </w:tblPr>
      <w:tblGrid>
        <w:gridCol w:w="4790"/>
        <w:gridCol w:w="4795"/>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北京中关村延庆园建设发展有限公司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北京中关村前沿技术产业发展有限公司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北京中关村京西建设发展有限公司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北京中关村软件园发展有限责任公司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北京中关村国际环保产业促进中心有限公司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北京中关村生命科学园生物医药科技孵化有限公司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北京中关村生物医药产业投资发展有限公司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北京怀柔科学城建设发展有限公司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中关村发展的控股公司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控股股东董事长胡国斌出任董事的公司</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万和证券股份有限公司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控股股东的控股子公司</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其他关联方（各公司名称如下）</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具体如下</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深圳排放权交易所有限公司</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控股股东董事陈志升（已离任）担任董事长的公司</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控股股东董事陈志升（已离任）出任董事的企业</w:t>
            </w:r>
          </w:p>
        </w:tc>
      </w:tr>
    </w:tbl>
    <w:p>
      <w:pPr>
        <w:widowControl w:val="0"/>
        <w:spacing w:after="11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5</w:t>
      </w:r>
      <w:bookmarkEnd w:id="1502"/>
      <w:r>
        <w:rPr>
          <w:color w:val="000000"/>
          <w:spacing w:val="0"/>
          <w:w w:val="100"/>
          <w:position w:val="0"/>
        </w:rPr>
        <w:t>、关联交易情况</w:t>
      </w:r>
      <w:bookmarkEnd w:id="1500"/>
      <w:bookmarkEnd w:id="1501"/>
      <w:bookmarkEnd w:id="1503"/>
    </w:p>
    <w:p>
      <w:pPr>
        <w:pStyle w:val="Style34"/>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500"/>
      <w:bookmarkEnd w:id="1501"/>
      <w:bookmarkEnd w:id="1504"/>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25"/>
        <w:gridCol w:w="1560"/>
        <w:gridCol w:w="1133"/>
        <w:gridCol w:w="1421"/>
        <w:gridCol w:w="1560"/>
        <w:gridCol w:w="138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312,502.30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212,715.61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万和证券股份有限公司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深圳排放权交易所有限公司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5"/>
        <w:gridCol w:w="1704"/>
        <w:gridCol w:w="1982"/>
        <w:gridCol w:w="1814"/>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1,787,605.39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前海科创投控股有限公司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1,169,386.79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北京中关村信息谷资产管理有限责任公司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754,716.98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179,245.28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中关村医疗器械园有限公司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641,509.43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1,066,037.74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北京中关村微纳能源投资有限公司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611,608.49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2,972,452.83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430,582.77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422,937.08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北京中关村生命科学园发展有限责任公司</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提供服务等</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349,093.42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1,681,572.08</w:t>
            </w:r>
          </w:p>
        </w:tc>
      </w:tr>
    </w:tbl>
    <w:p>
      <w:pPr>
        <w:widowControl w:val="0"/>
        <w:spacing w:line="1" w:lineRule="exact"/>
      </w:pPr>
      <w:r>
        <w:br w:type="page"/>
      </w:r>
    </w:p>
    <w:tbl>
      <w:tblPr>
        <w:tblOverlap w:val="never"/>
        <w:jc w:val="center"/>
        <w:tblLayout w:type="fixed"/>
      </w:tblPr>
      <w:tblGrid>
        <w:gridCol w:w="4085"/>
        <w:gridCol w:w="1704"/>
        <w:gridCol w:w="1982"/>
        <w:gridCol w:w="1814"/>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北京中关村延庆园建设发展有限公司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349,056.60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114,101.04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深圳市创新投资集团有限公司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67,924.53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134,386.79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深圳排放权交易所有限公司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47,169.81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北京中关村京西建设发展有限公司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-171,698.11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396,226.42</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北京怀柔科学城建设发展有限公司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1,126,415.09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北京中关村集成电路设计园发展有限责任公司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981,132.08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北京中关村前沿技术产业发展有限公司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876,327.36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北京中关村生物医药产业投资发展有限公司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281,698.11</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北京中关村生命科学园生物医药科技孵化有限公司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91,132.08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万和证券股份有限公司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提供服务等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8,526.50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6,151,057.14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10,218,089.44</w:t>
            </w:r>
          </w:p>
        </w:tc>
      </w:tr>
    </w:tbl>
    <w:p>
      <w:pPr>
        <w:pStyle w:val="Style21"/>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购销商品、提供和接受劳务的关联交易说明 无。</w:t>
      </w:r>
    </w:p>
    <w:p>
      <w:pPr>
        <w:pStyle w:val="Style34"/>
        <w:keepNext/>
        <w:keepLines/>
        <w:widowControl w:val="0"/>
        <w:shd w:val="clear" w:color="auto" w:fill="auto"/>
        <w:bidi w:val="0"/>
        <w:spacing w:before="0" w:after="240" w:line="240" w:lineRule="auto"/>
        <w:ind w:left="0" w:right="0" w:firstLine="0"/>
        <w:jc w:val="left"/>
      </w:pPr>
      <w:bookmarkStart w:id="1505" w:name="bookmark1505"/>
      <w:bookmarkStart w:id="1506" w:name="bookmark1506"/>
      <w:bookmarkStart w:id="1507" w:name="bookmark15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505"/>
      <w:bookmarkEnd w:id="1506"/>
      <w:bookmarkEnd w:id="1507"/>
    </w:p>
    <w:p>
      <w:pPr>
        <w:pStyle w:val="Style21"/>
        <w:keepNext w:val="0"/>
        <w:keepLines w:val="0"/>
        <w:widowControl w:val="0"/>
        <w:shd w:val="clear" w:color="auto" w:fill="auto"/>
        <w:bidi w:val="0"/>
        <w:spacing w:before="0" w:after="0" w:line="350" w:lineRule="exact"/>
        <w:ind w:left="0" w:right="0" w:firstLine="0"/>
        <w:jc w:val="left"/>
      </w:pPr>
      <w:r>
        <w:rPr>
          <w:color w:val="000000"/>
          <w:spacing w:val="0"/>
          <w:w w:val="100"/>
          <w:position w:val="0"/>
        </w:rPr>
        <w:t>本公司作为出租方： 无。</w:t>
      </w:r>
    </w:p>
    <w:p>
      <w:pPr>
        <w:pStyle w:val="Style21"/>
        <w:keepNext w:val="0"/>
        <w:keepLines w:val="0"/>
        <w:widowControl w:val="0"/>
        <w:shd w:val="clear" w:color="auto" w:fill="auto"/>
        <w:bidi w:val="0"/>
        <w:spacing w:before="0" w:after="100" w:line="350" w:lineRule="exact"/>
        <w:ind w:left="0" w:right="0" w:firstLine="0"/>
        <w:jc w:val="left"/>
      </w:pPr>
      <w:r>
        <w:rPr>
          <w:color w:val="000000"/>
          <w:spacing w:val="0"/>
          <w:w w:val="100"/>
          <w:position w:val="0"/>
        </w:rPr>
        <w:t>本公司作为承租方：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8"/>
        <w:gridCol w:w="1982"/>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4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租赁场地</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2,969,967.08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3,002,300.72</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2,969,967.08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3,002,300.72</w:t>
            </w:r>
          </w:p>
        </w:tc>
      </w:tr>
    </w:tbl>
    <w:p>
      <w:pPr>
        <w:pStyle w:val="Style2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关联租赁情况说明 无。</w:t>
      </w:r>
    </w:p>
    <w:p>
      <w:pPr>
        <w:pStyle w:val="Style34"/>
        <w:keepNext/>
        <w:keepLines/>
        <w:widowControl w:val="0"/>
        <w:numPr>
          <w:ilvl w:val="0"/>
          <w:numId w:val="73"/>
        </w:numPr>
        <w:shd w:val="clear" w:color="auto" w:fill="auto"/>
        <w:bidi w:val="0"/>
        <w:spacing w:before="0" w:after="380" w:line="240" w:lineRule="auto"/>
        <w:ind w:left="0" w:right="0" w:firstLine="14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关键管理人员报酬</w:t>
      </w:r>
      <w:bookmarkEnd w:id="1508"/>
      <w:bookmarkEnd w:id="1509"/>
      <w:bookmarkEnd w:id="151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5,977,100.00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6,130,800.00</w:t>
            </w:r>
          </w:p>
        </w:tc>
      </w:tr>
    </w:tbl>
    <w:p>
      <w:pPr>
        <w:widowControl w:val="0"/>
        <w:spacing w:after="319" w:line="1" w:lineRule="exact"/>
      </w:pPr>
    </w:p>
    <w:p>
      <w:pPr>
        <w:pStyle w:val="Style34"/>
        <w:keepNext/>
        <w:keepLines/>
        <w:widowControl w:val="0"/>
        <w:numPr>
          <w:ilvl w:val="0"/>
          <w:numId w:val="73"/>
        </w:numPr>
        <w:shd w:val="clear" w:color="auto" w:fill="auto"/>
        <w:bidi w:val="0"/>
        <w:spacing w:before="0" w:after="380" w:line="240" w:lineRule="auto"/>
        <w:ind w:left="0" w:right="0" w:firstLine="14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其他关联交易</w:t>
      </w:r>
      <w:bookmarkEnd w:id="1512"/>
      <w:bookmarkEnd w:id="1513"/>
      <w:bookmarkEnd w:id="1515"/>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年度已计提未发放的关键管理人员绩效奖金为人民币</w:t>
      </w:r>
      <w:r>
        <w:rPr>
          <w:rFonts w:ascii="Times New Roman" w:eastAsia="Times New Roman" w:hAnsi="Times New Roman" w:cs="Times New Roman"/>
          <w:color w:val="000000"/>
          <w:spacing w:val="0"/>
          <w:w w:val="100"/>
          <w:position w:val="0"/>
          <w:sz w:val="18"/>
          <w:szCs w:val="18"/>
        </w:rPr>
        <w:t>180.3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万元，该部分奖金已包含于关键管理人员报酬中。</w:t>
      </w:r>
    </w:p>
    <w:p>
      <w:pPr>
        <w:pStyle w:val="Style21"/>
        <w:keepNext w:val="0"/>
        <w:keepLines w:val="0"/>
        <w:widowControl w:val="0"/>
        <w:numPr>
          <w:ilvl w:val="0"/>
          <w:numId w:val="75"/>
        </w:numPr>
        <w:shd w:val="clear" w:color="auto" w:fill="auto"/>
        <w:tabs>
          <w:tab w:pos="349" w:val="left"/>
        </w:tabs>
        <w:bidi w:val="0"/>
        <w:spacing w:before="0" w:after="100" w:line="240" w:lineRule="auto"/>
        <w:ind w:left="0" w:right="0" w:firstLine="0"/>
        <w:jc w:val="left"/>
      </w:pPr>
      <w:bookmarkStart w:id="1516" w:name="bookmark1516"/>
      <w:bookmarkEnd w:id="1516"/>
      <w:r>
        <w:rPr>
          <w:color w:val="000000"/>
          <w:spacing w:val="0"/>
          <w:w w:val="100"/>
          <w:position w:val="0"/>
        </w:rPr>
        <w:t>本期无关联担保。</w:t>
      </w:r>
    </w:p>
    <w:p>
      <w:pPr>
        <w:pStyle w:val="Style21"/>
        <w:keepNext w:val="0"/>
        <w:keepLines w:val="0"/>
        <w:widowControl w:val="0"/>
        <w:numPr>
          <w:ilvl w:val="0"/>
          <w:numId w:val="75"/>
        </w:numPr>
        <w:shd w:val="clear" w:color="auto" w:fill="auto"/>
        <w:tabs>
          <w:tab w:pos="368" w:val="left"/>
        </w:tabs>
        <w:bidi w:val="0"/>
        <w:spacing w:before="0" w:after="280" w:line="240" w:lineRule="auto"/>
        <w:ind w:left="0" w:right="0" w:firstLine="0"/>
        <w:jc w:val="left"/>
        <w:sectPr>
          <w:headerReference w:type="default" r:id="rId295"/>
          <w:footerReference w:type="default" r:id="rId296"/>
          <w:headerReference w:type="even" r:id="rId297"/>
          <w:footerReference w:type="even" r:id="rId298"/>
          <w:headerReference w:type="first" r:id="rId299"/>
          <w:footerReference w:type="first" r:id="rId300"/>
          <w:footnotePr>
            <w:pos w:val="pageBottom"/>
            <w:numFmt w:val="decimal"/>
            <w:numRestart w:val="continuous"/>
          </w:footnotePr>
          <w:pgSz w:w="11900" w:h="16840"/>
          <w:pgMar w:top="1534" w:right="980" w:bottom="1367" w:left="1003" w:header="0" w:footer="3" w:gutter="0"/>
          <w:cols w:space="720"/>
          <w:noEndnote/>
          <w:titlePg/>
          <w:rtlGutter w:val="0"/>
          <w:docGrid w:linePitch="360"/>
        </w:sectPr>
      </w:pPr>
      <w:bookmarkStart w:id="1517" w:name="bookmark1517"/>
      <w:bookmarkEnd w:id="1517"/>
      <w:r>
        <w:rPr>
          <w:color w:val="000000"/>
          <w:spacing w:val="0"/>
          <w:w w:val="100"/>
          <w:position w:val="0"/>
        </w:rPr>
        <w:t>本期无关联方资金拆借。</w:t>
      </w:r>
    </w:p>
    <w:p>
      <w:pPr>
        <w:pStyle w:val="Style21"/>
        <w:keepNext w:val="0"/>
        <w:keepLines w:val="0"/>
        <w:widowControl w:val="0"/>
        <w:numPr>
          <w:ilvl w:val="0"/>
          <w:numId w:val="75"/>
        </w:numPr>
        <w:shd w:val="clear" w:color="auto" w:fill="auto"/>
        <w:bidi w:val="0"/>
        <w:spacing w:before="0" w:after="360" w:line="240" w:lineRule="auto"/>
        <w:ind w:left="0" w:right="0" w:firstLine="0"/>
        <w:jc w:val="left"/>
      </w:pPr>
      <w:bookmarkStart w:id="1518" w:name="bookmark1518"/>
      <w:bookmarkEnd w:id="1518"/>
      <w:r>
        <w:rPr>
          <w:color w:val="000000"/>
          <w:spacing w:val="0"/>
          <w:w w:val="100"/>
          <w:position w:val="0"/>
        </w:rPr>
        <w:t>本期无关联方资产转让、债务重组的情况。</w:t>
      </w:r>
    </w:p>
    <w:p>
      <w:pPr>
        <w:pStyle w:val="Style34"/>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color w:val="000000"/>
          <w:spacing w:val="0"/>
          <w:w w:val="100"/>
          <w:position w:val="0"/>
        </w:rPr>
        <w:t>、关联方应收应付款项</w:t>
      </w:r>
      <w:bookmarkEnd w:id="1519"/>
      <w:bookmarkEnd w:id="1520"/>
      <w:bookmarkEnd w:id="1522"/>
    </w:p>
    <w:p>
      <w:pPr>
        <w:pStyle w:val="Style34"/>
        <w:keepNext/>
        <w:keepLines/>
        <w:widowControl w:val="0"/>
        <w:shd w:val="clear" w:color="auto" w:fill="auto"/>
        <w:bidi w:val="0"/>
        <w:spacing w:before="0" w:line="240" w:lineRule="auto"/>
        <w:ind w:left="0" w:right="0" w:firstLine="0"/>
        <w:jc w:val="left"/>
      </w:pPr>
      <w:bookmarkStart w:id="1519" w:name="bookmark1519"/>
      <w:bookmarkStart w:id="1520" w:name="bookmark1520"/>
      <w:bookmarkStart w:id="1523" w:name="bookmark1523"/>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519"/>
      <w:bookmarkEnd w:id="1520"/>
      <w:bookmarkEnd w:id="152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3826"/>
        <w:gridCol w:w="1138"/>
        <w:gridCol w:w="989"/>
        <w:gridCol w:w="1138"/>
        <w:gridCol w:w="1104"/>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20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52,837.00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深圳市投资控股有限公司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5,959,484.00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715,001.31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8,501,038.20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1,083,282.88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万和证券股份有限公司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北京中关村前沿技术产业发展有限公司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786,368.40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77,821.84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48,983.60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北京中关村信息谷资产管理有限责任公司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24,382.23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中关村医疗器械园有限公司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21,944.00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北京中关村微纳能源投资有限公司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10,972.00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1,952,800.00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北京中关村软件园发展有限责任公司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120,947.10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北京怀柔科学城建设发展有限公司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北京中关村国际环保产业促进中心有限公司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31,328.70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北京中关村生命科学园发展有限责任公司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62,073.00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9,324.49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107,069.40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6,960.62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北京中关村集成电路设计园发展有限责任公司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北京中关村京西建设发展有限公司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8,085,709.50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910,271.35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12,711,907.60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1,362,327.10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中关村发展集团股份有限公司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815,009.88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192,929.94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815,009.88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81,500.99</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815,009.88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192,929.94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815,009.88</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81,500.99</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524"/>
      <w:bookmarkEnd w:id="1525"/>
      <w:bookmarkEnd w:id="15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238,679.25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114,856.20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万和证券股份有限公司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388,679.25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264,856.20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12,775.00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深圳排放权交易所有限公司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13,175.00</w:t>
            </w:r>
          </w:p>
        </w:tc>
      </w:tr>
    </w:tbl>
    <w:p>
      <w:pPr>
        <w:widowControl w:val="0"/>
        <w:spacing w:line="1" w:lineRule="exact"/>
      </w:pPr>
    </w:p>
    <w:tbl>
      <w:tblPr>
        <w:tblOverlap w:val="never"/>
        <w:jc w:val="center"/>
        <w:tblLayout w:type="fixed"/>
      </w:tblPr>
      <w:tblGrid>
        <w:gridCol w:w="2400"/>
        <w:gridCol w:w="2390"/>
        <w:gridCol w:w="2395"/>
        <w:gridCol w:w="2400"/>
      </w:tblGrid>
      <w:tr>
        <w:trPr>
          <w:trHeight w:val="4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前海科创投控股有限公司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1,472,450.00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1,472,450.00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雄安绿研智库有限公司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197,200.00</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102,200.00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197,200.00</w:t>
            </w:r>
          </w:p>
        </w:tc>
      </w:tr>
    </w:tbl>
    <w:p>
      <w:pPr>
        <w:widowControl w:val="0"/>
        <w:spacing w:after="359" w:line="1" w:lineRule="exact"/>
      </w:pPr>
    </w:p>
    <w:p>
      <w:pPr>
        <w:pStyle w:val="Style34"/>
        <w:keepNext/>
        <w:keepLines/>
        <w:widowControl w:val="0"/>
        <w:shd w:val="clear" w:color="auto" w:fill="auto"/>
        <w:bidi w:val="0"/>
        <w:spacing w:before="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7</w:t>
      </w:r>
      <w:bookmarkEnd w:id="1529"/>
      <w:r>
        <w:rPr>
          <w:color w:val="000000"/>
          <w:spacing w:val="0"/>
          <w:w w:val="100"/>
          <w:position w:val="0"/>
        </w:rPr>
        <w:t>、其他</w:t>
      </w:r>
      <w:bookmarkEnd w:id="1527"/>
      <w:bookmarkEnd w:id="1528"/>
      <w:bookmarkEnd w:id="1530"/>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本期无关联方资金拆借。</w:t>
      </w:r>
    </w:p>
    <w:p>
      <w:pPr>
        <w:pStyle w:val="Style2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本期无关联方资产转让、债务重组的情况。</w:t>
      </w:r>
    </w:p>
    <w:p>
      <w:pPr>
        <w:pStyle w:val="Style30"/>
        <w:keepNext/>
        <w:keepLines/>
        <w:widowControl w:val="0"/>
        <w:shd w:val="clear" w:color="auto" w:fill="auto"/>
        <w:bidi w:val="0"/>
        <w:spacing w:before="0" w:line="240" w:lineRule="auto"/>
        <w:ind w:left="0" w:right="0" w:firstLine="0"/>
        <w:jc w:val="left"/>
      </w:pPr>
      <w:bookmarkStart w:id="1531" w:name="bookmark1531"/>
      <w:bookmarkStart w:id="1532" w:name="bookmark1532"/>
      <w:bookmarkStart w:id="1533" w:name="bookmark1533"/>
      <w:r>
        <w:rPr>
          <w:color w:val="000000"/>
          <w:spacing w:val="0"/>
          <w:w w:val="100"/>
          <w:position w:val="0"/>
        </w:rPr>
        <w:t>十三、股份支付</w:t>
      </w:r>
      <w:bookmarkEnd w:id="1531"/>
      <w:bookmarkEnd w:id="1532"/>
      <w:bookmarkEnd w:id="1533"/>
    </w:p>
    <w:p>
      <w:pPr>
        <w:pStyle w:val="Style34"/>
        <w:keepNext/>
        <w:keepLines/>
        <w:widowControl w:val="0"/>
        <w:shd w:val="clear" w:color="auto" w:fill="auto"/>
        <w:tabs>
          <w:tab w:pos="368" w:val="left"/>
        </w:tabs>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bookmarkEnd w:id="1536"/>
      <w:r>
        <w:rPr>
          <w:color w:val="000000"/>
          <w:spacing w:val="0"/>
          <w:w w:val="100"/>
          <w:position w:val="0"/>
        </w:rPr>
        <w:t>、</w:t>
        <w:tab/>
        <w:t>股份支付总体情况</w:t>
      </w:r>
      <w:bookmarkEnd w:id="1534"/>
      <w:bookmarkEnd w:id="1535"/>
      <w:bookmarkEnd w:id="1537"/>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2</w:t>
      </w:r>
      <w:bookmarkEnd w:id="1540"/>
      <w:r>
        <w:rPr>
          <w:color w:val="000000"/>
          <w:spacing w:val="0"/>
          <w:w w:val="100"/>
          <w:position w:val="0"/>
        </w:rPr>
        <w:t>、</w:t>
        <w:tab/>
        <w:t>以权益结算的股份支付情况</w:t>
      </w:r>
      <w:bookmarkEnd w:id="1538"/>
      <w:bookmarkEnd w:id="1539"/>
      <w:bookmarkEnd w:id="1541"/>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3</w:t>
      </w:r>
      <w:bookmarkEnd w:id="1544"/>
      <w:r>
        <w:rPr>
          <w:color w:val="000000"/>
          <w:spacing w:val="0"/>
          <w:w w:val="100"/>
          <w:position w:val="0"/>
        </w:rPr>
        <w:t>、</w:t>
        <w:tab/>
        <w:t>以现金结算的股份支付情况</w:t>
      </w:r>
      <w:bookmarkEnd w:id="1542"/>
      <w:bookmarkEnd w:id="1543"/>
      <w:bookmarkEnd w:id="1545"/>
    </w:p>
    <w:p>
      <w:pPr>
        <w:pStyle w:val="Style2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r>
        <w:rPr>
          <w:color w:val="000000"/>
          <w:spacing w:val="0"/>
          <w:w w:val="100"/>
          <w:position w:val="0"/>
        </w:rPr>
        <w:t>十四、承诺及或有事项</w:t>
      </w:r>
      <w:bookmarkEnd w:id="1546"/>
      <w:bookmarkEnd w:id="1547"/>
      <w:bookmarkEnd w:id="1548"/>
    </w:p>
    <w:p>
      <w:pPr>
        <w:pStyle w:val="Style34"/>
        <w:keepNext/>
        <w:keepLines/>
        <w:widowControl w:val="0"/>
        <w:shd w:val="clear" w:color="auto" w:fill="auto"/>
        <w:bidi w:val="0"/>
        <w:spacing w:before="0" w:line="240" w:lineRule="auto"/>
        <w:ind w:left="0" w:right="0" w:firstLine="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549"/>
      <w:bookmarkEnd w:id="1550"/>
      <w:bookmarkEnd w:id="1551"/>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资产负债表日存在的重要承诺</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）资本承担</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96"/>
        <w:gridCol w:w="2088"/>
        <w:gridCol w:w="2093"/>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5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tc>
      </w:tr>
      <w:tr>
        <w:trPr>
          <w:trHeight w:val="437"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未来大厦已签订的正在履行合同</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87,913,553.67</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158,135,177.08</w:t>
            </w:r>
          </w:p>
        </w:tc>
      </w:tr>
    </w:tbl>
    <w:p>
      <w:pPr>
        <w:widowControl w:val="0"/>
        <w:spacing w:after="439" w:line="1" w:lineRule="exact"/>
      </w:pP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）经营租赁承担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根据不可撤销的有关房屋、车辆经营租赁协议，本集团于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日以后应支付的最低租赁付款额如下:</w:t>
      </w: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5496"/>
        <w:gridCol w:w="2088"/>
        <w:gridCol w:w="2093"/>
      </w:tblGrid>
      <w:tr>
        <w:trPr>
          <w:trHeight w:val="43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56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21,335,612.34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23,582,344.55</w:t>
            </w:r>
          </w:p>
        </w:tc>
      </w:tr>
      <w:tr>
        <w:trPr>
          <w:trHeight w:val="4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17,870,720.39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19,824,099.88</w:t>
            </w:r>
          </w:p>
        </w:tc>
      </w:tr>
    </w:tbl>
    <w:p>
      <w:pPr>
        <w:widowControl w:val="0"/>
        <w:spacing w:line="1" w:lineRule="exact"/>
      </w:pPr>
    </w:p>
    <w:tbl>
      <w:tblPr>
        <w:tblOverlap w:val="never"/>
        <w:jc w:val="center"/>
        <w:tblLayout w:type="fixed"/>
      </w:tblPr>
      <w:tblGrid>
        <w:gridCol w:w="5496"/>
        <w:gridCol w:w="2088"/>
        <w:gridCol w:w="2093"/>
      </w:tblGrid>
      <w:tr>
        <w:trPr>
          <w:trHeight w:val="451"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2,189,189.96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17,192,861.25</w:t>
            </w:r>
          </w:p>
        </w:tc>
      </w:tr>
      <w:tr>
        <w:trPr>
          <w:trHeight w:val="427"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1,898,037.61</w:t>
            </w:r>
          </w:p>
        </w:tc>
      </w:tr>
      <w:tr>
        <w:trPr>
          <w:trHeight w:val="437"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41,395,522.69</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62,497,343.29</w:t>
            </w:r>
          </w:p>
        </w:tc>
      </w:tr>
    </w:tbl>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552"/>
      <w:bookmarkEnd w:id="1553"/>
      <w:bookmarkEnd w:id="1554"/>
    </w:p>
    <w:p>
      <w:pPr>
        <w:pStyle w:val="Style34"/>
        <w:keepNext/>
        <w:keepLines/>
        <w:widowControl w:val="0"/>
        <w:shd w:val="clear" w:color="auto" w:fill="auto"/>
        <w:tabs>
          <w:tab w:pos="493" w:val="left"/>
        </w:tabs>
        <w:bidi w:val="0"/>
        <w:spacing w:before="0" w:after="380" w:line="240" w:lineRule="auto"/>
        <w:ind w:left="0" w:right="0" w:firstLine="0"/>
        <w:jc w:val="left"/>
      </w:pPr>
      <w:bookmarkStart w:id="1552" w:name="bookmark1552"/>
      <w:bookmarkStart w:id="1553" w:name="bookmark1553"/>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552"/>
      <w:bookmarkEnd w:id="1553"/>
      <w:bookmarkEnd w:id="1556"/>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本集团本年无需要披露的或有事项。</w:t>
      </w:r>
    </w:p>
    <w:p>
      <w:pPr>
        <w:pStyle w:val="Style34"/>
        <w:keepNext/>
        <w:keepLines/>
        <w:widowControl w:val="0"/>
        <w:shd w:val="clear" w:color="auto" w:fill="auto"/>
        <w:tabs>
          <w:tab w:pos="493" w:val="left"/>
        </w:tabs>
        <w:bidi w:val="0"/>
        <w:spacing w:before="0" w:after="38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557"/>
      <w:bookmarkEnd w:id="1558"/>
      <w:bookmarkEnd w:id="1560"/>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r>
        <w:rPr>
          <w:color w:val="000000"/>
          <w:spacing w:val="0"/>
          <w:w w:val="100"/>
          <w:position w:val="0"/>
        </w:rPr>
        <w:t>十五、资产负债表日后事项</w:t>
      </w:r>
      <w:bookmarkEnd w:id="1561"/>
      <w:bookmarkEnd w:id="1562"/>
      <w:bookmarkEnd w:id="1563"/>
    </w:p>
    <w:p>
      <w:pPr>
        <w:pStyle w:val="Style34"/>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564"/>
      <w:bookmarkEnd w:id="1565"/>
      <w:bookmarkEnd w:id="1566"/>
    </w:p>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13,200,003.00</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567"/>
      <w:bookmarkEnd w:id="1568"/>
      <w:bookmarkEnd w:id="1569"/>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于资产负债表日后提议分配的普通股股利：</w:t>
      </w:r>
    </w:p>
    <w:p>
      <w:pPr>
        <w:pStyle w:val="Style2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日第三届董事会第一次定期会议审议情况，</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年年度利润分配预案为：公司拟以截至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146,666,700</w:t>
      </w:r>
      <w:r>
        <w:rPr>
          <w:color w:val="000000"/>
          <w:spacing w:val="0"/>
          <w:w w:val="100"/>
          <w:position w:val="0"/>
        </w:rPr>
        <w:t>股为基数，向全体股东进行现金分红，每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 xml:space="preserve">元（含税），共计分配现金 </w:t>
      </w:r>
      <w:r>
        <w:rPr>
          <w:rFonts w:ascii="Times New Roman" w:eastAsia="Times New Roman" w:hAnsi="Times New Roman" w:cs="Times New Roman"/>
          <w:color w:val="000000"/>
          <w:spacing w:val="0"/>
          <w:w w:val="100"/>
          <w:position w:val="0"/>
          <w:sz w:val="18"/>
          <w:szCs w:val="18"/>
        </w:rPr>
        <w:t>13,200,003.00</w:t>
      </w:r>
      <w:r>
        <w:rPr>
          <w:color w:val="000000"/>
          <w:spacing w:val="0"/>
          <w:w w:val="100"/>
          <w:position w:val="0"/>
        </w:rPr>
        <w:t>元（含税），不进行资本公积转增股本，不送红股。剩余未分配利润滚存至下一年度，用于支持公司经营发 展。该方案须提交</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年度股东大会审议。</w:t>
      </w:r>
    </w:p>
    <w:p>
      <w:pPr>
        <w:pStyle w:val="Style30"/>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r>
        <w:rPr>
          <w:color w:val="000000"/>
          <w:spacing w:val="0"/>
          <w:w w:val="100"/>
          <w:position w:val="0"/>
        </w:rPr>
        <w:t>十六、母公司财务报表主要项目注释</w:t>
      </w:r>
      <w:bookmarkEnd w:id="1570"/>
      <w:bookmarkEnd w:id="1571"/>
      <w:bookmarkEnd w:id="1572"/>
    </w:p>
    <w:p>
      <w:pPr>
        <w:pStyle w:val="Style34"/>
        <w:keepNext/>
        <w:keepLines/>
        <w:widowControl w:val="0"/>
        <w:shd w:val="clear" w:color="auto" w:fill="auto"/>
        <w:bidi w:val="0"/>
        <w:spacing w:before="0" w:after="38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73"/>
      <w:bookmarkEnd w:id="1574"/>
      <w:bookmarkEnd w:id="1575"/>
    </w:p>
    <w:p>
      <w:pPr>
        <w:pStyle w:val="Style34"/>
        <w:keepNext/>
        <w:keepLines/>
        <w:widowControl w:val="0"/>
        <w:shd w:val="clear" w:color="auto" w:fill="auto"/>
        <w:bidi w:val="0"/>
        <w:spacing w:before="0" w:after="300" w:line="240" w:lineRule="auto"/>
        <w:ind w:left="0" w:right="0" w:firstLine="0"/>
        <w:jc w:val="left"/>
      </w:pPr>
      <w:bookmarkStart w:id="1573" w:name="bookmark1573"/>
      <w:bookmarkStart w:id="1574" w:name="bookmark1574"/>
      <w:bookmarkStart w:id="1576" w:name="bookmark1576"/>
      <w:r>
        <w:rPr>
          <w:rFonts w:ascii="Times New Roman" w:eastAsia="Times New Roman" w:hAnsi="Times New Roman" w:cs="Times New Roman"/>
          <w:color w:val="000000"/>
          <w:spacing w:val="0"/>
          <w:w w:val="100"/>
          <w:position w:val="0"/>
        </w:rPr>
        <w:t>（1）</w:t>
      </w:r>
      <w:r>
        <w:rPr>
          <w:color w:val="000000"/>
          <w:spacing w:val="0"/>
          <w:w w:val="100"/>
          <w:position w:val="0"/>
        </w:rPr>
        <w:t>应收账款按客户类别分析如下：</w:t>
      </w:r>
      <w:bookmarkEnd w:id="1573"/>
      <w:bookmarkEnd w:id="1574"/>
      <w:bookmarkEnd w:id="1576"/>
    </w:p>
    <w:tbl>
      <w:tblPr>
        <w:tblOverlap w:val="never"/>
        <w:jc w:val="center"/>
        <w:tblLayout w:type="fixed"/>
      </w:tblPr>
      <w:tblGrid>
        <w:gridCol w:w="3840"/>
        <w:gridCol w:w="1949"/>
        <w:gridCol w:w="1949"/>
        <w:gridCol w:w="1982"/>
      </w:tblGrid>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客户类别</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w:t>
            </w:r>
            <w:r>
              <w:rPr>
                <w:color w:val="000000"/>
                <w:spacing w:val="0"/>
                <w:w w:val="100"/>
                <w:position w:val="0"/>
              </w:rPr>
              <w:t>月</w:t>
            </w:r>
            <w:r>
              <w:rPr>
                <w:color w:val="000000"/>
                <w:spacing w:val="0"/>
                <w:w w:val="100"/>
                <w:position w:val="0"/>
                <w:sz w:val="16"/>
                <w:szCs w:val="16"/>
              </w:rPr>
              <w:t>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应收第三方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273,701,463.55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233, 796, </w:t>
            </w:r>
            <w:r>
              <w:rPr>
                <w:color w:val="000000"/>
                <w:spacing w:val="0"/>
                <w:w w:val="100"/>
                <w:position w:val="0"/>
                <w:sz w:val="16"/>
                <w:szCs w:val="16"/>
              </w:rPr>
              <w:t xml:space="preserve">082.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281,953, </w:t>
            </w:r>
            <w:r>
              <w:rPr>
                <w:color w:val="000000"/>
                <w:spacing w:val="0"/>
                <w:w w:val="100"/>
                <w:position w:val="0"/>
                <w:sz w:val="16"/>
                <w:szCs w:val="16"/>
              </w:rPr>
              <w:t xml:space="preserve">095. </w:t>
            </w:r>
            <w:r>
              <w:rPr>
                <w:color w:val="000000"/>
                <w:spacing w:val="0"/>
                <w:w w:val="100"/>
                <w:position w:val="0"/>
                <w:sz w:val="16"/>
                <w:szCs w:val="16"/>
              </w:rPr>
              <w:t>08</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应收关联方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114, 887, </w:t>
            </w:r>
            <w:r>
              <w:rPr>
                <w:color w:val="000000"/>
                <w:spacing w:val="0"/>
                <w:w w:val="100"/>
                <w:position w:val="0"/>
                <w:sz w:val="16"/>
                <w:szCs w:val="16"/>
              </w:rPr>
              <w:t xml:space="preserve">997.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14,361,648.25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14,361,648.25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388, 589, </w:t>
            </w:r>
            <w:r>
              <w:rPr>
                <w:color w:val="000000"/>
                <w:spacing w:val="0"/>
                <w:w w:val="100"/>
                <w:position w:val="0"/>
                <w:sz w:val="16"/>
                <w:szCs w:val="16"/>
              </w:rPr>
              <w:t xml:space="preserve">460.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248, </w:t>
            </w:r>
            <w:r>
              <w:rPr>
                <w:color w:val="000000"/>
                <w:spacing w:val="0"/>
                <w:w w:val="100"/>
                <w:position w:val="0"/>
                <w:sz w:val="16"/>
                <w:szCs w:val="16"/>
              </w:rPr>
              <w:t xml:space="preserve">157,731.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296,314, </w:t>
            </w:r>
            <w:r>
              <w:rPr>
                <w:color w:val="000000"/>
                <w:spacing w:val="0"/>
                <w:w w:val="100"/>
                <w:position w:val="0"/>
                <w:sz w:val="16"/>
                <w:szCs w:val="16"/>
              </w:rPr>
              <w:t xml:space="preserve">743. </w:t>
            </w:r>
            <w:r>
              <w:rPr>
                <w:color w:val="000000"/>
                <w:spacing w:val="0"/>
                <w:w w:val="100"/>
                <w:position w:val="0"/>
                <w:sz w:val="16"/>
                <w:szCs w:val="16"/>
              </w:rPr>
              <w:t>33</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left"/>
              <w:rPr>
                <w:sz w:val="16"/>
                <w:szCs w:val="16"/>
              </w:rPr>
            </w:pPr>
            <w:r>
              <w:rPr>
                <w:color w:val="000000"/>
                <w:spacing w:val="0"/>
                <w:w w:val="100"/>
                <w:position w:val="0"/>
                <w:sz w:val="16"/>
                <w:szCs w:val="16"/>
              </w:rPr>
              <w:t>60,563,623.59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56, 908, </w:t>
            </w:r>
            <w:r>
              <w:rPr>
                <w:color w:val="000000"/>
                <w:spacing w:val="0"/>
                <w:w w:val="100"/>
                <w:position w:val="0"/>
                <w:sz w:val="16"/>
                <w:szCs w:val="16"/>
              </w:rPr>
              <w:t xml:space="preserve">700.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59,798, </w:t>
            </w:r>
            <w:r>
              <w:rPr>
                <w:color w:val="000000"/>
                <w:spacing w:val="0"/>
                <w:w w:val="100"/>
                <w:position w:val="0"/>
                <w:sz w:val="16"/>
                <w:szCs w:val="16"/>
              </w:rPr>
              <w:t xml:space="preserve">121. </w:t>
            </w:r>
            <w:r>
              <w:rPr>
                <w:color w:val="000000"/>
                <w:spacing w:val="0"/>
                <w:w w:val="100"/>
                <w:position w:val="0"/>
                <w:sz w:val="16"/>
                <w:szCs w:val="16"/>
              </w:rPr>
              <w:t>11</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328, 025, </w:t>
            </w:r>
            <w:r>
              <w:rPr>
                <w:color w:val="000000"/>
                <w:spacing w:val="0"/>
                <w:w w:val="100"/>
                <w:position w:val="0"/>
                <w:sz w:val="16"/>
                <w:szCs w:val="16"/>
              </w:rPr>
              <w:t xml:space="preserve">837. </w:t>
            </w:r>
            <w:r>
              <w:rPr>
                <w:color w:val="000000"/>
                <w:spacing w:val="0"/>
                <w:w w:val="100"/>
                <w:position w:val="0"/>
                <w:sz w:val="16"/>
                <w:szCs w:val="16"/>
              </w:rPr>
              <w:t>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191,249, </w:t>
            </w:r>
            <w:r>
              <w:rPr>
                <w:color w:val="000000"/>
                <w:spacing w:val="0"/>
                <w:w w:val="100"/>
                <w:position w:val="0"/>
                <w:sz w:val="16"/>
                <w:szCs w:val="16"/>
              </w:rPr>
              <w:t xml:space="preserve">030. </w:t>
            </w:r>
            <w:r>
              <w:rPr>
                <w:color w:val="000000"/>
                <w:spacing w:val="0"/>
                <w:w w:val="100"/>
                <w:position w:val="0"/>
                <w:sz w:val="16"/>
                <w:szCs w:val="16"/>
              </w:rPr>
              <w:t>81</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6"/>
                <w:szCs w:val="16"/>
              </w:rPr>
            </w:pPr>
            <w:r>
              <w:rPr>
                <w:color w:val="000000"/>
                <w:spacing w:val="0"/>
                <w:w w:val="100"/>
                <w:position w:val="0"/>
                <w:sz w:val="16"/>
                <w:szCs w:val="16"/>
              </w:rPr>
              <w:t xml:space="preserve">236,516, </w:t>
            </w:r>
            <w:r>
              <w:rPr>
                <w:color w:val="000000"/>
                <w:spacing w:val="0"/>
                <w:w w:val="100"/>
                <w:position w:val="0"/>
                <w:sz w:val="16"/>
                <w:szCs w:val="16"/>
              </w:rPr>
              <w:t xml:space="preserve">622. </w:t>
            </w:r>
            <w:r>
              <w:rPr>
                <w:color w:val="000000"/>
                <w:spacing w:val="0"/>
                <w:w w:val="100"/>
                <w:position w:val="0"/>
                <w:sz w:val="16"/>
                <w:szCs w:val="16"/>
              </w:rPr>
              <w:t>22</w:t>
            </w:r>
          </w:p>
        </w:tc>
      </w:tr>
    </w:tbl>
    <w:p>
      <w:pPr>
        <w:sectPr>
          <w:headerReference w:type="default" r:id="rId301"/>
          <w:footerReference w:type="default" r:id="rId302"/>
          <w:headerReference w:type="even" r:id="rId303"/>
          <w:footerReference w:type="even" r:id="rId304"/>
          <w:headerReference w:type="first" r:id="rId305"/>
          <w:footerReference w:type="first" r:id="rId306"/>
          <w:footnotePr>
            <w:pos w:val="pageBottom"/>
            <w:numFmt w:val="decimal"/>
            <w:numRestart w:val="continuous"/>
          </w:footnotePr>
          <w:pgSz w:w="11900" w:h="16840"/>
          <w:pgMar w:top="1534" w:right="980" w:bottom="1367" w:left="1003" w:header="0" w:footer="3" w:gutter="0"/>
          <w:cols w:space="720"/>
          <w:noEndnote/>
          <w:titlePg/>
          <w:rtlGutter w:val="0"/>
          <w:docGrid w:linePitch="360"/>
        </w:sectPr>
      </w:pPr>
    </w:p>
    <w:p>
      <w:pPr>
        <w:pStyle w:val="Style34"/>
        <w:keepNext/>
        <w:keepLines/>
        <w:widowControl w:val="0"/>
        <w:shd w:val="clear" w:color="auto" w:fill="auto"/>
        <w:bidi w:val="0"/>
        <w:spacing w:before="0" w:after="320" w:line="240" w:lineRule="auto"/>
        <w:ind w:left="0" w:right="0" w:firstLine="0"/>
        <w:jc w:val="left"/>
      </w:pP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(2)</w:t>
      </w:r>
      <w:r>
        <w:rPr>
          <w:color w:val="000000"/>
          <w:spacing w:val="0"/>
          <w:w w:val="100"/>
          <w:position w:val="0"/>
        </w:rPr>
        <w:t>应收账款按账龄分析如下:</w:t>
      </w:r>
      <w:bookmarkEnd w:id="1577"/>
      <w:bookmarkEnd w:id="1578"/>
      <w:bookmarkEnd w:id="1579"/>
    </w:p>
    <w:tbl>
      <w:tblPr>
        <w:tblOverlap w:val="never"/>
        <w:jc w:val="center"/>
        <w:tblLayout w:type="fixed"/>
      </w:tblPr>
      <w:tblGrid>
        <w:gridCol w:w="5261"/>
        <w:gridCol w:w="1987"/>
        <w:gridCol w:w="2016"/>
      </w:tblGrid>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年以内(含</w:t>
            </w:r>
            <w:r>
              <w:rPr>
                <w:color w:val="000000"/>
                <w:spacing w:val="0"/>
                <w:w w:val="100"/>
                <w:position w:val="0"/>
                <w:sz w:val="16"/>
                <w:szCs w:val="16"/>
              </w:rPr>
              <w:t>1</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261,043,755.76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181,489,768.43</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1</w:t>
            </w:r>
            <w:r>
              <w:rPr>
                <w:color w:val="000000"/>
                <w:spacing w:val="0"/>
                <w:w w:val="100"/>
                <w:position w:val="0"/>
              </w:rPr>
              <w:t>年至</w:t>
            </w:r>
            <w:r>
              <w:rPr>
                <w:color w:val="000000"/>
                <w:spacing w:val="0"/>
                <w:w w:val="100"/>
                <w:position w:val="0"/>
                <w:sz w:val="16"/>
                <w:szCs w:val="16"/>
              </w:rPr>
              <w:t>2</w:t>
            </w:r>
            <w:r>
              <w:rPr>
                <w:color w:val="000000"/>
                <w:spacing w:val="0"/>
                <w:w w:val="100"/>
                <w:position w:val="0"/>
              </w:rPr>
              <w:t>年(含</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39,766,293.51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45,832,031.01</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2</w:t>
            </w:r>
            <w:r>
              <w:rPr>
                <w:color w:val="000000"/>
                <w:spacing w:val="0"/>
                <w:w w:val="100"/>
                <w:position w:val="0"/>
              </w:rPr>
              <w:t>年至</w:t>
            </w:r>
            <w:r>
              <w:rPr>
                <w:color w:val="000000"/>
                <w:spacing w:val="0"/>
                <w:w w:val="100"/>
                <w:position w:val="0"/>
                <w:sz w:val="16"/>
                <w:szCs w:val="16"/>
              </w:rPr>
              <w:t>3</w:t>
            </w:r>
            <w:r>
              <w:rPr>
                <w:color w:val="000000"/>
                <w:spacing w:val="0"/>
                <w:w w:val="100"/>
                <w:position w:val="0"/>
              </w:rPr>
              <w:t>年(含</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30,385,039.20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16,705,047.99</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6"/>
                <w:szCs w:val="16"/>
              </w:rPr>
              <w:t>3</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57,394,372.38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52,287,895.90</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388, 589, </w:t>
            </w:r>
            <w:r>
              <w:rPr>
                <w:color w:val="000000"/>
                <w:spacing w:val="0"/>
                <w:w w:val="100"/>
                <w:position w:val="0"/>
                <w:sz w:val="16"/>
                <w:szCs w:val="16"/>
              </w:rPr>
              <w:t xml:space="preserve">460.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296,314,743.33</w:t>
            </w:r>
          </w:p>
        </w:tc>
      </w:tr>
      <w:tr>
        <w:trPr>
          <w:trHeight w:val="4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60,563,623.59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59,798,121.11</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328, </w:t>
            </w:r>
            <w:r>
              <w:rPr>
                <w:color w:val="000000"/>
                <w:spacing w:val="0"/>
                <w:w w:val="100"/>
                <w:position w:val="0"/>
                <w:sz w:val="16"/>
                <w:szCs w:val="16"/>
              </w:rPr>
              <w:t>025,837.26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236,516,622.22</w:t>
            </w:r>
          </w:p>
        </w:tc>
      </w:tr>
    </w:tbl>
    <w:p>
      <w:pPr>
        <w:widowControl w:val="0"/>
        <w:spacing w:after="99" w:line="1" w:lineRule="exact"/>
      </w:pPr>
    </w:p>
    <w:p>
      <w:pPr>
        <w:pStyle w:val="Style2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账龄自应收账款确认日起开始计算。</w:t>
      </w:r>
    </w:p>
    <w:p>
      <w:pPr>
        <w:pStyle w:val="Style34"/>
        <w:keepNext/>
        <w:keepLines/>
        <w:widowControl w:val="0"/>
        <w:numPr>
          <w:ilvl w:val="0"/>
          <w:numId w:val="77"/>
        </w:numPr>
        <w:shd w:val="clear" w:color="auto" w:fill="auto"/>
        <w:bidi w:val="0"/>
        <w:spacing w:before="0" w:after="320" w:line="240" w:lineRule="auto"/>
        <w:ind w:left="0" w:right="0" w:firstLine="0"/>
        <w:jc w:val="left"/>
      </w:pPr>
      <w:bookmarkStart w:id="1580" w:name="bookmark1580"/>
      <w:bookmarkStart w:id="1581" w:name="bookmark1581"/>
      <w:bookmarkStart w:id="1582" w:name="bookmark1582"/>
      <w:bookmarkStart w:id="1583" w:name="bookmark1583"/>
      <w:bookmarkEnd w:id="1582"/>
      <w:r>
        <w:rPr>
          <w:color w:val="000000"/>
          <w:spacing w:val="0"/>
          <w:w w:val="100"/>
          <w:position w:val="0"/>
        </w:rPr>
        <w:t>应收账款按坏账准备计提方法分类披露</w:t>
      </w:r>
      <w:bookmarkEnd w:id="1580"/>
      <w:bookmarkEnd w:id="1581"/>
      <w:bookmarkEnd w:id="1583"/>
    </w:p>
    <w:p>
      <w:pPr>
        <w:pStyle w:val="Style21"/>
        <w:keepNext w:val="0"/>
        <w:keepLines w:val="0"/>
        <w:widowControl w:val="0"/>
        <w:shd w:val="clear" w:color="auto" w:fill="auto"/>
        <w:bidi w:val="0"/>
        <w:spacing w:before="0" w:after="40" w:line="235" w:lineRule="exact"/>
        <w:ind w:left="0" w:right="0" w:firstLine="0"/>
        <w:jc w:val="left"/>
      </w:pPr>
      <w:r>
        <w:rPr>
          <w:color w:val="000000"/>
          <w:spacing w:val="0"/>
          <w:w w:val="100"/>
          <w:position w:val="0"/>
          <w:sz w:val="16"/>
          <w:szCs w:val="16"/>
        </w:rPr>
        <w:t xml:space="preserve">(a) </w:t>
      </w:r>
      <w:r>
        <w:rPr>
          <w:color w:val="000000"/>
          <w:spacing w:val="0"/>
          <w:w w:val="100"/>
          <w:position w:val="0"/>
        </w:rPr>
        <w:t>应收账款预期信用损失的评估：</w:t>
      </w:r>
    </w:p>
    <w:p>
      <w:pPr>
        <w:pStyle w:val="Style21"/>
        <w:keepNext w:val="0"/>
        <w:keepLines w:val="0"/>
        <w:widowControl w:val="0"/>
        <w:shd w:val="clear" w:color="auto" w:fill="auto"/>
        <w:bidi w:val="0"/>
        <w:spacing w:before="0" w:after="320" w:line="235" w:lineRule="exact"/>
        <w:ind w:left="580" w:right="0" w:firstLine="20"/>
        <w:jc w:val="both"/>
      </w:pPr>
      <w:r>
        <w:rPr>
          <w:color w:val="000000"/>
          <w:spacing w:val="0"/>
          <w:w w:val="100"/>
          <w:position w:val="0"/>
        </w:rPr>
        <w:t>本公司始终按照相当于整个存续期内预期信用损失的金额计量应收账款的减值准备，并以逾期天数与违约损失率对 照表为基础计算其预期信用损失。根据本公司的历史经验，不同细分客户群体发生损失的情况没有显著差异，因此在 根据逾期信息计算减值准备时未进一步区分不同的客户群体。</w:t>
      </w:r>
    </w:p>
    <w:p>
      <w:pPr>
        <w:pStyle w:val="Style21"/>
        <w:keepNext w:val="0"/>
        <w:keepLines w:val="0"/>
        <w:widowControl w:val="0"/>
        <w:shd w:val="clear" w:color="auto" w:fill="auto"/>
        <w:tabs>
          <w:tab w:pos="1132" w:val="left"/>
        </w:tabs>
        <w:bidi w:val="0"/>
        <w:spacing w:before="0" w:after="320" w:line="240" w:lineRule="auto"/>
        <w:ind w:left="0" w:right="0" w:firstLine="580"/>
        <w:jc w:val="both"/>
      </w:pPr>
      <w:r>
        <w:rPr>
          <w:color w:val="000000"/>
          <w:spacing w:val="0"/>
          <w:w w:val="100"/>
          <w:position w:val="0"/>
          <w:sz w:val="16"/>
          <w:szCs w:val="16"/>
        </w:rPr>
        <w:t>1.</w:t>
        <w:tab/>
      </w:r>
      <w:r>
        <w:rPr>
          <w:color w:val="000000"/>
          <w:spacing w:val="0"/>
          <w:w w:val="100"/>
          <w:position w:val="0"/>
        </w:rPr>
        <w:t>按单项计提的应收账款减值准备:</w:t>
      </w:r>
    </w:p>
    <w:p>
      <w:pPr>
        <w:pStyle w:val="Style37"/>
        <w:keepNext w:val="0"/>
        <w:keepLines w:val="0"/>
        <w:widowControl w:val="0"/>
        <w:shd w:val="clear" w:color="auto" w:fill="auto"/>
        <w:bidi w:val="0"/>
        <w:spacing w:before="0" w:after="0" w:line="240" w:lineRule="auto"/>
        <w:ind w:left="5" w:right="0" w:firstLine="0"/>
        <w:jc w:val="left"/>
      </w:pPr>
      <w:r>
        <w:rPr>
          <w:color w:val="000000"/>
          <w:spacing w:val="0"/>
          <w:w w:val="100"/>
          <w:position w:val="0"/>
          <w:sz w:val="16"/>
          <w:szCs w:val="16"/>
        </w:rPr>
        <w:t xml:space="preserve">2020 </w:t>
      </w:r>
      <w:r>
        <w:rPr>
          <w:color w:val="000000"/>
          <w:spacing w:val="0"/>
          <w:w w:val="100"/>
          <w:position w:val="0"/>
        </w:rPr>
        <w:t>年</w:t>
      </w:r>
    </w:p>
    <w:tbl>
      <w:tblPr>
        <w:tblOverlap w:val="never"/>
        <w:jc w:val="center"/>
        <w:tblLayout w:type="fixed"/>
      </w:tblPr>
      <w:tblGrid>
        <w:gridCol w:w="4114"/>
        <w:gridCol w:w="1982"/>
        <w:gridCol w:w="2021"/>
      </w:tblGrid>
      <w:tr>
        <w:trPr>
          <w:trHeight w:val="34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客户细分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按单项计提的应收账款减值准备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550, </w:t>
            </w:r>
            <w:r>
              <w:rPr>
                <w:color w:val="000000"/>
                <w:spacing w:val="0"/>
                <w:w w:val="100"/>
                <w:position w:val="0"/>
                <w:sz w:val="16"/>
                <w:szCs w:val="16"/>
              </w:rPr>
              <w:t xml:space="preserve">931.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40" w:firstLine="0"/>
              <w:jc w:val="righ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按组合计提的应收账款减值准备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60,012,691.82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59,798, </w:t>
            </w:r>
            <w:r>
              <w:rPr>
                <w:color w:val="000000"/>
                <w:spacing w:val="0"/>
                <w:w w:val="100"/>
                <w:position w:val="0"/>
                <w:sz w:val="16"/>
                <w:szCs w:val="16"/>
              </w:rPr>
              <w:t xml:space="preserve">121. </w:t>
            </w:r>
            <w:r>
              <w:rPr>
                <w:color w:val="000000"/>
                <w:spacing w:val="0"/>
                <w:w w:val="100"/>
                <w:position w:val="0"/>
                <w:sz w:val="16"/>
                <w:szCs w:val="16"/>
              </w:rPr>
              <w:t>11</w:t>
            </w:r>
          </w:p>
        </w:tc>
      </w:tr>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60,563,623.59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59,798, </w:t>
            </w:r>
            <w:r>
              <w:rPr>
                <w:color w:val="000000"/>
                <w:spacing w:val="0"/>
                <w:w w:val="100"/>
                <w:position w:val="0"/>
                <w:sz w:val="16"/>
                <w:szCs w:val="16"/>
              </w:rPr>
              <w:t xml:space="preserve">121. </w:t>
            </w:r>
            <w:r>
              <w:rPr>
                <w:color w:val="000000"/>
                <w:spacing w:val="0"/>
                <w:w w:val="100"/>
                <w:position w:val="0"/>
                <w:sz w:val="16"/>
                <w:szCs w:val="16"/>
              </w:rPr>
              <w:t>11</w:t>
            </w:r>
          </w:p>
        </w:tc>
      </w:tr>
    </w:tbl>
    <w:p>
      <w:pPr>
        <w:pStyle w:val="Style37"/>
        <w:keepNext w:val="0"/>
        <w:keepLines w:val="0"/>
        <w:widowControl w:val="0"/>
        <w:shd w:val="clear" w:color="auto" w:fill="auto"/>
        <w:tabs>
          <w:tab w:pos="562" w:val="left"/>
        </w:tabs>
        <w:bidi w:val="0"/>
        <w:spacing w:before="0" w:after="0" w:line="240" w:lineRule="auto"/>
        <w:ind w:left="0" w:right="0" w:firstLine="0"/>
        <w:jc w:val="left"/>
      </w:pPr>
      <w:r>
        <w:rPr>
          <w:color w:val="000000"/>
          <w:spacing w:val="0"/>
          <w:w w:val="100"/>
          <w:position w:val="0"/>
          <w:sz w:val="16"/>
          <w:szCs w:val="16"/>
        </w:rPr>
        <w:t>2.</w:t>
        <w:tab/>
      </w:r>
      <w:r>
        <w:rPr>
          <w:color w:val="000000"/>
          <w:spacing w:val="0"/>
          <w:w w:val="100"/>
          <w:position w:val="0"/>
        </w:rPr>
        <w:t>按组合计提的应收账款减值准备:</w:t>
      </w:r>
    </w:p>
    <w:p>
      <w:pPr>
        <w:widowControl w:val="0"/>
        <w:spacing w:after="3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sz w:val="16"/>
          <w:szCs w:val="16"/>
        </w:rPr>
        <w:t xml:space="preserve">2020 </w:t>
      </w:r>
      <w:r>
        <w:rPr>
          <w:color w:val="000000"/>
          <w:spacing w:val="0"/>
          <w:w w:val="100"/>
          <w:position w:val="0"/>
        </w:rPr>
        <w:t>年</w:t>
      </w:r>
    </w:p>
    <w:tbl>
      <w:tblPr>
        <w:tblOverlap w:val="never"/>
        <w:jc w:val="right"/>
        <w:tblLayout w:type="fixed"/>
      </w:tblPr>
      <w:tblGrid>
        <w:gridCol w:w="2141"/>
        <w:gridCol w:w="1987"/>
        <w:gridCol w:w="1982"/>
        <w:gridCol w:w="2016"/>
      </w:tblGrid>
      <w:tr>
        <w:trPr>
          <w:trHeight w:val="763"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整个存续期的预期信用 损失率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年末账面余额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年末减值准备</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206, 657, </w:t>
            </w:r>
            <w:r>
              <w:rPr>
                <w:color w:val="000000"/>
                <w:spacing w:val="0"/>
                <w:w w:val="100"/>
                <w:position w:val="0"/>
                <w:sz w:val="16"/>
                <w:szCs w:val="16"/>
              </w:rPr>
              <w:t>182.47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10,555,884. </w:t>
            </w:r>
            <w:r>
              <w:rPr>
                <w:color w:val="000000"/>
                <w:spacing w:val="0"/>
                <w:w w:val="100"/>
                <w:position w:val="0"/>
                <w:sz w:val="16"/>
                <w:szCs w:val="16"/>
              </w:rPr>
              <w:t>68</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81,218, </w:t>
            </w:r>
            <w:r>
              <w:rPr>
                <w:color w:val="000000"/>
                <w:spacing w:val="0"/>
                <w:w w:val="100"/>
                <w:position w:val="0"/>
                <w:sz w:val="16"/>
                <w:szCs w:val="16"/>
              </w:rPr>
              <w:t xml:space="preserve">052. </w:t>
            </w:r>
            <w:r>
              <w:rPr>
                <w:color w:val="000000"/>
                <w:spacing w:val="0"/>
                <w:w w:val="100"/>
                <w:position w:val="0"/>
                <w:sz w:val="16"/>
                <w:szCs w:val="16"/>
              </w:rPr>
              <w:t>82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097,350. </w:t>
            </w:r>
            <w:r>
              <w:rPr>
                <w:color w:val="000000"/>
                <w:spacing w:val="0"/>
                <w:w w:val="100"/>
                <w:position w:val="0"/>
                <w:sz w:val="16"/>
                <w:szCs w:val="16"/>
              </w:rPr>
              <w:t>19</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1</w:t>
            </w:r>
            <w:r>
              <w:rPr>
                <w:color w:val="000000"/>
                <w:spacing w:val="0"/>
                <w:w w:val="100"/>
                <w:position w:val="0"/>
              </w:rPr>
              <w:t>到</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33,511,349.72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4, 806, </w:t>
            </w:r>
            <w:r>
              <w:rPr>
                <w:color w:val="000000"/>
                <w:spacing w:val="0"/>
                <w:w w:val="100"/>
                <w:position w:val="0"/>
                <w:sz w:val="16"/>
                <w:szCs w:val="16"/>
              </w:rPr>
              <w:t xml:space="preserve">797. </w:t>
            </w:r>
            <w:r>
              <w:rPr>
                <w:color w:val="000000"/>
                <w:spacing w:val="0"/>
                <w:w w:val="100"/>
                <w:position w:val="0"/>
                <w:sz w:val="16"/>
                <w:szCs w:val="16"/>
              </w:rPr>
              <w:t>51</w:t>
            </w:r>
          </w:p>
        </w:tc>
      </w:tr>
      <w:tr>
        <w:trPr>
          <w:trHeight w:val="38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2</w:t>
            </w:r>
            <w:r>
              <w:rPr>
                <w:color w:val="000000"/>
                <w:spacing w:val="0"/>
                <w:w w:val="100"/>
                <w:position w:val="0"/>
              </w:rPr>
              <w:t>到</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16, 990, </w:t>
            </w:r>
            <w:r>
              <w:rPr>
                <w:color w:val="000000"/>
                <w:spacing w:val="0"/>
                <w:w w:val="100"/>
                <w:position w:val="0"/>
                <w:sz w:val="16"/>
                <w:szCs w:val="16"/>
              </w:rPr>
              <w:t xml:space="preserve">799.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5, 110, </w:t>
            </w:r>
            <w:r>
              <w:rPr>
                <w:color w:val="000000"/>
                <w:spacing w:val="0"/>
                <w:w w:val="100"/>
                <w:position w:val="0"/>
                <w:sz w:val="16"/>
                <w:szCs w:val="16"/>
              </w:rPr>
              <w:t xml:space="preserve">646. </w:t>
            </w:r>
            <w:r>
              <w:rPr>
                <w:color w:val="000000"/>
                <w:spacing w:val="0"/>
                <w:w w:val="100"/>
                <w:position w:val="0"/>
                <w:sz w:val="16"/>
                <w:szCs w:val="16"/>
              </w:rPr>
              <w:t>92</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3</w:t>
            </w:r>
            <w:r>
              <w:rPr>
                <w:color w:val="000000"/>
                <w:spacing w:val="0"/>
                <w:w w:val="100"/>
                <w:position w:val="0"/>
              </w:rPr>
              <w:t>到</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10,138,298.59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4, 208, </w:t>
            </w:r>
            <w:r>
              <w:rPr>
                <w:color w:val="000000"/>
                <w:spacing w:val="0"/>
                <w:w w:val="100"/>
                <w:position w:val="0"/>
                <w:sz w:val="16"/>
                <w:szCs w:val="16"/>
              </w:rPr>
              <w:t xml:space="preserve">504. </w:t>
            </w:r>
            <w:r>
              <w:rPr>
                <w:color w:val="000000"/>
                <w:spacing w:val="0"/>
                <w:w w:val="100"/>
                <w:position w:val="0"/>
                <w:sz w:val="16"/>
                <w:szCs w:val="16"/>
              </w:rPr>
              <w:t>33</w:t>
            </w:r>
          </w:p>
        </w:tc>
      </w:tr>
      <w:tr>
        <w:trPr>
          <w:trHeight w:val="374"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4</w:t>
            </w:r>
            <w:r>
              <w:rPr>
                <w:color w:val="000000"/>
                <w:spacing w:val="0"/>
                <w:w w:val="100"/>
                <w:position w:val="0"/>
              </w:rPr>
              <w:t>到</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70%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5,526, </w:t>
            </w:r>
            <w:r>
              <w:rPr>
                <w:color w:val="000000"/>
                <w:spacing w:val="0"/>
                <w:w w:val="100"/>
                <w:position w:val="0"/>
                <w:sz w:val="16"/>
                <w:szCs w:val="16"/>
              </w:rPr>
              <w:t xml:space="preserve">086.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3,868,013.45</w:t>
            </w:r>
          </w:p>
        </w:tc>
      </w:tr>
      <w:tr>
        <w:trPr>
          <w:trHeight w:val="379"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逾期</w:t>
            </w: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25,365,494. </w:t>
            </w:r>
            <w:r>
              <w:rPr>
                <w:color w:val="000000"/>
                <w:spacing w:val="0"/>
                <w:w w:val="100"/>
                <w:position w:val="0"/>
                <w:sz w:val="16"/>
                <w:szCs w:val="16"/>
              </w:rPr>
              <w:t>74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25,365,494. </w:t>
            </w:r>
            <w:r>
              <w:rPr>
                <w:color w:val="000000"/>
                <w:spacing w:val="0"/>
                <w:w w:val="100"/>
                <w:position w:val="0"/>
                <w:sz w:val="16"/>
                <w:szCs w:val="16"/>
              </w:rPr>
              <w:t>74</w:t>
            </w:r>
          </w:p>
        </w:tc>
      </w:tr>
      <w:tr>
        <w:trPr>
          <w:trHeight w:val="403"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379, 407, </w:t>
            </w:r>
            <w:r>
              <w:rPr>
                <w:color w:val="000000"/>
                <w:spacing w:val="0"/>
                <w:w w:val="100"/>
                <w:position w:val="0"/>
                <w:sz w:val="16"/>
                <w:szCs w:val="16"/>
              </w:rPr>
              <w:t xml:space="preserve">264. </w:t>
            </w:r>
            <w:r>
              <w:rPr>
                <w:color w:val="000000"/>
                <w:spacing w:val="0"/>
                <w:w w:val="100"/>
                <w:position w:val="0"/>
                <w:sz w:val="16"/>
                <w:szCs w:val="16"/>
              </w:rPr>
              <w:t>67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60,012,691.82</w:t>
            </w:r>
          </w:p>
        </w:tc>
      </w:tr>
    </w:tbl>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sz w:val="16"/>
          <w:szCs w:val="16"/>
        </w:rPr>
        <w:t xml:space="preserve">2019 </w:t>
      </w:r>
      <w:r>
        <w:rPr>
          <w:color w:val="000000"/>
          <w:spacing w:val="0"/>
          <w:w w:val="100"/>
          <w:position w:val="0"/>
        </w:rPr>
        <w:t>年</w:t>
      </w:r>
    </w:p>
    <w:p>
      <w:pPr>
        <w:widowControl w:val="0"/>
        <w:spacing w:line="1" w:lineRule="exact"/>
      </w:pPr>
      <w:r>
        <w:br w:type="page"/>
      </w:r>
    </w:p>
    <w:tbl>
      <w:tblPr>
        <w:tblOverlap w:val="never"/>
        <w:jc w:val="right"/>
        <w:tblLayout w:type="fixed"/>
      </w:tblPr>
      <w:tblGrid>
        <w:gridCol w:w="2194"/>
        <w:gridCol w:w="1987"/>
        <w:gridCol w:w="1982"/>
        <w:gridCol w:w="2069"/>
      </w:tblGrid>
      <w:tr>
        <w:trPr>
          <w:trHeight w:val="78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整个存续期的预期信用 损失率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年末账面余额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年末减值准备</w:t>
            </w:r>
          </w:p>
        </w:tc>
      </w:tr>
      <w:tr>
        <w:trPr>
          <w:trHeight w:val="3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未逾期</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140, </w:t>
            </w:r>
            <w:r>
              <w:rPr>
                <w:color w:val="000000"/>
                <w:spacing w:val="0"/>
                <w:w w:val="100"/>
                <w:position w:val="0"/>
                <w:sz w:val="16"/>
                <w:szCs w:val="16"/>
              </w:rPr>
              <w:t>978,018.31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8, 750, </w:t>
            </w:r>
            <w:r>
              <w:rPr>
                <w:color w:val="000000"/>
                <w:spacing w:val="0"/>
                <w:w w:val="100"/>
                <w:position w:val="0"/>
                <w:sz w:val="16"/>
                <w:szCs w:val="16"/>
              </w:rPr>
              <w:t xml:space="preserve">598. </w:t>
            </w:r>
            <w:r>
              <w:rPr>
                <w:color w:val="000000"/>
                <w:spacing w:val="0"/>
                <w:w w:val="100"/>
                <w:position w:val="0"/>
                <w:sz w:val="16"/>
                <w:szCs w:val="16"/>
              </w:rPr>
              <w:t>07</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逾期一年以内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72,160, </w:t>
            </w:r>
            <w:r>
              <w:rPr>
                <w:color w:val="000000"/>
                <w:spacing w:val="0"/>
                <w:w w:val="100"/>
                <w:position w:val="0"/>
                <w:sz w:val="16"/>
                <w:szCs w:val="16"/>
              </w:rPr>
              <w:t xml:space="preserve">427. </w:t>
            </w:r>
            <w:r>
              <w:rPr>
                <w:color w:val="000000"/>
                <w:spacing w:val="0"/>
                <w:w w:val="100"/>
                <w:position w:val="0"/>
                <w:sz w:val="16"/>
                <w:szCs w:val="16"/>
              </w:rPr>
              <w:t>11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722,030. </w:t>
            </w:r>
            <w:r>
              <w:rPr>
                <w:color w:val="000000"/>
                <w:spacing w:val="0"/>
                <w:w w:val="100"/>
                <w:position w:val="0"/>
                <w:sz w:val="16"/>
                <w:szCs w:val="16"/>
              </w:rPr>
              <w:t>19</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逾期</w:t>
            </w:r>
            <w:r>
              <w:rPr>
                <w:color w:val="000000"/>
                <w:spacing w:val="0"/>
                <w:w w:val="100"/>
                <w:position w:val="0"/>
                <w:sz w:val="16"/>
                <w:szCs w:val="16"/>
              </w:rPr>
              <w:t>1</w:t>
            </w:r>
            <w:r>
              <w:rPr>
                <w:color w:val="000000"/>
                <w:spacing w:val="0"/>
                <w:w w:val="100"/>
                <w:position w:val="0"/>
              </w:rPr>
              <w:t>到</w:t>
            </w:r>
            <w:r>
              <w:rPr>
                <w:color w:val="000000"/>
                <w:spacing w:val="0"/>
                <w:w w:val="100"/>
                <w:position w:val="0"/>
                <w:sz w:val="16"/>
                <w:szCs w:val="16"/>
              </w:rPr>
              <w:t>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23, 809, </w:t>
            </w:r>
            <w:r>
              <w:rPr>
                <w:color w:val="000000"/>
                <w:spacing w:val="0"/>
                <w:w w:val="100"/>
                <w:position w:val="0"/>
                <w:sz w:val="16"/>
                <w:szCs w:val="16"/>
              </w:rPr>
              <w:t xml:space="preserve">284.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7,213,262.97</w:t>
            </w:r>
          </w:p>
        </w:tc>
      </w:tr>
      <w:tr>
        <w:trPr>
          <w:trHeight w:val="38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逾期</w:t>
            </w:r>
            <w:r>
              <w:rPr>
                <w:color w:val="000000"/>
                <w:spacing w:val="0"/>
                <w:w w:val="100"/>
                <w:position w:val="0"/>
                <w:sz w:val="16"/>
                <w:szCs w:val="16"/>
              </w:rPr>
              <w:t>2</w:t>
            </w:r>
            <w:r>
              <w:rPr>
                <w:color w:val="000000"/>
                <w:spacing w:val="0"/>
                <w:w w:val="100"/>
                <w:position w:val="0"/>
              </w:rPr>
              <w:t>到</w:t>
            </w:r>
            <w:r>
              <w:rPr>
                <w:color w:val="000000"/>
                <w:spacing w:val="0"/>
                <w:w w:val="100"/>
                <w:position w:val="0"/>
                <w:sz w:val="16"/>
                <w:szCs w:val="16"/>
              </w:rPr>
              <w:t>3</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17,485,970.74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6, </w:t>
            </w:r>
            <w:r>
              <w:rPr>
                <w:color w:val="000000"/>
                <w:spacing w:val="0"/>
                <w:w w:val="100"/>
                <w:position w:val="0"/>
                <w:sz w:val="16"/>
                <w:szCs w:val="16"/>
              </w:rPr>
              <w:t>131,253.93</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逾期</w:t>
            </w:r>
            <w:r>
              <w:rPr>
                <w:color w:val="000000"/>
                <w:spacing w:val="0"/>
                <w:w w:val="100"/>
                <w:position w:val="0"/>
                <w:sz w:val="16"/>
                <w:szCs w:val="16"/>
              </w:rPr>
              <w:t>3</w:t>
            </w:r>
            <w:r>
              <w:rPr>
                <w:color w:val="000000"/>
                <w:spacing w:val="0"/>
                <w:w w:val="100"/>
                <w:position w:val="0"/>
              </w:rPr>
              <w:t>到</w:t>
            </w:r>
            <w:r>
              <w:rPr>
                <w:color w:val="000000"/>
                <w:spacing w:val="0"/>
                <w:w w:val="100"/>
                <w:position w:val="0"/>
                <w:sz w:val="16"/>
                <w:szCs w:val="16"/>
              </w:rPr>
              <w:t>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455,516. </w:t>
            </w:r>
            <w:r>
              <w:rPr>
                <w:color w:val="000000"/>
                <w:spacing w:val="0"/>
                <w:w w:val="100"/>
                <w:position w:val="0"/>
                <w:sz w:val="16"/>
                <w:szCs w:val="16"/>
              </w:rPr>
              <w:t>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3, 914, </w:t>
            </w:r>
            <w:r>
              <w:rPr>
                <w:color w:val="000000"/>
                <w:spacing w:val="0"/>
                <w:w w:val="100"/>
                <w:position w:val="0"/>
                <w:sz w:val="16"/>
                <w:szCs w:val="16"/>
              </w:rPr>
              <w:t xml:space="preserve">240. </w:t>
            </w:r>
            <w:r>
              <w:rPr>
                <w:color w:val="000000"/>
                <w:spacing w:val="0"/>
                <w:w w:val="100"/>
                <w:position w:val="0"/>
                <w:sz w:val="16"/>
                <w:szCs w:val="16"/>
              </w:rPr>
              <w:t>02</w:t>
            </w:r>
          </w:p>
        </w:tc>
      </w:tr>
      <w:tr>
        <w:trPr>
          <w:trHeight w:val="379"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逾期</w:t>
            </w:r>
            <w:r>
              <w:rPr>
                <w:color w:val="000000"/>
                <w:spacing w:val="0"/>
                <w:w w:val="100"/>
                <w:position w:val="0"/>
                <w:sz w:val="16"/>
                <w:szCs w:val="16"/>
              </w:rPr>
              <w:t>4</w:t>
            </w:r>
            <w:r>
              <w:rPr>
                <w:color w:val="000000"/>
                <w:spacing w:val="0"/>
                <w:w w:val="100"/>
                <w:position w:val="0"/>
              </w:rPr>
              <w:t>到</w:t>
            </w:r>
            <w:r>
              <w:rPr>
                <w:color w:val="000000"/>
                <w:spacing w:val="0"/>
                <w:w w:val="100"/>
                <w:position w:val="0"/>
                <w:sz w:val="16"/>
                <w:szCs w:val="16"/>
              </w:rPr>
              <w:t>5</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600" w:right="0" w:firstLine="0"/>
              <w:jc w:val="left"/>
              <w:rPr>
                <w:sz w:val="16"/>
                <w:szCs w:val="16"/>
              </w:rPr>
            </w:pPr>
            <w:r>
              <w:rPr>
                <w:color w:val="000000"/>
                <w:spacing w:val="0"/>
                <w:w w:val="100"/>
                <w:position w:val="0"/>
                <w:sz w:val="16"/>
                <w:szCs w:val="16"/>
              </w:rPr>
              <w:t>73%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16, 032, </w:t>
            </w:r>
            <w:r>
              <w:rPr>
                <w:color w:val="000000"/>
                <w:spacing w:val="0"/>
                <w:w w:val="100"/>
                <w:position w:val="0"/>
                <w:sz w:val="16"/>
                <w:szCs w:val="16"/>
              </w:rPr>
              <w:t xml:space="preserve">047. </w:t>
            </w:r>
            <w:r>
              <w:rPr>
                <w:color w:val="000000"/>
                <w:spacing w:val="0"/>
                <w:w w:val="100"/>
                <w:position w:val="0"/>
                <w:sz w:val="16"/>
                <w:szCs w:val="16"/>
              </w:rPr>
              <w:t>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11,673,256.63</w:t>
            </w:r>
          </w:p>
        </w:tc>
      </w:tr>
      <w:tr>
        <w:trPr>
          <w:trHeight w:val="374"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逾期</w:t>
            </w:r>
            <w:r>
              <w:rPr>
                <w:color w:val="000000"/>
                <w:spacing w:val="0"/>
                <w:w w:val="100"/>
                <w:position w:val="0"/>
                <w:sz w:val="16"/>
                <w:szCs w:val="16"/>
              </w:rPr>
              <w:t>5</w:t>
            </w:r>
            <w:r>
              <w:rPr>
                <w:color w:val="000000"/>
                <w:spacing w:val="0"/>
                <w:w w:val="100"/>
                <w:position w:val="0"/>
              </w:rPr>
              <w:t>年以上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20" w:right="0" w:firstLine="0"/>
              <w:jc w:val="lef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15,393,479.30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15,393,479.30</w:t>
            </w:r>
          </w:p>
        </w:tc>
      </w:tr>
      <w:tr>
        <w:trPr>
          <w:trHeight w:val="408"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296,314, </w:t>
            </w:r>
            <w:r>
              <w:rPr>
                <w:color w:val="000000"/>
                <w:spacing w:val="0"/>
                <w:w w:val="100"/>
                <w:position w:val="0"/>
                <w:sz w:val="16"/>
                <w:szCs w:val="16"/>
              </w:rPr>
              <w:t xml:space="preserve">743. </w:t>
            </w:r>
            <w:r>
              <w:rPr>
                <w:color w:val="000000"/>
                <w:spacing w:val="0"/>
                <w:w w:val="100"/>
                <w:position w:val="0"/>
                <w:sz w:val="16"/>
                <w:szCs w:val="16"/>
              </w:rPr>
              <w:t>33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59,798, </w:t>
            </w:r>
            <w:r>
              <w:rPr>
                <w:color w:val="000000"/>
                <w:spacing w:val="0"/>
                <w:w w:val="100"/>
                <w:position w:val="0"/>
                <w:sz w:val="16"/>
                <w:szCs w:val="16"/>
              </w:rPr>
              <w:t xml:space="preserve">121. </w:t>
            </w:r>
            <w:r>
              <w:rPr>
                <w:color w:val="000000"/>
                <w:spacing w:val="0"/>
                <w:w w:val="100"/>
                <w:position w:val="0"/>
                <w:sz w:val="16"/>
                <w:szCs w:val="16"/>
              </w:rPr>
              <w:t>11</w:t>
            </w:r>
          </w:p>
        </w:tc>
      </w:tr>
    </w:tbl>
    <w:p>
      <w:pPr>
        <w:pStyle w:val="Style37"/>
        <w:keepNext w:val="0"/>
        <w:keepLines w:val="0"/>
        <w:widowControl w:val="0"/>
        <w:shd w:val="clear" w:color="auto" w:fill="auto"/>
        <w:bidi w:val="0"/>
        <w:spacing w:before="0" w:after="0" w:line="240" w:lineRule="exact"/>
        <w:ind w:left="72" w:right="0" w:firstLine="0"/>
        <w:jc w:val="left"/>
      </w:pPr>
      <w:r>
        <w:rPr>
          <w:color w:val="000000"/>
          <w:spacing w:val="0"/>
          <w:w w:val="100"/>
          <w:position w:val="0"/>
        </w:rPr>
        <w:t>违约损失率基于过去</w:t>
      </w:r>
      <w:r>
        <w:rPr>
          <w:color w:val="000000"/>
          <w:spacing w:val="0"/>
          <w:w w:val="100"/>
          <w:position w:val="0"/>
          <w:sz w:val="16"/>
          <w:szCs w:val="16"/>
        </w:rPr>
        <w:t>3</w:t>
      </w:r>
      <w:r>
        <w:rPr>
          <w:color w:val="000000"/>
          <w:spacing w:val="0"/>
          <w:w w:val="100"/>
          <w:position w:val="0"/>
        </w:rPr>
        <w:t>年的实际信用损失经验计算，并根据历史数据收集期间的经济状况、当前的经济状况 与本集团所认为的预计存续期内的经济状况三者之间的差异进行调整。</w:t>
      </w:r>
    </w:p>
    <w:p>
      <w:pPr>
        <w:widowControl w:val="0"/>
        <w:spacing w:after="339" w:line="1" w:lineRule="exact"/>
      </w:pPr>
    </w:p>
    <w:p>
      <w:pPr>
        <w:pStyle w:val="Style34"/>
        <w:keepNext/>
        <w:keepLines/>
        <w:widowControl w:val="0"/>
        <w:numPr>
          <w:ilvl w:val="0"/>
          <w:numId w:val="77"/>
        </w:numPr>
        <w:shd w:val="clear" w:color="auto" w:fill="auto"/>
        <w:bidi w:val="0"/>
        <w:spacing w:before="0" w:after="340" w:line="240" w:lineRule="auto"/>
        <w:ind w:left="0" w:right="0" w:firstLine="0"/>
        <w:jc w:val="left"/>
      </w:pPr>
      <w:bookmarkStart w:id="1584" w:name="bookmark1584"/>
      <w:bookmarkStart w:id="1585" w:name="bookmark1585"/>
      <w:bookmarkStart w:id="1586" w:name="bookmark1586"/>
      <w:bookmarkStart w:id="1587" w:name="bookmark1587"/>
      <w:bookmarkEnd w:id="1586"/>
      <w:r>
        <w:rPr>
          <w:color w:val="000000"/>
          <w:spacing w:val="0"/>
          <w:w w:val="100"/>
          <w:position w:val="0"/>
        </w:rPr>
        <w:t>坏账准备的变动情况:</w:t>
      </w:r>
      <w:bookmarkEnd w:id="1584"/>
      <w:bookmarkEnd w:id="1585"/>
      <w:bookmarkEnd w:id="1587"/>
    </w:p>
    <w:tbl>
      <w:tblPr>
        <w:tblOverlap w:val="never"/>
        <w:jc w:val="center"/>
        <w:tblLayout w:type="fixed"/>
      </w:tblPr>
      <w:tblGrid>
        <w:gridCol w:w="5261"/>
        <w:gridCol w:w="1982"/>
        <w:gridCol w:w="2016"/>
      </w:tblGrid>
      <w:tr>
        <w:trPr>
          <w:trHeight w:val="350"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2020</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6"/>
                <w:szCs w:val="16"/>
              </w:rPr>
              <w:t>2019</w:t>
            </w:r>
            <w:r>
              <w:rPr>
                <w:color w:val="000000"/>
                <w:spacing w:val="0"/>
                <w:w w:val="100"/>
                <w:position w:val="0"/>
              </w:rPr>
              <w:t>年</w:t>
            </w:r>
            <w:r>
              <w:rPr>
                <w:color w:val="000000"/>
                <w:spacing w:val="0"/>
                <w:w w:val="100"/>
                <w:position w:val="0"/>
                <w:sz w:val="16"/>
                <w:szCs w:val="16"/>
              </w:rPr>
              <w:t>12</w:t>
            </w:r>
            <w:r>
              <w:rPr>
                <w:color w:val="000000"/>
                <w:spacing w:val="0"/>
                <w:w w:val="100"/>
                <w:position w:val="0"/>
              </w:rPr>
              <w:t>月</w:t>
            </w:r>
            <w:r>
              <w:rPr>
                <w:color w:val="000000"/>
                <w:spacing w:val="0"/>
                <w:w w:val="100"/>
                <w:position w:val="0"/>
                <w:sz w:val="16"/>
                <w:szCs w:val="16"/>
              </w:rPr>
              <w:t>31</w:t>
            </w:r>
            <w:r>
              <w:rPr>
                <w:color w:val="000000"/>
                <w:spacing w:val="0"/>
                <w:w w:val="100"/>
                <w:position w:val="0"/>
              </w:rPr>
              <w:t>日</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原收入准则下的余额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59,798, </w:t>
            </w:r>
            <w:r>
              <w:rPr>
                <w:color w:val="000000"/>
                <w:spacing w:val="0"/>
                <w:w w:val="100"/>
                <w:position w:val="0"/>
                <w:sz w:val="16"/>
                <w:szCs w:val="16"/>
              </w:rPr>
              <w:t xml:space="preserve">121.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50, </w:t>
            </w:r>
            <w:r>
              <w:rPr>
                <w:color w:val="000000"/>
                <w:spacing w:val="0"/>
                <w:w w:val="100"/>
                <w:position w:val="0"/>
                <w:sz w:val="16"/>
                <w:szCs w:val="16"/>
              </w:rPr>
              <w:t>893,143.86</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首次执行新收入准则的调整金额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(2, 960, </w:t>
            </w:r>
            <w:r>
              <w:rPr>
                <w:color w:val="000000"/>
                <w:spacing w:val="0"/>
                <w:w w:val="100"/>
                <w:position w:val="0"/>
                <w:sz w:val="16"/>
                <w:szCs w:val="16"/>
              </w:rPr>
              <w:t xml:space="preserve">796.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调整后的年初余额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56, 837, </w:t>
            </w:r>
            <w:r>
              <w:rPr>
                <w:color w:val="000000"/>
                <w:spacing w:val="0"/>
                <w:w w:val="100"/>
                <w:position w:val="0"/>
                <w:sz w:val="16"/>
                <w:szCs w:val="16"/>
              </w:rPr>
              <w:t xml:space="preserve">324.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420" w:firstLine="0"/>
              <w:jc w:val="right"/>
              <w:rPr>
                <w:sz w:val="16"/>
                <w:szCs w:val="16"/>
              </w:rPr>
            </w:pPr>
            <w:r>
              <w:rPr>
                <w:color w:val="000000"/>
                <w:spacing w:val="0"/>
                <w:w w:val="100"/>
                <w:position w:val="0"/>
                <w:sz w:val="16"/>
                <w:szCs w:val="16"/>
              </w:rPr>
              <w:t>-</w:t>
            </w:r>
          </w:p>
        </w:tc>
      </w:tr>
      <w:tr>
        <w:trPr>
          <w:trHeight w:val="326"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 xml:space="preserve">8, 042, </w:t>
            </w:r>
            <w:r>
              <w:rPr>
                <w:color w:val="000000"/>
                <w:spacing w:val="0"/>
                <w:w w:val="100"/>
                <w:position w:val="0"/>
                <w:sz w:val="16"/>
                <w:szCs w:val="16"/>
              </w:rPr>
              <w:t xml:space="preserve">493.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13,203,365.65</w:t>
            </w:r>
          </w:p>
        </w:tc>
      </w:tr>
      <w:tr>
        <w:trPr>
          <w:trHeight w:val="322"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本年收回或转回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60"/>
              <w:jc w:val="left"/>
              <w:rPr>
                <w:sz w:val="16"/>
                <w:szCs w:val="16"/>
              </w:rPr>
            </w:pPr>
            <w:r>
              <w:rPr>
                <w:color w:val="000000"/>
                <w:spacing w:val="0"/>
                <w:w w:val="100"/>
                <w:position w:val="0"/>
                <w:sz w:val="16"/>
                <w:szCs w:val="16"/>
              </w:rPr>
              <w:t>4,316,194.01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160" w:firstLine="0"/>
              <w:jc w:val="right"/>
              <w:rPr>
                <w:sz w:val="16"/>
                <w:szCs w:val="16"/>
              </w:rPr>
            </w:pPr>
            <w:r>
              <w:rPr>
                <w:color w:val="000000"/>
                <w:spacing w:val="0"/>
                <w:w w:val="100"/>
                <w:position w:val="0"/>
                <w:sz w:val="16"/>
                <w:szCs w:val="16"/>
              </w:rPr>
              <w:t xml:space="preserve">4, 298, </w:t>
            </w:r>
            <w:r>
              <w:rPr>
                <w:color w:val="000000"/>
                <w:spacing w:val="0"/>
                <w:w w:val="100"/>
                <w:position w:val="0"/>
                <w:sz w:val="16"/>
                <w:szCs w:val="16"/>
              </w:rPr>
              <w:t xml:space="preserve">388. </w:t>
            </w:r>
            <w:r>
              <w:rPr>
                <w:color w:val="000000"/>
                <w:spacing w:val="0"/>
                <w:w w:val="100"/>
                <w:position w:val="0"/>
                <w:sz w:val="16"/>
                <w:szCs w:val="16"/>
              </w:rPr>
              <w:t>40</w:t>
            </w:r>
          </w:p>
        </w:tc>
      </w:tr>
      <w:tr>
        <w:trPr>
          <w:trHeight w:val="355"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年末余额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60,563,623.59</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6"/>
                <w:szCs w:val="16"/>
              </w:rPr>
            </w:pPr>
            <w:r>
              <w:rPr>
                <w:color w:val="000000"/>
                <w:spacing w:val="0"/>
                <w:w w:val="100"/>
                <w:position w:val="0"/>
                <w:sz w:val="16"/>
                <w:szCs w:val="16"/>
              </w:rPr>
              <w:t xml:space="preserve">59,798, </w:t>
            </w:r>
            <w:r>
              <w:rPr>
                <w:color w:val="000000"/>
                <w:spacing w:val="0"/>
                <w:w w:val="100"/>
                <w:position w:val="0"/>
                <w:sz w:val="16"/>
                <w:szCs w:val="16"/>
              </w:rPr>
              <w:t xml:space="preserve">121. </w:t>
            </w:r>
            <w:r>
              <w:rPr>
                <w:color w:val="000000"/>
                <w:spacing w:val="0"/>
                <w:w w:val="100"/>
                <w:position w:val="0"/>
                <w:sz w:val="16"/>
                <w:szCs w:val="16"/>
              </w:rPr>
              <w:t>11</w:t>
            </w:r>
          </w:p>
        </w:tc>
      </w:tr>
    </w:tbl>
    <w:p>
      <w:pPr>
        <w:pStyle w:val="Style37"/>
        <w:keepNext w:val="0"/>
        <w:keepLines w:val="0"/>
        <w:widowControl w:val="0"/>
        <w:shd w:val="clear" w:color="auto" w:fill="auto"/>
        <w:bidi w:val="0"/>
        <w:spacing w:before="0" w:after="0" w:line="240" w:lineRule="auto"/>
        <w:ind w:left="19" w:right="0" w:firstLine="0"/>
        <w:jc w:val="left"/>
      </w:pPr>
      <w:r>
        <w:rPr>
          <w:color w:val="000000"/>
          <w:spacing w:val="0"/>
          <w:w w:val="100"/>
          <w:position w:val="0"/>
        </w:rPr>
        <w:t>本公司本年无金额重大的坏账收回或转回情况。</w:t>
      </w:r>
    </w:p>
    <w:p>
      <w:pPr>
        <w:widowControl w:val="0"/>
        <w:spacing w:after="339" w:line="1" w:lineRule="exact"/>
      </w:pPr>
    </w:p>
    <w:p>
      <w:pPr>
        <w:pStyle w:val="Style34"/>
        <w:keepNext/>
        <w:keepLines/>
        <w:widowControl w:val="0"/>
        <w:numPr>
          <w:ilvl w:val="0"/>
          <w:numId w:val="77"/>
        </w:numPr>
        <w:shd w:val="clear" w:color="auto" w:fill="auto"/>
        <w:bidi w:val="0"/>
        <w:spacing w:before="0" w:after="340" w:line="240" w:lineRule="auto"/>
        <w:ind w:left="0" w:right="0" w:firstLine="0"/>
        <w:jc w:val="left"/>
      </w:pPr>
      <w:bookmarkStart w:id="1588" w:name="bookmark1588"/>
      <w:bookmarkStart w:id="1589" w:name="bookmark1589"/>
      <w:bookmarkStart w:id="1590" w:name="bookmark1590"/>
      <w:bookmarkStart w:id="1591" w:name="bookmark1591"/>
      <w:bookmarkEnd w:id="1590"/>
      <w:r>
        <w:rPr>
          <w:color w:val="000000"/>
          <w:spacing w:val="0"/>
          <w:w w:val="100"/>
          <w:position w:val="0"/>
        </w:rPr>
        <w:t>按欠款方归集的年末余额前五名的应收账款情况</w:t>
      </w:r>
      <w:bookmarkEnd w:id="1588"/>
      <w:bookmarkEnd w:id="1589"/>
      <w:bookmarkEnd w:id="1591"/>
    </w:p>
    <w:tbl>
      <w:tblPr>
        <w:tblOverlap w:val="never"/>
        <w:jc w:val="center"/>
        <w:tblLayout w:type="fixed"/>
      </w:tblPr>
      <w:tblGrid>
        <w:gridCol w:w="3274"/>
        <w:gridCol w:w="1982"/>
        <w:gridCol w:w="2150"/>
        <w:gridCol w:w="1853"/>
      </w:tblGrid>
      <w:tr>
        <w:trPr>
          <w:trHeight w:val="341"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占应收账款合计数的比例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建研检测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 xml:space="preserve">80, </w:t>
            </w:r>
            <w:r>
              <w:rPr>
                <w:color w:val="000000"/>
                <w:spacing w:val="0"/>
                <w:w w:val="100"/>
                <w:position w:val="0"/>
                <w:sz w:val="16"/>
                <w:szCs w:val="16"/>
              </w:rPr>
              <w:t xml:space="preserve">147,213.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20.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4, 093, </w:t>
            </w:r>
            <w:r>
              <w:rPr>
                <w:color w:val="000000"/>
                <w:spacing w:val="0"/>
                <w:w w:val="100"/>
                <w:position w:val="0"/>
                <w:sz w:val="16"/>
                <w:szCs w:val="16"/>
              </w:rPr>
              <w:t xml:space="preserve">855. </w:t>
            </w:r>
            <w:r>
              <w:rPr>
                <w:color w:val="000000"/>
                <w:spacing w:val="0"/>
                <w:w w:val="100"/>
                <w:position w:val="0"/>
                <w:sz w:val="16"/>
                <w:szCs w:val="16"/>
              </w:rPr>
              <w:t>96</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22,540,140.00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5.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1,373,946.92</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6"/>
                <w:szCs w:val="16"/>
              </w:rPr>
            </w:pPr>
            <w:r>
              <w:rPr>
                <w:color w:val="000000"/>
                <w:spacing w:val="0"/>
                <w:w w:val="100"/>
                <w:position w:val="0"/>
                <w:sz w:val="16"/>
                <w:szCs w:val="16"/>
              </w:rPr>
              <w:t>11,981,059.23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860, </w:t>
            </w:r>
            <w:r>
              <w:rPr>
                <w:color w:val="000000"/>
                <w:spacing w:val="0"/>
                <w:w w:val="100"/>
                <w:position w:val="0"/>
                <w:sz w:val="16"/>
                <w:szCs w:val="16"/>
              </w:rPr>
              <w:t xml:space="preserve">419. </w:t>
            </w:r>
            <w:r>
              <w:rPr>
                <w:color w:val="000000"/>
                <w:spacing w:val="0"/>
                <w:w w:val="100"/>
                <w:position w:val="0"/>
                <w:sz w:val="16"/>
                <w:szCs w:val="16"/>
              </w:rPr>
              <w:t>76</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 </w:t>
            </w:r>
            <w:r>
              <w:rPr>
                <w:color w:val="000000"/>
                <w:spacing w:val="0"/>
                <w:w w:val="100"/>
                <w:position w:val="0"/>
                <w:sz w:val="16"/>
                <w:szCs w:val="16"/>
              </w:rPr>
              <w:t>681,722.66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2.49%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590, </w:t>
            </w:r>
            <w:r>
              <w:rPr>
                <w:color w:val="000000"/>
                <w:spacing w:val="0"/>
                <w:w w:val="100"/>
                <w:position w:val="0"/>
                <w:sz w:val="16"/>
                <w:szCs w:val="16"/>
              </w:rPr>
              <w:t xml:space="preserve">154. </w:t>
            </w:r>
            <w:r>
              <w:rPr>
                <w:color w:val="000000"/>
                <w:spacing w:val="0"/>
                <w:w w:val="100"/>
                <w:position w:val="0"/>
                <w:sz w:val="16"/>
                <w:szCs w:val="16"/>
              </w:rPr>
              <w:t>86</w:t>
            </w:r>
          </w:p>
        </w:tc>
      </w:tr>
      <w:tr>
        <w:trPr>
          <w:trHeight w:val="317" w:hRule="exact"/>
        </w:trPr>
        <w:tc>
          <w:tcPr>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800"/>
              <w:jc w:val="left"/>
              <w:rPr>
                <w:sz w:val="16"/>
                <w:szCs w:val="16"/>
              </w:rPr>
            </w:pPr>
            <w:r>
              <w:rPr>
                <w:color w:val="000000"/>
                <w:spacing w:val="0"/>
                <w:w w:val="100"/>
                <w:position w:val="0"/>
                <w:sz w:val="16"/>
                <w:szCs w:val="16"/>
              </w:rPr>
              <w:t xml:space="preserve">9, 420, </w:t>
            </w:r>
            <w:r>
              <w:rPr>
                <w:color w:val="000000"/>
                <w:spacing w:val="0"/>
                <w:w w:val="100"/>
                <w:position w:val="0"/>
                <w:sz w:val="16"/>
                <w:szCs w:val="16"/>
              </w:rPr>
              <w:t xml:space="preserve">409.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80" w:right="0" w:firstLine="0"/>
              <w:jc w:val="left"/>
              <w:rPr>
                <w:sz w:val="16"/>
                <w:szCs w:val="16"/>
              </w:rPr>
            </w:pPr>
            <w:r>
              <w:rPr>
                <w:color w:val="000000"/>
                <w:spacing w:val="0"/>
                <w:w w:val="100"/>
                <w:position w:val="0"/>
                <w:sz w:val="16"/>
                <w:szCs w:val="16"/>
              </w:rPr>
              <w:t>2.42%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1,545,213.97</w:t>
            </w:r>
          </w:p>
        </w:tc>
      </w:tr>
      <w:tr>
        <w:trPr>
          <w:trHeight w:val="346"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both"/>
              <w:rPr>
                <w:sz w:val="16"/>
                <w:szCs w:val="16"/>
              </w:rPr>
            </w:pPr>
            <w:r>
              <w:rPr>
                <w:color w:val="000000"/>
                <w:spacing w:val="0"/>
                <w:w w:val="100"/>
                <w:position w:val="0"/>
                <w:sz w:val="16"/>
                <w:szCs w:val="16"/>
              </w:rPr>
              <w:t xml:space="preserve">133,770, </w:t>
            </w:r>
            <w:r>
              <w:rPr>
                <w:color w:val="000000"/>
                <w:spacing w:val="0"/>
                <w:w w:val="100"/>
                <w:position w:val="0"/>
                <w:sz w:val="16"/>
                <w:szCs w:val="16"/>
              </w:rPr>
              <w:t xml:space="preserve">544. </w:t>
            </w:r>
            <w:r>
              <w:rPr>
                <w:color w:val="000000"/>
                <w:spacing w:val="0"/>
                <w:w w:val="100"/>
                <w:position w:val="0"/>
                <w:sz w:val="16"/>
                <w:szCs w:val="16"/>
              </w:rPr>
              <w:t>12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34.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20"/>
              <w:jc w:val="both"/>
              <w:rPr>
                <w:sz w:val="16"/>
                <w:szCs w:val="16"/>
              </w:rPr>
            </w:pPr>
            <w:r>
              <w:rPr>
                <w:color w:val="000000"/>
                <w:spacing w:val="0"/>
                <w:w w:val="100"/>
                <w:position w:val="0"/>
                <w:sz w:val="16"/>
                <w:szCs w:val="16"/>
              </w:rPr>
              <w:t xml:space="preserve">8, </w:t>
            </w:r>
            <w:r>
              <w:rPr>
                <w:color w:val="000000"/>
                <w:spacing w:val="0"/>
                <w:w w:val="100"/>
                <w:position w:val="0"/>
                <w:sz w:val="16"/>
                <w:szCs w:val="16"/>
              </w:rPr>
              <w:t>463,591.47</w:t>
            </w:r>
          </w:p>
        </w:tc>
      </w:tr>
    </w:tbl>
    <w:p>
      <w:pPr>
        <w:widowControl w:val="0"/>
        <w:spacing w:after="339" w:line="1" w:lineRule="exact"/>
      </w:pPr>
    </w:p>
    <w:p>
      <w:pPr>
        <w:pStyle w:val="Style34"/>
        <w:keepNext/>
        <w:keepLines/>
        <w:widowControl w:val="0"/>
        <w:numPr>
          <w:ilvl w:val="0"/>
          <w:numId w:val="77"/>
        </w:numPr>
        <w:shd w:val="clear" w:color="auto" w:fill="auto"/>
        <w:tabs>
          <w:tab w:pos="430" w:val="left"/>
        </w:tabs>
        <w:bidi w:val="0"/>
        <w:spacing w:before="0" w:after="340" w:line="240" w:lineRule="auto"/>
        <w:ind w:left="0" w:right="0" w:firstLine="0"/>
        <w:jc w:val="left"/>
      </w:pPr>
      <w:bookmarkStart w:id="1592" w:name="bookmark1592"/>
      <w:bookmarkStart w:id="1593" w:name="bookmark1593"/>
      <w:bookmarkStart w:id="1594" w:name="bookmark1594"/>
      <w:bookmarkStart w:id="1595" w:name="bookmark1595"/>
      <w:bookmarkEnd w:id="1594"/>
      <w:r>
        <w:rPr>
          <w:color w:val="000000"/>
          <w:spacing w:val="0"/>
          <w:w w:val="100"/>
          <w:position w:val="0"/>
        </w:rPr>
        <w:t>本期无因金融资产转移而终止确认应收账款的情况。</w:t>
      </w:r>
      <w:bookmarkEnd w:id="1592"/>
      <w:bookmarkEnd w:id="1593"/>
      <w:bookmarkEnd w:id="1595"/>
    </w:p>
    <w:p>
      <w:pPr>
        <w:pStyle w:val="Style34"/>
        <w:keepNext/>
        <w:keepLines/>
        <w:widowControl w:val="0"/>
        <w:numPr>
          <w:ilvl w:val="0"/>
          <w:numId w:val="77"/>
        </w:numPr>
        <w:shd w:val="clear" w:color="auto" w:fill="auto"/>
        <w:tabs>
          <w:tab w:pos="430" w:val="left"/>
        </w:tabs>
        <w:bidi w:val="0"/>
        <w:spacing w:before="0" w:after="340" w:line="240" w:lineRule="auto"/>
        <w:ind w:left="0" w:right="0" w:firstLine="0"/>
        <w:jc w:val="left"/>
      </w:pPr>
      <w:bookmarkStart w:id="1592" w:name="bookmark1592"/>
      <w:bookmarkStart w:id="1593" w:name="bookmark1593"/>
      <w:bookmarkStart w:id="1596" w:name="bookmark1596"/>
      <w:bookmarkStart w:id="1597" w:name="bookmark1597"/>
      <w:bookmarkEnd w:id="1596"/>
      <w:r>
        <w:rPr>
          <w:color w:val="000000"/>
          <w:spacing w:val="0"/>
          <w:w w:val="100"/>
          <w:position w:val="0"/>
        </w:rPr>
        <w:t>本期无转移应收账款且继续涉入形成的资产、负债的金额。</w:t>
      </w:r>
      <w:bookmarkEnd w:id="1592"/>
      <w:bookmarkEnd w:id="1593"/>
      <w:bookmarkEnd w:id="1597"/>
    </w:p>
    <w:p>
      <w:pPr>
        <w:pStyle w:val="Style34"/>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8" w:name="bookmark159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92"/>
      <w:bookmarkEnd w:id="1593"/>
      <w:bookmarkEnd w:id="1598"/>
    </w:p>
    <w:p>
      <w:pPr>
        <w:pStyle w:val="Style21"/>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54"/>
        <w:gridCol w:w="3192"/>
        <w:gridCol w:w="3259"/>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12,282,630.54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49,173,849.04</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12,282,630.54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49,173,849.04</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599" w:name="bookmark1599"/>
      <w:bookmarkStart w:id="1600" w:name="bookmark1600"/>
      <w:bookmarkStart w:id="1601" w:name="bookmark16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599"/>
      <w:bookmarkEnd w:id="1600"/>
      <w:bookmarkEnd w:id="1601"/>
    </w:p>
    <w:p>
      <w:pPr>
        <w:pStyle w:val="Style34"/>
        <w:keepNext/>
        <w:keepLines/>
        <w:widowControl w:val="0"/>
        <w:shd w:val="clear" w:color="auto" w:fill="auto"/>
        <w:bidi w:val="0"/>
        <w:spacing w:before="0" w:after="340" w:line="240" w:lineRule="auto"/>
        <w:ind w:left="0" w:right="0" w:firstLine="0"/>
        <w:jc w:val="left"/>
      </w:pPr>
      <w:bookmarkStart w:id="1599" w:name="bookmark1599"/>
      <w:bookmarkStart w:id="1600" w:name="bookmark1600"/>
      <w:bookmarkStart w:id="1602" w:name="bookmark160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599"/>
      <w:bookmarkEnd w:id="1600"/>
      <w:bookmarkEnd w:id="160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6,791,324.45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42,313,810.50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736,700.00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1,082,460.00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1,235,776.26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1,370,256.70</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647,729.89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229,990.02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4,312,352.20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5,098,372.11</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13,723,882.80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50,094,889.33</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2</w:t>
      </w:r>
      <w:bookmarkEnd w:id="1605"/>
      <w:r>
        <w:rPr>
          <w:color w:val="000000"/>
          <w:spacing w:val="0"/>
          <w:w w:val="100"/>
          <w:position w:val="0"/>
        </w:rPr>
        <w:t>）坏账准备计提情况</w:t>
      </w:r>
      <w:bookmarkEnd w:id="1603"/>
      <w:bookmarkEnd w:id="1604"/>
      <w:bookmarkEnd w:id="160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69"/>
        <w:gridCol w:w="1560"/>
        <w:gridCol w:w="2126"/>
        <w:gridCol w:w="1982"/>
        <w:gridCol w:w="1248"/>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263,130.75</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657,909.54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921,040.29</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-128,859.66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128,859.66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677,327.79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111,899.23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789,227.02</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230,873.20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38,141.85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269,015.05</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580,725.68</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860,526.58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1,441,252.26</w:t>
            </w:r>
          </w:p>
        </w:tc>
      </w:tr>
    </w:tbl>
    <w:p>
      <w:pPr>
        <w:widowControl w:val="0"/>
        <w:spacing w:after="79" w:line="1" w:lineRule="exact"/>
      </w:pP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1,811,078.28</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10,787,642.32</w:t>
            </w: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207,880.00</w:t>
            </w:r>
          </w:p>
        </w:tc>
      </w:tr>
    </w:tbl>
    <w:p>
      <w:pPr>
        <w:widowControl w:val="0"/>
        <w:spacing w:line="1" w:lineRule="exact"/>
      </w:pPr>
      <w:r>
        <w:br w:type="page"/>
      </w:r>
    </w:p>
    <w:tbl>
      <w:tblPr>
        <w:tblOverlap w:val="never"/>
        <w:jc w:val="center"/>
        <w:tblLayout w:type="fixed"/>
      </w:tblPr>
      <w:tblGrid>
        <w:gridCol w:w="4848"/>
        <w:gridCol w:w="4858"/>
      </w:tblGrid>
      <w:tr>
        <w:trPr>
          <w:trHeight w:val="422"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917,282.20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429,532.20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182,500.00</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305,250.00</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13,723,882.80</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3</w:t>
      </w:r>
      <w:bookmarkEnd w:id="1609"/>
      <w:r>
        <w:rPr>
          <w:color w:val="000000"/>
          <w:spacing w:val="0"/>
          <w:w w:val="100"/>
          <w:position w:val="0"/>
        </w:rPr>
        <w:t>）按欠款方归集的期末余额前五名的其他应收款情况</w:t>
      </w:r>
      <w:bookmarkEnd w:id="1607"/>
      <w:bookmarkEnd w:id="1608"/>
      <w:bookmarkEnd w:id="161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单位一</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股权收购意向金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349,035.32</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570,506.92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135,050.96</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单位三</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291,608.00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3 - 4</w:t>
            </w:r>
            <w:r>
              <w:rPr>
                <w:color w:val="000000"/>
                <w:spacing w:val="0"/>
                <w:w w:val="100"/>
                <w:position w:val="0"/>
              </w:rPr>
              <w:t>年</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193,773.88</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单位四</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103,716.00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6,936.99</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单位五</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101,301.31</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6,775.49</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5,067,132.23</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691,572.64</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3</w:t>
      </w:r>
      <w:bookmarkEnd w:id="1613"/>
      <w:r>
        <w:rPr>
          <w:color w:val="000000"/>
          <w:spacing w:val="0"/>
          <w:w w:val="100"/>
          <w:position w:val="0"/>
        </w:rPr>
        <w:t>、长期股权投资</w:t>
      </w:r>
      <w:bookmarkEnd w:id="1611"/>
      <w:bookmarkEnd w:id="1612"/>
      <w:bookmarkEnd w:id="16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02"/>
        <w:gridCol w:w="1416"/>
        <w:gridCol w:w="1277"/>
        <w:gridCol w:w="1277"/>
        <w:gridCol w:w="1272"/>
        <w:gridCol w:w="1138"/>
        <w:gridCol w:w="1109"/>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79,548,238.03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13,978,756.77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65,569,481.26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64,548,238.03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13,502,624.83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51,045,613.20</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3,610,696.80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3,610,696.80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3,737,477.72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3,737,477.72</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83,158,934.83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13,978,756.77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69,180,178.06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68,285,715.75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13,502,624.83</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54,783,090.92</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140"/>
        <w:jc w:val="left"/>
      </w:pPr>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15"/>
      <w:bookmarkEnd w:id="1616"/>
      <w:bookmarkEnd w:id="161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2"/>
        <w:gridCol w:w="1166"/>
        <w:gridCol w:w="1166"/>
        <w:gridCol w:w="1214"/>
        <w:gridCol w:w="1214"/>
        <w:gridCol w:w="1219"/>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计提减值准备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市政中心</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9,427,838.03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9,427,838.03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迪赛恩</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艾科筑业</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134,931.69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134,931.69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240,068.31</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深圳艾科城</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2,016,551.26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476,131.94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1,540,419.32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1,459,580.68</w:t>
            </w:r>
          </w:p>
        </w:tc>
      </w:tr>
      <w:tr>
        <w:trPr>
          <w:trHeight w:val="413"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北京艾科城</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30"/>
        <w:gridCol w:w="1166"/>
        <w:gridCol w:w="1162"/>
        <w:gridCol w:w="1166"/>
        <w:gridCol w:w="1157"/>
        <w:gridCol w:w="1224"/>
        <w:gridCol w:w="1214"/>
        <w:gridCol w:w="1272"/>
      </w:tblGrid>
      <w:tr>
        <w:trPr>
          <w:trHeight w:val="47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建研检测</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常州城建艾科</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上海爱轲</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2,501,185.65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2,501,185.65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498,814.35</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深圳玖伊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4,200,000.00</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雄安玖壹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9,405,206.47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9,405,206.47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594,793.53</w:t>
            </w: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绿研检验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5,114,914.56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20,114,914.56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4,885,085.44</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建信筑和</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899,585.54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899,585.54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2,100,414.46</w:t>
            </w: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湖北建胜</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12,415,400.00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湾区规划设计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湾区绿色技术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51,045,613.20</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476,131.94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65,569,481.26</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13,978,756.77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160"/>
        <w:jc w:val="left"/>
      </w:pPr>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18"/>
      <w:bookmarkEnd w:id="1619"/>
      <w:bookmarkEnd w:id="162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1133"/>
        <w:gridCol w:w="571"/>
        <w:gridCol w:w="566"/>
        <w:gridCol w:w="989"/>
        <w:gridCol w:w="710"/>
        <w:gridCol w:w="566"/>
        <w:gridCol w:w="850"/>
        <w:gridCol w:w="710"/>
        <w:gridCol w:w="494"/>
        <w:gridCol w:w="1066"/>
        <w:gridCol w:w="542"/>
      </w:tblGrid>
      <w:tr>
        <w:trPr>
          <w:trHeight w:val="408"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4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减值 准备 期末 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追加</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减少</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权益法下确</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认的投资损</w:t>
            </w:r>
          </w:p>
          <w:p>
            <w:pPr>
              <w:pStyle w:val="Style27"/>
              <w:keepNext w:val="0"/>
              <w:keepLines w:val="0"/>
              <w:widowControl w:val="0"/>
              <w:shd w:val="clear" w:color="auto" w:fill="auto"/>
              <w:bidi w:val="0"/>
              <w:spacing w:before="0" w:after="12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 合收益 调整</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 值准备</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荆门玖伊园科技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1,084,397.77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-32,390.88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1,459,215.70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20" w:line="240" w:lineRule="auto"/>
              <w:ind w:left="0" w:right="0" w:firstLine="0"/>
              <w:jc w:val="left"/>
            </w:pPr>
            <w:r>
              <w:rPr>
                <w:color w:val="000000"/>
                <w:spacing w:val="0"/>
                <w:w w:val="100"/>
                <w:position w:val="0"/>
              </w:rPr>
              <w:t>雄安绿研智库有</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1,764,844.04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374,817.93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1,732,453.16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六邻科技</w:t>
            </w:r>
            <w:r>
              <w:rPr>
                <w:color w:val="000000"/>
                <w:spacing w:val="0"/>
                <w:w w:val="100"/>
                <w:position w:val="0"/>
                <w:sz w:val="18"/>
                <w:szCs w:val="18"/>
              </w:rPr>
              <w:t>（</w:t>
            </w:r>
            <w:r>
              <w:rPr>
                <w:color w:val="000000"/>
                <w:spacing w:val="0"/>
                <w:w w:val="100"/>
                <w:position w:val="0"/>
                <w:sz w:val="17"/>
                <w:szCs w:val="17"/>
              </w:rPr>
              <w:t>北京</w:t>
            </w:r>
            <w:r>
              <w:rPr>
                <w:color w:val="000000"/>
                <w:spacing w:val="0"/>
                <w:w w:val="100"/>
                <w:position w:val="0"/>
                <w:sz w:val="18"/>
                <w:szCs w:val="18"/>
              </w:rPr>
              <w: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888,235.91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-469,207.97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419,027.94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湖北荆广建土地 评估咨询有限公 司</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3,737,477.72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-126,780.92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3,610,696.80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3,737,477.72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-126,780.92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3,610,696.80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0"/>
        <w:jc w:val="left"/>
      </w:pPr>
      <w:bookmarkStart w:id="1621" w:name="bookmark1621"/>
      <w:bookmarkStart w:id="1622" w:name="bookmark1622"/>
      <w:bookmarkStart w:id="1623" w:name="bookmark1623"/>
      <w:bookmarkStart w:id="1624" w:name="bookmark1624"/>
      <w:r>
        <w:rPr>
          <w:rFonts w:ascii="Times New Roman" w:eastAsia="Times New Roman" w:hAnsi="Times New Roman" w:cs="Times New Roman"/>
          <w:color w:val="000000"/>
          <w:spacing w:val="0"/>
          <w:w w:val="100"/>
          <w:position w:val="0"/>
        </w:rPr>
        <w:t>4</w:t>
      </w:r>
      <w:bookmarkEnd w:id="1623"/>
      <w:r>
        <w:rPr>
          <w:color w:val="000000"/>
          <w:spacing w:val="0"/>
          <w:w w:val="100"/>
          <w:position w:val="0"/>
        </w:rPr>
        <w:t>、营业收入和营业成本</w:t>
      </w:r>
      <w:bookmarkEnd w:id="1621"/>
      <w:bookmarkEnd w:id="1622"/>
      <w:bookmarkEnd w:id="1624"/>
    </w:p>
    <w:tbl>
      <w:tblPr>
        <w:tblOverlap w:val="never"/>
        <w:jc w:val="center"/>
        <w:tblLayout w:type="fixed"/>
      </w:tblPr>
      <w:tblGrid>
        <w:gridCol w:w="2429"/>
        <w:gridCol w:w="1699"/>
        <w:gridCol w:w="1704"/>
        <w:gridCol w:w="1699"/>
        <w:gridCol w:w="1733"/>
      </w:tblGrid>
      <w:tr>
        <w:trPr>
          <w:trHeight w:val="346" w:hRule="exact"/>
        </w:trPr>
        <w:tc>
          <w:tcPr>
            <w:vMerge w:val="restart"/>
            <w:tcBorders>
              <w:top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2020 </w:t>
            </w:r>
            <w:r>
              <w:rPr>
                <w:color w:val="000000"/>
                <w:spacing w:val="0"/>
                <w:w w:val="100"/>
                <w:position w:val="0"/>
              </w:rPr>
              <w:t>年</w:t>
            </w:r>
          </w:p>
        </w:tc>
        <w:tc>
          <w:tcPr>
            <w:gridSpan w:val="2"/>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6"/>
                <w:szCs w:val="16"/>
              </w:rPr>
              <w:t xml:space="preserve">2019 </w:t>
            </w:r>
            <w:r>
              <w:rPr>
                <w:color w:val="000000"/>
                <w:spacing w:val="0"/>
                <w:w w:val="100"/>
                <w:position w:val="0"/>
              </w:rPr>
              <w:t>年</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600"/>
              <w:jc w:val="left"/>
            </w:pPr>
            <w:r>
              <w:rPr>
                <w:color w:val="000000"/>
                <w:spacing w:val="0"/>
                <w:w w:val="100"/>
                <w:position w:val="0"/>
              </w:rPr>
              <w:t>成本</w:t>
            </w:r>
          </w:p>
        </w:tc>
      </w:tr>
      <w:tr>
        <w:trPr>
          <w:trHeight w:val="350" w:hRule="exact"/>
        </w:trPr>
        <w:tc>
          <w:tcPr>
            <w:tcBorders>
              <w:top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-城市规划</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46,488, </w:t>
            </w:r>
            <w:r>
              <w:rPr>
                <w:color w:val="000000"/>
                <w:spacing w:val="0"/>
                <w:w w:val="100"/>
                <w:position w:val="0"/>
                <w:sz w:val="16"/>
                <w:szCs w:val="16"/>
              </w:rPr>
              <w:t xml:space="preserve">990.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31,897,281.37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37,737,193.93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24,261,673.95</w:t>
            </w:r>
          </w:p>
        </w:tc>
      </w:tr>
    </w:tbl>
    <w:p>
      <w:pPr>
        <w:widowControl w:val="0"/>
        <w:spacing w:line="1" w:lineRule="exact"/>
      </w:pPr>
      <w:r>
        <w:br w:type="page"/>
      </w:r>
    </w:p>
    <w:tbl>
      <w:tblPr>
        <w:tblOverlap w:val="never"/>
        <w:jc w:val="center"/>
        <w:tblLayout w:type="fixed"/>
      </w:tblPr>
      <w:tblGrid>
        <w:gridCol w:w="2429"/>
        <w:gridCol w:w="1699"/>
        <w:gridCol w:w="1704"/>
        <w:gridCol w:w="1699"/>
        <w:gridCol w:w="1786"/>
      </w:tblGrid>
      <w:tr>
        <w:trPr>
          <w:trHeight w:val="36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-公信服务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19, </w:t>
            </w:r>
            <w:r>
              <w:rPr>
                <w:color w:val="000000"/>
                <w:spacing w:val="0"/>
                <w:w w:val="100"/>
                <w:position w:val="0"/>
                <w:sz w:val="16"/>
                <w:szCs w:val="16"/>
              </w:rPr>
              <w:t>540,611.86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13,293,283.62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21,086, </w:t>
            </w:r>
            <w:r>
              <w:rPr>
                <w:color w:val="000000"/>
                <w:spacing w:val="0"/>
                <w:w w:val="100"/>
                <w:position w:val="0"/>
                <w:sz w:val="16"/>
                <w:szCs w:val="16"/>
              </w:rPr>
              <w:t>073.85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540"/>
              <w:jc w:val="both"/>
              <w:rPr>
                <w:sz w:val="16"/>
                <w:szCs w:val="16"/>
              </w:rPr>
            </w:pPr>
            <w:r>
              <w:rPr>
                <w:color w:val="000000"/>
                <w:spacing w:val="0"/>
                <w:w w:val="100"/>
                <w:position w:val="0"/>
                <w:sz w:val="16"/>
                <w:szCs w:val="16"/>
              </w:rPr>
              <w:t xml:space="preserve">8, 876, </w:t>
            </w:r>
            <w:r>
              <w:rPr>
                <w:color w:val="000000"/>
                <w:spacing w:val="0"/>
                <w:w w:val="100"/>
                <w:position w:val="0"/>
                <w:sz w:val="16"/>
                <w:szCs w:val="16"/>
              </w:rPr>
              <w:t xml:space="preserve">049. </w:t>
            </w:r>
            <w:r>
              <w:rPr>
                <w:color w:val="000000"/>
                <w:spacing w:val="0"/>
                <w:w w:val="100"/>
                <w:position w:val="0"/>
                <w:sz w:val="16"/>
                <w:szCs w:val="16"/>
              </w:rPr>
              <w:t>19</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-建筑设计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108, 254, </w:t>
            </w:r>
            <w:r>
              <w:rPr>
                <w:color w:val="000000"/>
                <w:spacing w:val="0"/>
                <w:w w:val="100"/>
                <w:position w:val="0"/>
                <w:sz w:val="16"/>
                <w:szCs w:val="16"/>
              </w:rPr>
              <w:t xml:space="preserve">008.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64, 358, </w:t>
            </w:r>
            <w:r>
              <w:rPr>
                <w:color w:val="000000"/>
                <w:spacing w:val="0"/>
                <w:w w:val="100"/>
                <w:position w:val="0"/>
                <w:sz w:val="16"/>
                <w:szCs w:val="16"/>
              </w:rPr>
              <w:t xml:space="preserve">450. </w:t>
            </w:r>
            <w:r>
              <w:rPr>
                <w:color w:val="000000"/>
                <w:spacing w:val="0"/>
                <w:w w:val="100"/>
                <w:position w:val="0"/>
                <w:sz w:val="16"/>
                <w:szCs w:val="16"/>
              </w:rPr>
              <w:t>88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90,552,531.98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57,682, </w:t>
            </w:r>
            <w:r>
              <w:rPr>
                <w:color w:val="000000"/>
                <w:spacing w:val="0"/>
                <w:w w:val="100"/>
                <w:position w:val="0"/>
                <w:sz w:val="16"/>
                <w:szCs w:val="16"/>
              </w:rPr>
              <w:t xml:space="preserve">177. </w:t>
            </w:r>
            <w:r>
              <w:rPr>
                <w:color w:val="000000"/>
                <w:spacing w:val="0"/>
                <w:w w:val="100"/>
                <w:position w:val="0"/>
                <w:sz w:val="16"/>
                <w:szCs w:val="16"/>
              </w:rPr>
              <w:t>15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-建筑咨询</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156,554.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16, </w:t>
            </w:r>
            <w:r>
              <w:rPr>
                <w:color w:val="000000"/>
                <w:spacing w:val="0"/>
                <w:w w:val="100"/>
                <w:position w:val="0"/>
                <w:sz w:val="16"/>
                <w:szCs w:val="16"/>
              </w:rPr>
              <w:t>102,570.87</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41,962,670.05</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25, 136, </w:t>
            </w:r>
            <w:r>
              <w:rPr>
                <w:color w:val="000000"/>
                <w:spacing w:val="0"/>
                <w:w w:val="100"/>
                <w:position w:val="0"/>
                <w:sz w:val="16"/>
                <w:szCs w:val="16"/>
              </w:rPr>
              <w:t xml:space="preserve">948. </w:t>
            </w:r>
            <w:r>
              <w:rPr>
                <w:color w:val="000000"/>
                <w:spacing w:val="0"/>
                <w:w w:val="100"/>
                <w:position w:val="0"/>
                <w:sz w:val="16"/>
                <w:szCs w:val="16"/>
              </w:rPr>
              <w:t>57</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color w:val="000000"/>
                <w:spacing w:val="0"/>
                <w:w w:val="100"/>
                <w:position w:val="0"/>
                <w:sz w:val="16"/>
                <w:szCs w:val="16"/>
              </w:rPr>
              <w:t>EPC</w:t>
            </w:r>
            <w:r>
              <w:rPr>
                <w:color w:val="000000"/>
                <w:spacing w:val="0"/>
                <w:w w:val="100"/>
                <w:position w:val="0"/>
              </w:rPr>
              <w:t>及项目全过程管理</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107,749, </w:t>
            </w:r>
            <w:r>
              <w:rPr>
                <w:color w:val="000000"/>
                <w:spacing w:val="0"/>
                <w:w w:val="100"/>
                <w:position w:val="0"/>
                <w:sz w:val="16"/>
                <w:szCs w:val="16"/>
              </w:rPr>
              <w:t xml:space="preserve">889.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89,619, </w:t>
            </w:r>
            <w:r>
              <w:rPr>
                <w:color w:val="000000"/>
                <w:spacing w:val="0"/>
                <w:w w:val="100"/>
                <w:position w:val="0"/>
                <w:sz w:val="16"/>
                <w:szCs w:val="16"/>
              </w:rPr>
              <w:t>169.29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108,095,</w:t>
            </w:r>
            <w:r>
              <w:rPr>
                <w:color w:val="000000"/>
                <w:spacing w:val="0"/>
                <w:w w:val="100"/>
                <w:position w:val="0"/>
                <w:sz w:val="16"/>
                <w:szCs w:val="16"/>
              </w:rPr>
              <w:t>825.</w:t>
            </w:r>
            <w:r>
              <w:rPr>
                <w:color w:val="000000"/>
                <w:spacing w:val="0"/>
                <w:w w:val="100"/>
                <w:position w:val="0"/>
                <w:sz w:val="16"/>
                <w:szCs w:val="16"/>
              </w:rPr>
              <w:t>84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84,162,485.35</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47,531,140.92</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23,319,615.26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 xml:space="preserve">44, 656, </w:t>
            </w:r>
            <w:r>
              <w:rPr>
                <w:color w:val="000000"/>
                <w:spacing w:val="0"/>
                <w:w w:val="100"/>
                <w:position w:val="0"/>
                <w:sz w:val="16"/>
                <w:szCs w:val="16"/>
              </w:rPr>
              <w:t>982.73</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22,559,396.40</w:t>
            </w:r>
          </w:p>
        </w:tc>
      </w:tr>
      <w:tr>
        <w:trPr>
          <w:trHeight w:val="322"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356, 721, </w:t>
            </w:r>
            <w:r>
              <w:rPr>
                <w:color w:val="000000"/>
                <w:spacing w:val="0"/>
                <w:w w:val="100"/>
                <w:position w:val="0"/>
                <w:sz w:val="16"/>
                <w:szCs w:val="16"/>
              </w:rPr>
              <w:t xml:space="preserve">195.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238,590,371.29</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344, </w:t>
            </w:r>
            <w:r>
              <w:rPr>
                <w:color w:val="000000"/>
                <w:spacing w:val="0"/>
                <w:w w:val="100"/>
                <w:position w:val="0"/>
                <w:sz w:val="16"/>
                <w:szCs w:val="16"/>
              </w:rPr>
              <w:t>091,278.38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222,678, </w:t>
            </w:r>
            <w:r>
              <w:rPr>
                <w:color w:val="000000"/>
                <w:spacing w:val="0"/>
                <w:w w:val="100"/>
                <w:position w:val="0"/>
                <w:sz w:val="16"/>
                <w:szCs w:val="16"/>
              </w:rPr>
              <w:t xml:space="preserve">730. </w:t>
            </w:r>
            <w:r>
              <w:rPr>
                <w:color w:val="000000"/>
                <w:spacing w:val="0"/>
                <w:w w:val="100"/>
                <w:position w:val="0"/>
                <w:sz w:val="16"/>
                <w:szCs w:val="16"/>
              </w:rPr>
              <w:t>61</w:t>
            </w:r>
          </w:p>
        </w:tc>
      </w:tr>
      <w:tr>
        <w:trPr>
          <w:trHeight w:val="326"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其中：合同产生的收入</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347,527,095.54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224, 992, </w:t>
            </w:r>
            <w:r>
              <w:rPr>
                <w:color w:val="000000"/>
                <w:spacing w:val="0"/>
                <w:w w:val="100"/>
                <w:position w:val="0"/>
                <w:sz w:val="16"/>
                <w:szCs w:val="16"/>
              </w:rPr>
              <w:t xml:space="preserve">051.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 xml:space="preserve">339, 399, </w:t>
            </w:r>
            <w:r>
              <w:rPr>
                <w:color w:val="000000"/>
                <w:spacing w:val="0"/>
                <w:w w:val="100"/>
                <w:position w:val="0"/>
                <w:sz w:val="16"/>
                <w:szCs w:val="16"/>
              </w:rPr>
              <w:t xml:space="preserve">775. </w:t>
            </w:r>
            <w:r>
              <w:rPr>
                <w:color w:val="000000"/>
                <w:spacing w:val="0"/>
                <w:w w:val="100"/>
                <w:position w:val="0"/>
                <w:sz w:val="16"/>
                <w:szCs w:val="16"/>
              </w:rPr>
              <w:t>54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360"/>
              <w:jc w:val="both"/>
              <w:rPr>
                <w:sz w:val="16"/>
                <w:szCs w:val="16"/>
              </w:rPr>
            </w:pPr>
            <w:r>
              <w:rPr>
                <w:color w:val="000000"/>
                <w:spacing w:val="0"/>
                <w:w w:val="100"/>
                <w:position w:val="0"/>
                <w:sz w:val="16"/>
                <w:szCs w:val="16"/>
              </w:rPr>
              <w:t>208,513,998.29</w:t>
            </w:r>
          </w:p>
        </w:tc>
      </w:tr>
      <w:tr>
        <w:trPr>
          <w:trHeight w:val="350" w:hRule="exact"/>
        </w:trPr>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left"/>
            </w:pPr>
            <w:r>
              <w:rPr>
                <w:color w:val="000000"/>
                <w:spacing w:val="0"/>
                <w:w w:val="100"/>
                <w:position w:val="0"/>
              </w:rPr>
              <w:t>其他收入</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9, 194, </w:t>
            </w:r>
            <w:r>
              <w:rPr>
                <w:color w:val="000000"/>
                <w:spacing w:val="0"/>
                <w:w w:val="100"/>
                <w:position w:val="0"/>
                <w:sz w:val="16"/>
                <w:szCs w:val="16"/>
              </w:rPr>
              <w:t xml:space="preserve">099. </w:t>
            </w:r>
            <w:r>
              <w:rPr>
                <w:color w:val="000000"/>
                <w:spacing w:val="0"/>
                <w:w w:val="100"/>
                <w:position w:val="0"/>
                <w:sz w:val="16"/>
                <w:szCs w:val="16"/>
              </w:rPr>
              <w:t>74</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13,598,319.45</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691,502.84</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14,164,732.32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25" w:name="bookmark1625"/>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5</w:t>
      </w:r>
      <w:bookmarkEnd w:id="1627"/>
      <w:r>
        <w:rPr>
          <w:color w:val="000000"/>
          <w:spacing w:val="0"/>
          <w:w w:val="100"/>
          <w:position w:val="0"/>
        </w:rPr>
        <w:t>、投资收益</w:t>
      </w:r>
      <w:bookmarkEnd w:id="1625"/>
      <w:bookmarkEnd w:id="1626"/>
      <w:bookmarkEnd w:id="162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62"/>
        <w:gridCol w:w="2726"/>
        <w:gridCol w:w="3197"/>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-126,780.92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-589,024.14</w:t>
            </w:r>
          </w:p>
        </w:tc>
      </w:tr>
      <w:tr>
        <w:trPr>
          <w:trHeight w:val="710" w:hRule="exact"/>
        </w:trPr>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 融资产在持有期间的投资收益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2,198,511.87</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326,217.72</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1,609,487.73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rPr>
        <w:t>6</w:t>
      </w:r>
      <w:bookmarkEnd w:id="1631"/>
      <w:r>
        <w:rPr>
          <w:color w:val="000000"/>
          <w:spacing w:val="0"/>
          <w:w w:val="100"/>
          <w:position w:val="0"/>
        </w:rPr>
        <w:t>、其他</w:t>
      </w:r>
      <w:bookmarkEnd w:id="1629"/>
      <w:bookmarkEnd w:id="1630"/>
      <w:bookmarkEnd w:id="1632"/>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合同资产：</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)合同资产按性质分析如下:</w:t>
      </w: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4670"/>
        <w:gridCol w:w="2501"/>
        <w:gridCol w:w="2506"/>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提供服务产生的合同资产</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74,963,803.08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52,307,406.05</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减：减值准备</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4,497,828.18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2,960,796.56</w:t>
            </w:r>
          </w:p>
        </w:tc>
      </w:tr>
      <w:tr>
        <w:trPr>
          <w:trHeight w:val="35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70,465,974.90</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49,346,609.49</w:t>
            </w:r>
          </w:p>
        </w:tc>
      </w:tr>
    </w:tbl>
    <w:p>
      <w:pPr>
        <w:pStyle w:val="Style3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本公司的合同资产主要涉及在资产负债表日本公司与不同客户的服务合同。本公司根据合同约定履行服务义务，并按约定收 取款项。当本公司取得该无条件收取对价的权利时，合同资产将转为应收账款。</w:t>
      </w:r>
    </w:p>
    <w:p>
      <w:pPr>
        <w:pStyle w:val="Style21"/>
        <w:keepNext w:val="0"/>
        <w:keepLines w:val="0"/>
        <w:widowControl w:val="0"/>
        <w:shd w:val="clear" w:color="auto" w:fill="auto"/>
        <w:bidi w:val="0"/>
        <w:spacing w:before="0" w:after="120" w:line="240" w:lineRule="auto"/>
        <w:ind w:left="0" w:right="0" w:firstLine="1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)合同资产本年的重大变动:</w:t>
      </w: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4848"/>
        <w:gridCol w:w="4829"/>
      </w:tblGrid>
      <w:tr>
        <w:trPr>
          <w:trHeight w:val="355"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24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r>
      <w:tr>
        <w:trPr>
          <w:trHeight w:val="35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原收入准则下的年初余额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首次执行新收入准则的调整金额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52,307,406.05</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从年初确认的合同资产于本年结算并收款</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-1,246,000.00</w:t>
            </w:r>
          </w:p>
        </w:tc>
      </w:tr>
      <w:tr>
        <w:trPr>
          <w:trHeight w:val="346"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由于履约进度计量的变化而增加的金额</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23,902,397.03</w:t>
            </w:r>
          </w:p>
        </w:tc>
      </w:tr>
      <w:tr>
        <w:trPr>
          <w:trHeight w:val="360"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年末金额</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3660" w:right="0" w:firstLine="0"/>
              <w:jc w:val="left"/>
              <w:rPr>
                <w:sz w:val="18"/>
                <w:szCs w:val="18"/>
              </w:rPr>
            </w:pPr>
            <w:r>
              <w:rPr>
                <w:rFonts w:ascii="Times New Roman" w:eastAsia="Times New Roman" w:hAnsi="Times New Roman" w:cs="Times New Roman"/>
                <w:color w:val="000000"/>
                <w:spacing w:val="0"/>
                <w:w w:val="100"/>
                <w:position w:val="0"/>
                <w:sz w:val="18"/>
                <w:szCs w:val="18"/>
              </w:rPr>
              <w:t>74,963,803.08</w:t>
            </w:r>
          </w:p>
        </w:tc>
      </w:tr>
    </w:tbl>
    <w:p>
      <w:pPr>
        <w:pStyle w:val="Style37"/>
        <w:keepNext w:val="0"/>
        <w:keepLines w:val="0"/>
        <w:widowControl w:val="0"/>
        <w:shd w:val="clear" w:color="auto" w:fill="auto"/>
        <w:bidi w:val="0"/>
        <w:spacing w:before="0" w:after="0" w:line="240" w:lineRule="auto"/>
        <w:ind w:left="67"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)本年合同资产计提减值准备情况</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8894" w:right="0" w:firstLine="0"/>
        <w:jc w:val="left"/>
      </w:pPr>
      <w:r>
        <w:rPr>
          <w:color w:val="000000"/>
          <w:spacing w:val="0"/>
          <w:w w:val="100"/>
          <w:position w:val="0"/>
        </w:rPr>
        <w:t>单位：元</w:t>
      </w:r>
    </w:p>
    <w:tbl>
      <w:tblPr>
        <w:tblOverlap w:val="never"/>
        <w:jc w:val="center"/>
        <w:tblLayout w:type="fixed"/>
      </w:tblPr>
      <w:tblGrid>
        <w:gridCol w:w="2203"/>
        <w:gridCol w:w="2779"/>
        <w:gridCol w:w="1560"/>
        <w:gridCol w:w="1565"/>
        <w:gridCol w:w="1570"/>
      </w:tblGrid>
      <w:tr>
        <w:trPr>
          <w:trHeight w:val="36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首次执行新收入准则的调整金额</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本年计提</w:t>
            </w:r>
          </w:p>
        </w:tc>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本年转回</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r>
    </w:tbl>
    <w:p>
      <w:pPr>
        <w:widowControl w:val="0"/>
        <w:spacing w:line="1" w:lineRule="exact"/>
      </w:pPr>
      <w:r>
        <w:br w:type="page"/>
      </w:r>
    </w:p>
    <w:tbl>
      <w:tblPr>
        <w:tblOverlap w:val="never"/>
        <w:jc w:val="center"/>
        <w:tblLayout w:type="fixed"/>
      </w:tblPr>
      <w:tblGrid>
        <w:gridCol w:w="2203"/>
        <w:gridCol w:w="2779"/>
        <w:gridCol w:w="1560"/>
        <w:gridCol w:w="1565"/>
        <w:gridCol w:w="1570"/>
      </w:tblGrid>
      <w:tr>
        <w:trPr>
          <w:trHeight w:val="379"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提供服务产生的合同资产</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2,960,796.56</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1,576,225.37</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39,193.75</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4,497,828.18</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both"/>
      </w:pPr>
      <w:bookmarkStart w:id="1633" w:name="bookmark1633"/>
      <w:bookmarkStart w:id="1634" w:name="bookmark1634"/>
      <w:bookmarkStart w:id="1635" w:name="bookmark1635"/>
      <w:r>
        <w:rPr>
          <w:color w:val="000000"/>
          <w:spacing w:val="0"/>
          <w:w w:val="100"/>
          <w:position w:val="0"/>
        </w:rPr>
        <w:t>十七、补充资料</w:t>
      </w:r>
      <w:bookmarkEnd w:id="1633"/>
      <w:bookmarkEnd w:id="1634"/>
      <w:bookmarkEnd w:id="1635"/>
    </w:p>
    <w:p>
      <w:pPr>
        <w:pStyle w:val="Style34"/>
        <w:keepNext/>
        <w:keepLines/>
        <w:widowControl w:val="0"/>
        <w:shd w:val="clear" w:color="auto" w:fill="auto"/>
        <w:bidi w:val="0"/>
        <w:spacing w:before="0" w:after="340" w:line="240" w:lineRule="auto"/>
        <w:ind w:left="0" w:right="0" w:firstLine="0"/>
        <w:jc w:val="both"/>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636"/>
      <w:bookmarkEnd w:id="1637"/>
      <w:bookmarkEnd w:id="1638"/>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362"/>
        <w:gridCol w:w="2126"/>
        <w:gridCol w:w="2098"/>
      </w:tblGrid>
      <w:tr>
        <w:trPr>
          <w:trHeight w:val="40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-99,622.82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计入当期损益的政府补助（与企业业务密切相关，按照国家统一标 准定额或定量享受的政府补助除外）</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21,238,974.97</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102,739.72</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除同公司正常经营业务相关的有效套期保值业务外，持有交易性金 融资产、衍生金融资产、交易性金融负债、衍生金融负债产生的公 允价值变动损益，以及处置交易性金融资产、衍生金融资产、交易 性金融负债、衍生金融负债和其他债权投资取得的投资收益</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452,998.64</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108,571.76</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3,591,961.38</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171,493.89</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18,040,207.00</w:t>
            </w:r>
          </w:p>
        </w:tc>
        <w:tc>
          <w:tcPr>
            <w:tcBorders>
              <w:top w:val="single" w:sz="4"/>
              <w:left w:val="single" w:sz="4"/>
              <w:bottom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1"/>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 目，应说明原因。</w:t>
      </w:r>
    </w:p>
    <w:p>
      <w:pPr>
        <w:pStyle w:val="Style21"/>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40" w:line="240" w:lineRule="auto"/>
        <w:ind w:left="0" w:right="0" w:firstLine="0"/>
        <w:jc w:val="both"/>
      </w:pPr>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639"/>
      <w:bookmarkEnd w:id="1640"/>
      <w:bookmarkEnd w:id="1641"/>
    </w:p>
    <w:tbl>
      <w:tblPr>
        <w:tblOverlap w:val="never"/>
        <w:jc w:val="center"/>
        <w:tblLayout w:type="fixed"/>
      </w:tblPr>
      <w:tblGrid>
        <w:gridCol w:w="3235"/>
        <w:gridCol w:w="2410"/>
        <w:gridCol w:w="2016"/>
        <w:gridCol w:w="1925"/>
      </w:tblGrid>
      <w:tr>
        <w:trPr>
          <w:trHeight w:val="403" w:hRule="exact"/>
        </w:trPr>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c>
          <w:tcPr>
            <w:tcBorders>
              <w:top w:val="single" w:sz="4"/>
              <w:lef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0.2991</w:t>
            </w:r>
          </w:p>
        </w:tc>
        <w:tc>
          <w:tcPr>
            <w:tcBorders>
              <w:top w:val="single" w:sz="4"/>
              <w:left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0.2991</w:t>
            </w:r>
          </w:p>
        </w:tc>
      </w:tr>
      <w:tr>
        <w:trPr>
          <w:trHeight w:val="725" w:hRule="exact"/>
        </w:trPr>
        <w:tc>
          <w:tcPr>
            <w:tcBorders>
              <w:top w:val="single" w:sz="4"/>
              <w:left w:val="single" w:sz="4"/>
              <w:bottom w:val="single" w:sz="4"/>
            </w:tcBorders>
            <w:shd w:val="clear" w:color="auto" w:fill="D3D3D3"/>
            <w:vAlign w:val="center"/>
          </w:tcPr>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 股东的净利润</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bottom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0.1761</w:t>
            </w:r>
          </w:p>
        </w:tc>
        <w:tc>
          <w:tcPr>
            <w:tcBorders>
              <w:top w:val="single" w:sz="4"/>
              <w:left w:val="single" w:sz="4"/>
              <w:bottom w:val="single" w:sz="4"/>
              <w:right w:val="single" w:sz="4"/>
            </w:tcBorders>
            <w:shd w:val="clear" w:color="auto" w:fill="FFFFFF"/>
            <w:vAlign w:val="center"/>
          </w:tcPr>
          <w:p>
            <w:pPr>
              <w:pStyle w:val="Style27"/>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0.1761</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both"/>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3</w:t>
      </w:r>
      <w:bookmarkEnd w:id="1644"/>
      <w:r>
        <w:rPr>
          <w:color w:val="000000"/>
          <w:spacing w:val="0"/>
          <w:w w:val="100"/>
          <w:position w:val="0"/>
        </w:rPr>
        <w:t>、境内外会计准则下会计数据差异</w:t>
      </w:r>
      <w:bookmarkEnd w:id="1642"/>
      <w:bookmarkEnd w:id="1643"/>
      <w:bookmarkEnd w:id="1645"/>
    </w:p>
    <w:p>
      <w:pPr>
        <w:pStyle w:val="Style34"/>
        <w:keepNext/>
        <w:keepLines/>
        <w:widowControl w:val="0"/>
        <w:shd w:val="clear" w:color="auto" w:fill="auto"/>
        <w:bidi w:val="0"/>
        <w:spacing w:before="0" w:after="340" w:line="240" w:lineRule="auto"/>
        <w:ind w:left="0" w:right="0" w:firstLine="0"/>
        <w:jc w:val="both"/>
      </w:pPr>
      <w:bookmarkStart w:id="1642" w:name="bookmark1642"/>
      <w:bookmarkStart w:id="1643" w:name="bookmark1643"/>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1642"/>
      <w:bookmarkEnd w:id="1643"/>
      <w:bookmarkEnd w:id="1646"/>
    </w:p>
    <w:p>
      <w:pPr>
        <w:pStyle w:val="Style21"/>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)同时按照境外会计准则与按中国会计准则披露的财务报告中净利润和净资产差异情况</w:t>
      </w:r>
    </w:p>
    <w:p>
      <w:pPr>
        <w:pStyle w:val="Style2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2"/>
        <w:keepNext w:val="0"/>
        <w:keepLines w:val="0"/>
        <w:widowControl w:val="0"/>
        <w:numPr>
          <w:ilvl w:val="0"/>
          <w:numId w:val="79"/>
        </w:numPr>
        <w:shd w:val="clear" w:color="auto" w:fill="auto"/>
        <w:bidi w:val="0"/>
        <w:spacing w:before="0" w:after="380" w:line="331" w:lineRule="exact"/>
        <w:ind w:left="0" w:right="0" w:firstLine="0"/>
        <w:jc w:val="left"/>
      </w:pPr>
      <w:bookmarkStart w:id="1647" w:name="bookmark1647"/>
      <w:bookmarkEnd w:id="1647"/>
      <w:r>
        <w:rPr>
          <w:color w:val="000000"/>
          <w:spacing w:val="0"/>
          <w:w w:val="100"/>
          <w:position w:val="0"/>
        </w:rPr>
        <w:t>境内外会计准则下会计数据差异原因说明，对已经境外审计机构审计的数据进行差异调节的，应注 明该境外机构的名称</w:t>
      </w:r>
    </w:p>
    <w:p>
      <w:pPr>
        <w:pStyle w:val="Style21"/>
        <w:keepNext w:val="0"/>
        <w:keepLines w:val="0"/>
        <w:widowControl w:val="0"/>
        <w:shd w:val="clear" w:color="auto" w:fill="auto"/>
        <w:bidi w:val="0"/>
        <w:spacing w:before="0" w:after="380" w:line="240" w:lineRule="auto"/>
        <w:ind w:left="0" w:right="0" w:firstLine="0"/>
        <w:jc w:val="left"/>
        <w:sectPr>
          <w:headerReference w:type="default" r:id="rId307"/>
          <w:footerReference w:type="default" r:id="rId308"/>
          <w:headerReference w:type="even" r:id="rId309"/>
          <w:footerReference w:type="even" r:id="rId310"/>
          <w:headerReference w:type="first" r:id="rId311"/>
          <w:footerReference w:type="first" r:id="rId312"/>
          <w:footnotePr>
            <w:pos w:val="pageBottom"/>
            <w:numFmt w:val="decimal"/>
            <w:numRestart w:val="continuous"/>
          </w:footnotePr>
          <w:pgSz w:w="11900" w:h="16840"/>
          <w:pgMar w:top="1534" w:right="980" w:bottom="1367" w:left="1003" w:header="0" w:footer="3" w:gutter="0"/>
          <w:cols w:space="720"/>
          <w:noEndnote/>
          <w:titlePg/>
          <w:rtlGutter w:val="0"/>
          <w:docGrid w:linePitch="360"/>
        </w:sectPr>
      </w:pPr>
      <w:r>
        <w:rPr>
          <w:color w:val="000000"/>
          <w:spacing w:val="0"/>
          <w:w w:val="100"/>
          <w:position w:val="0"/>
        </w:rPr>
        <w:t>无。</w:t>
      </w:r>
    </w:p>
    <w:p>
      <w:pPr>
        <w:pStyle w:val="Style8"/>
        <w:keepNext/>
        <w:keepLines/>
        <w:widowControl w:val="0"/>
        <w:shd w:val="clear" w:color="auto" w:fill="auto"/>
        <w:bidi w:val="0"/>
        <w:spacing w:before="0" w:after="600" w:line="240" w:lineRule="auto"/>
        <w:ind w:left="0" w:right="0" w:firstLine="0"/>
        <w:jc w:val="center"/>
      </w:pPr>
      <w:bookmarkStart w:id="1648" w:name="bookmark1648"/>
      <w:bookmarkStart w:id="1649" w:name="bookmark1649"/>
      <w:bookmarkStart w:id="1650" w:name="bookmark1650"/>
      <w:r>
        <w:rPr>
          <w:color w:val="000000"/>
          <w:spacing w:val="0"/>
          <w:w w:val="100"/>
          <w:position w:val="0"/>
        </w:rPr>
        <w:t>第十三节备查文件目录</w:t>
      </w:r>
      <w:bookmarkEnd w:id="1648"/>
      <w:bookmarkEnd w:id="1649"/>
      <w:bookmarkEnd w:id="1650"/>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1651" w:name="bookmark1651"/>
      <w:r>
        <w:rPr>
          <w:color w:val="000000"/>
          <w:spacing w:val="0"/>
          <w:w w:val="100"/>
          <w:position w:val="0"/>
        </w:rPr>
        <w:t>一</w:t>
      </w:r>
      <w:bookmarkEnd w:id="1651"/>
      <w:r>
        <w:rPr>
          <w:color w:val="000000"/>
          <w:spacing w:val="0"/>
          <w:w w:val="100"/>
          <w:position w:val="0"/>
        </w:rPr>
        <w:t>、</w:t>
        <w:tab/>
        <w:t>载有公司负责人、主管会计工作负责人、会计机构负责人（会计主管人员）签名并盖章的财务报表。</w:t>
      </w:r>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1652" w:name="bookmark1652"/>
      <w:r>
        <w:rPr>
          <w:color w:val="000000"/>
          <w:spacing w:val="0"/>
          <w:w w:val="100"/>
          <w:position w:val="0"/>
        </w:rPr>
        <w:t>二</w:t>
      </w:r>
      <w:bookmarkEnd w:id="1652"/>
      <w:r>
        <w:rPr>
          <w:color w:val="000000"/>
          <w:spacing w:val="0"/>
          <w:w w:val="100"/>
          <w:position w:val="0"/>
        </w:rPr>
        <w:t>、</w:t>
        <w:tab/>
        <w:t>载有会计师事务所盖章、注册会计师签名并盖章的审计报告原件。</w:t>
      </w:r>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1653" w:name="bookmark1653"/>
      <w:r>
        <w:rPr>
          <w:color w:val="000000"/>
          <w:spacing w:val="0"/>
          <w:w w:val="100"/>
          <w:position w:val="0"/>
        </w:rPr>
        <w:t>三</w:t>
      </w:r>
      <w:bookmarkEnd w:id="1653"/>
      <w:r>
        <w:rPr>
          <w:color w:val="000000"/>
          <w:spacing w:val="0"/>
          <w:w w:val="100"/>
          <w:position w:val="0"/>
        </w:rPr>
        <w:t>、</w:t>
        <w:tab/>
        <w:t>报告期内在中国证监会指定网站上公开披露过的所有公司文件的正本及公告的原稿。</w:t>
      </w:r>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1654" w:name="bookmark1654"/>
      <w:r>
        <w:rPr>
          <w:color w:val="000000"/>
          <w:spacing w:val="0"/>
          <w:w w:val="100"/>
          <w:position w:val="0"/>
        </w:rPr>
        <w:t>四</w:t>
      </w:r>
      <w:bookmarkEnd w:id="1654"/>
      <w:r>
        <w:rPr>
          <w:color w:val="000000"/>
          <w:spacing w:val="0"/>
          <w:w w:val="100"/>
          <w:position w:val="0"/>
        </w:rPr>
        <w:t>、</w:t>
        <w:tab/>
        <w:t>载有法定代表人签名的公司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年年度报告文本。</w:t>
      </w:r>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1655" w:name="bookmark1655"/>
      <w:r>
        <w:rPr>
          <w:color w:val="000000"/>
          <w:spacing w:val="0"/>
          <w:w w:val="100"/>
          <w:position w:val="0"/>
        </w:rPr>
        <w:t>五</w:t>
      </w:r>
      <w:bookmarkEnd w:id="1655"/>
      <w:r>
        <w:rPr>
          <w:color w:val="000000"/>
          <w:spacing w:val="0"/>
          <w:w w:val="100"/>
          <w:position w:val="0"/>
        </w:rPr>
        <w:t>、</w:t>
        <w:tab/>
        <w:t>其他备查文件。</w:t>
      </w:r>
    </w:p>
    <w:p>
      <w:pPr>
        <w:pStyle w:val="Style21"/>
        <w:keepNext w:val="0"/>
        <w:keepLines w:val="0"/>
        <w:widowControl w:val="0"/>
        <w:shd w:val="clear" w:color="auto" w:fill="auto"/>
        <w:tabs>
          <w:tab w:pos="430" w:val="left"/>
        </w:tabs>
        <w:bidi w:val="0"/>
        <w:spacing w:before="0" w:after="100" w:line="240" w:lineRule="auto"/>
        <w:ind w:left="0" w:right="0" w:firstLine="0"/>
        <w:jc w:val="left"/>
      </w:pPr>
      <w:bookmarkStart w:id="1656" w:name="bookmark1656"/>
      <w:r>
        <w:rPr>
          <w:color w:val="000000"/>
          <w:spacing w:val="0"/>
          <w:w w:val="100"/>
          <w:position w:val="0"/>
        </w:rPr>
        <w:t>六</w:t>
      </w:r>
      <w:bookmarkEnd w:id="1656"/>
      <w:r>
        <w:rPr>
          <w:color w:val="000000"/>
          <w:spacing w:val="0"/>
          <w:w w:val="100"/>
          <w:position w:val="0"/>
        </w:rPr>
        <w:t>、</w:t>
        <w:tab/>
        <w:t>以上文件的备置地点：公司董事会办公室。</w:t>
      </w:r>
    </w:p>
    <w:sectPr>
      <w:headerReference w:type="default" r:id="rId313"/>
      <w:footerReference w:type="default" r:id="rId314"/>
      <w:headerReference w:type="even" r:id="rId315"/>
      <w:footerReference w:type="even" r:id="rId316"/>
      <w:footnotePr>
        <w:pos w:val="pageBottom"/>
        <w:numFmt w:val="decimal"/>
        <w:numRestart w:val="continuous"/>
      </w:footnotePr>
      <w:pgSz w:w="11900" w:h="16840"/>
      <w:pgMar w:top="2026" w:right="1114" w:bottom="202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6740525</wp:posOffset>
              </wp:positionH>
              <wp:positionV relativeFrom="page">
                <wp:posOffset>10163810</wp:posOffset>
              </wp:positionV>
              <wp:extent cx="97790" cy="79375"/>
              <wp:wrapNone/>
              <wp:docPr id="5" name="Shape 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0.75pt;margin-top:800.30000000000007pt;width:7.7000000000000002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6727825</wp:posOffset>
              </wp:positionH>
              <wp:positionV relativeFrom="page">
                <wp:posOffset>9975215</wp:posOffset>
              </wp:positionV>
              <wp:extent cx="85090" cy="79375"/>
              <wp:wrapNone/>
              <wp:docPr id="67" name="Shape 6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3" type="#_x0000_t202" style="position:absolute;margin-left:529.75pt;margin-top:785.45000000000005pt;width:6.7000000000000002pt;height:6.25pt;z-index:-1887440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8" behindDoc="1" locked="0" layoutInCell="1" allowOverlap="1">
              <wp:simplePos x="0" y="0"/>
              <wp:positionH relativeFrom="page">
                <wp:posOffset>6724650</wp:posOffset>
              </wp:positionH>
              <wp:positionV relativeFrom="page">
                <wp:posOffset>9955530</wp:posOffset>
              </wp:positionV>
              <wp:extent cx="106680" cy="79375"/>
              <wp:wrapNone/>
              <wp:docPr id="609" name="Shape 60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5" type="#_x0000_t202" style="position:absolute;margin-left:529.5pt;margin-top:783.89999999999998pt;width:8.4000000000000004pt;height:6.25pt;z-index:-18874362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6724650</wp:posOffset>
              </wp:positionH>
              <wp:positionV relativeFrom="page">
                <wp:posOffset>9955530</wp:posOffset>
              </wp:positionV>
              <wp:extent cx="106680" cy="79375"/>
              <wp:wrapNone/>
              <wp:docPr id="614" name="Shape 61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0" type="#_x0000_t202" style="position:absolute;margin-left:529.5pt;margin-top:783.89999999999998pt;width:8.4000000000000004pt;height:6.25pt;z-index:-1887436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6740525</wp:posOffset>
              </wp:positionH>
              <wp:positionV relativeFrom="page">
                <wp:posOffset>10163810</wp:posOffset>
              </wp:positionV>
              <wp:extent cx="97790" cy="79375"/>
              <wp:wrapNone/>
              <wp:docPr id="619" name="Shape 6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530.75pt;margin-top:800.30000000000007pt;width:7.7000000000000002pt;height:6.25pt;z-index:-1887436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6675120</wp:posOffset>
              </wp:positionH>
              <wp:positionV relativeFrom="page">
                <wp:posOffset>10014585</wp:posOffset>
              </wp:positionV>
              <wp:extent cx="155575" cy="79375"/>
              <wp:wrapNone/>
              <wp:docPr id="629" name="Shape 62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55" type="#_x0000_t202" style="position:absolute;margin-left:525.60000000000002pt;margin-top:788.55000000000007pt;width:12.25pt;height:6.25pt;z-index:-1887436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8" behindDoc="1" locked="0" layoutInCell="1" allowOverlap="1">
              <wp:simplePos x="0" y="0"/>
              <wp:positionH relativeFrom="page">
                <wp:posOffset>6675120</wp:posOffset>
              </wp:positionH>
              <wp:positionV relativeFrom="page">
                <wp:posOffset>10014585</wp:posOffset>
              </wp:positionV>
              <wp:extent cx="155575" cy="79375"/>
              <wp:wrapNone/>
              <wp:docPr id="637" name="Shape 63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63" type="#_x0000_t202" style="position:absolute;margin-left:525.60000000000002pt;margin-top:788.55000000000007pt;width:12.25pt;height:6.25pt;z-index:-1887436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4" behindDoc="1" locked="0" layoutInCell="1" allowOverlap="1">
              <wp:simplePos x="0" y="0"/>
              <wp:positionH relativeFrom="page">
                <wp:posOffset>6675120</wp:posOffset>
              </wp:positionH>
              <wp:positionV relativeFrom="page">
                <wp:posOffset>10014585</wp:posOffset>
              </wp:positionV>
              <wp:extent cx="155575" cy="79375"/>
              <wp:wrapNone/>
              <wp:docPr id="645" name="Shape 64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1" type="#_x0000_t202" style="position:absolute;margin-left:525.60000000000002pt;margin-top:788.55000000000007pt;width:12.25pt;height:6.25pt;z-index:-1887435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0" behindDoc="1" locked="0" layoutInCell="1" allowOverlap="1">
              <wp:simplePos x="0" y="0"/>
              <wp:positionH relativeFrom="page">
                <wp:posOffset>6675120</wp:posOffset>
              </wp:positionH>
              <wp:positionV relativeFrom="page">
                <wp:posOffset>10014585</wp:posOffset>
              </wp:positionV>
              <wp:extent cx="155575" cy="79375"/>
              <wp:wrapNone/>
              <wp:docPr id="653" name="Shape 65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79" type="#_x0000_t202" style="position:absolute;margin-left:525.60000000000002pt;margin-top:788.55000000000007pt;width:12.25pt;height:6.25pt;z-index:-1887435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6694805</wp:posOffset>
              </wp:positionH>
              <wp:positionV relativeFrom="page">
                <wp:posOffset>9951085</wp:posOffset>
              </wp:positionV>
              <wp:extent cx="149225" cy="79375"/>
              <wp:wrapNone/>
              <wp:docPr id="658" name="Shape 658"/>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84" type="#_x0000_t202" style="position:absolute;margin-left:527.14999999999998pt;margin-top:783.55000000000007pt;width:11.75pt;height:6.25pt;z-index:-1887435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6675120</wp:posOffset>
              </wp:positionH>
              <wp:positionV relativeFrom="page">
                <wp:posOffset>10014585</wp:posOffset>
              </wp:positionV>
              <wp:extent cx="155575" cy="79375"/>
              <wp:wrapNone/>
              <wp:docPr id="666" name="Shape 66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92" type="#_x0000_t202" style="position:absolute;margin-left:525.60000000000002pt;margin-top:788.55000000000007pt;width:12.25pt;height:6.25pt;z-index:-1887435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6675120</wp:posOffset>
              </wp:positionH>
              <wp:positionV relativeFrom="page">
                <wp:posOffset>10014585</wp:posOffset>
              </wp:positionV>
              <wp:extent cx="155575" cy="79375"/>
              <wp:wrapNone/>
              <wp:docPr id="674" name="Shape 67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0" type="#_x0000_t202" style="position:absolute;margin-left:525.60000000000002pt;margin-top:788.55000000000007pt;width:12.25pt;height:6.25pt;z-index:-18874357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6727825</wp:posOffset>
              </wp:positionH>
              <wp:positionV relativeFrom="page">
                <wp:posOffset>9975215</wp:posOffset>
              </wp:positionV>
              <wp:extent cx="85090" cy="79375"/>
              <wp:wrapNone/>
              <wp:docPr id="75" name="Shape 7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29.75pt;margin-top:785.45000000000005pt;width:6.7000000000000002pt;height:6.25pt;z-index:-1887440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6694805</wp:posOffset>
              </wp:positionH>
              <wp:positionV relativeFrom="page">
                <wp:posOffset>9951085</wp:posOffset>
              </wp:positionV>
              <wp:extent cx="149225" cy="79375"/>
              <wp:wrapNone/>
              <wp:docPr id="679" name="Shape 67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05" type="#_x0000_t202" style="position:absolute;margin-left:527.14999999999998pt;margin-top:783.55000000000007pt;width:11.75pt;height:6.25pt;z-index:-1887435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6675120</wp:posOffset>
              </wp:positionH>
              <wp:positionV relativeFrom="page">
                <wp:posOffset>10014585</wp:posOffset>
              </wp:positionV>
              <wp:extent cx="155575" cy="79375"/>
              <wp:wrapNone/>
              <wp:docPr id="687" name="Shape 68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13" type="#_x0000_t202" style="position:absolute;margin-left:525.60000000000002pt;margin-top:788.55000000000007pt;width:12.25pt;height:6.25pt;z-index:-18874356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6675120</wp:posOffset>
              </wp:positionH>
              <wp:positionV relativeFrom="page">
                <wp:posOffset>10014585</wp:posOffset>
              </wp:positionV>
              <wp:extent cx="155575" cy="79375"/>
              <wp:wrapNone/>
              <wp:docPr id="695" name="Shape 69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1" type="#_x0000_t202" style="position:absolute;margin-left:525.60000000000002pt;margin-top:788.55000000000007pt;width:12.25pt;height:6.25pt;z-index:-1887435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6694805</wp:posOffset>
              </wp:positionH>
              <wp:positionV relativeFrom="page">
                <wp:posOffset>9951085</wp:posOffset>
              </wp:positionV>
              <wp:extent cx="149225" cy="79375"/>
              <wp:wrapNone/>
              <wp:docPr id="700" name="Shape 700"/>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26" type="#_x0000_t202" style="position:absolute;margin-left:527.14999999999998pt;margin-top:783.55000000000007pt;width:11.75pt;height:6.25pt;z-index:-18874355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6675120</wp:posOffset>
              </wp:positionH>
              <wp:positionV relativeFrom="page">
                <wp:posOffset>10014585</wp:posOffset>
              </wp:positionV>
              <wp:extent cx="155575" cy="79375"/>
              <wp:wrapNone/>
              <wp:docPr id="708" name="Shape 7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4" type="#_x0000_t202" style="position:absolute;margin-left:525.60000000000002pt;margin-top:788.55000000000007pt;width:12.25pt;height:6.25pt;z-index:-1887435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6694805</wp:posOffset>
              </wp:positionH>
              <wp:positionV relativeFrom="page">
                <wp:posOffset>9951085</wp:posOffset>
              </wp:positionV>
              <wp:extent cx="149225" cy="79375"/>
              <wp:wrapNone/>
              <wp:docPr id="713" name="Shape 713"/>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39" type="#_x0000_t202" style="position:absolute;margin-left:527.14999999999998pt;margin-top:783.55000000000007pt;width:11.75pt;height:6.25pt;z-index:-18874354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6687185</wp:posOffset>
              </wp:positionH>
              <wp:positionV relativeFrom="page">
                <wp:posOffset>10139680</wp:posOffset>
              </wp:positionV>
              <wp:extent cx="146050" cy="79375"/>
              <wp:wrapNone/>
              <wp:docPr id="715" name="Shape 71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1" type="#_x0000_t202" style="position:absolute;margin-left:526.54999999999995pt;margin-top:798.39999999999998pt;width:11.5pt;height:6.25pt;z-index:-1887435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0" behindDoc="1" locked="0" layoutInCell="1" allowOverlap="1">
              <wp:simplePos x="0" y="0"/>
              <wp:positionH relativeFrom="page">
                <wp:posOffset>6687185</wp:posOffset>
              </wp:positionH>
              <wp:positionV relativeFrom="page">
                <wp:posOffset>10139680</wp:posOffset>
              </wp:positionV>
              <wp:extent cx="146050" cy="79375"/>
              <wp:wrapNone/>
              <wp:docPr id="717" name="Shape 717"/>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43" type="#_x0000_t202" style="position:absolute;margin-left:526.54999999999995pt;margin-top:798.39999999999998pt;width:11.5pt;height:6.25pt;z-index:-1887435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6" behindDoc="1" locked="0" layoutInCell="1" allowOverlap="1">
              <wp:simplePos x="0" y="0"/>
              <wp:positionH relativeFrom="page">
                <wp:posOffset>6675120</wp:posOffset>
              </wp:positionH>
              <wp:positionV relativeFrom="page">
                <wp:posOffset>10014585</wp:posOffset>
              </wp:positionV>
              <wp:extent cx="155575" cy="79375"/>
              <wp:wrapNone/>
              <wp:docPr id="725" name="Shape 72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51" type="#_x0000_t202" style="position:absolute;margin-left:525.60000000000002pt;margin-top:788.55000000000007pt;width:12.25pt;height:6.25pt;z-index:-1887435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6740525</wp:posOffset>
              </wp:positionH>
              <wp:positionV relativeFrom="page">
                <wp:posOffset>10163810</wp:posOffset>
              </wp:positionV>
              <wp:extent cx="97790" cy="79375"/>
              <wp:wrapNone/>
              <wp:docPr id="736" name="Shape 73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2" type="#_x0000_t202" style="position:absolute;margin-left:530.75pt;margin-top:800.30000000000007pt;width:7.7000000000000002pt;height:6.25pt;z-index:-1887435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6724650</wp:posOffset>
              </wp:positionH>
              <wp:positionV relativeFrom="page">
                <wp:posOffset>9980930</wp:posOffset>
              </wp:positionV>
              <wp:extent cx="97790" cy="79375"/>
              <wp:wrapNone/>
              <wp:docPr id="80" name="Shape 8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529.5pt;margin-top:785.89999999999998pt;width:7.7000000000000002pt;height:6.25pt;z-index:-1887440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6740525</wp:posOffset>
              </wp:positionH>
              <wp:positionV relativeFrom="page">
                <wp:posOffset>10163810</wp:posOffset>
              </wp:positionV>
              <wp:extent cx="97790" cy="79375"/>
              <wp:wrapNone/>
              <wp:docPr id="741" name="Shape 7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67" type="#_x0000_t202" style="position:absolute;margin-left:530.75pt;margin-top:800.30000000000007pt;width:7.7000000000000002pt;height:6.25pt;z-index:-1887435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6688455</wp:posOffset>
              </wp:positionH>
              <wp:positionV relativeFrom="page">
                <wp:posOffset>9885045</wp:posOffset>
              </wp:positionV>
              <wp:extent cx="155575" cy="79375"/>
              <wp:wrapNone/>
              <wp:docPr id="749" name="Shape 74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75" type="#_x0000_t202" style="position:absolute;margin-left:526.64999999999998pt;margin-top:778.35000000000002pt;width:12.25pt;height:6.25pt;z-index:-1887435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6675120</wp:posOffset>
              </wp:positionH>
              <wp:positionV relativeFrom="page">
                <wp:posOffset>10014585</wp:posOffset>
              </wp:positionV>
              <wp:extent cx="155575" cy="79375"/>
              <wp:wrapNone/>
              <wp:docPr id="757" name="Shape 7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83" type="#_x0000_t202" style="position:absolute;margin-left:525.60000000000002pt;margin-top:788.55000000000007pt;width:12.25pt;height:6.25pt;z-index:-1887435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6675120</wp:posOffset>
              </wp:positionH>
              <wp:positionV relativeFrom="page">
                <wp:posOffset>10014585</wp:posOffset>
              </wp:positionV>
              <wp:extent cx="155575" cy="79375"/>
              <wp:wrapNone/>
              <wp:docPr id="765" name="Shape 7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1" type="#_x0000_t202" style="position:absolute;margin-left:525.60000000000002pt;margin-top:788.55000000000007pt;width:12.25pt;height:6.25pt;z-index:-18874351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6675120</wp:posOffset>
              </wp:positionH>
              <wp:positionV relativeFrom="page">
                <wp:posOffset>10014585</wp:posOffset>
              </wp:positionV>
              <wp:extent cx="155575" cy="79375"/>
              <wp:wrapNone/>
              <wp:docPr id="773" name="Shape 7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799" type="#_x0000_t202" style="position:absolute;margin-left:525.60000000000002pt;margin-top:788.55000000000007pt;width:12.25pt;height:6.25pt;z-index:-18874350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6675120</wp:posOffset>
              </wp:positionH>
              <wp:positionV relativeFrom="page">
                <wp:posOffset>10014585</wp:posOffset>
              </wp:positionV>
              <wp:extent cx="155575" cy="79375"/>
              <wp:wrapNone/>
              <wp:docPr id="781" name="Shape 781"/>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07" type="#_x0000_t202" style="position:absolute;margin-left:525.60000000000002pt;margin-top:788.55000000000007pt;width:12.25pt;height:6.25pt;z-index:-1887434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6740525</wp:posOffset>
              </wp:positionH>
              <wp:positionV relativeFrom="page">
                <wp:posOffset>10163810</wp:posOffset>
              </wp:positionV>
              <wp:extent cx="97790" cy="79375"/>
              <wp:wrapNone/>
              <wp:docPr id="786" name="Shape 78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12" type="#_x0000_t202" style="position:absolute;margin-left:530.75pt;margin-top:800.30000000000007pt;width:7.7000000000000002pt;height:6.25pt;z-index:-1887434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6675120</wp:posOffset>
              </wp:positionH>
              <wp:positionV relativeFrom="page">
                <wp:posOffset>10014585</wp:posOffset>
              </wp:positionV>
              <wp:extent cx="155575" cy="79375"/>
              <wp:wrapNone/>
              <wp:docPr id="794" name="Shape 7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0" type="#_x0000_t202" style="position:absolute;margin-left:525.60000000000002pt;margin-top:788.55000000000007pt;width:12.25pt;height:6.25pt;z-index:-18874348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6675120</wp:posOffset>
              </wp:positionH>
              <wp:positionV relativeFrom="page">
                <wp:posOffset>10014585</wp:posOffset>
              </wp:positionV>
              <wp:extent cx="155575" cy="79375"/>
              <wp:wrapNone/>
              <wp:docPr id="802" name="Shape 8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28" type="#_x0000_t202" style="position:absolute;margin-left:525.60000000000002pt;margin-top:788.55000000000007pt;width:12.25pt;height:6.25pt;z-index:-1887434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4" behindDoc="1" locked="0" layoutInCell="1" allowOverlap="1">
              <wp:simplePos x="0" y="0"/>
              <wp:positionH relativeFrom="page">
                <wp:posOffset>6685915</wp:posOffset>
              </wp:positionH>
              <wp:positionV relativeFrom="page">
                <wp:posOffset>9951085</wp:posOffset>
              </wp:positionV>
              <wp:extent cx="155575" cy="79375"/>
              <wp:wrapNone/>
              <wp:docPr id="807" name="Shape 80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33" type="#_x0000_t202" style="position:absolute;margin-left:526.45000000000005pt;margin-top:783.55000000000007pt;width:12.25pt;height:6.25pt;z-index:-1887434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6724650</wp:posOffset>
              </wp:positionH>
              <wp:positionV relativeFrom="page">
                <wp:posOffset>9980930</wp:posOffset>
              </wp:positionV>
              <wp:extent cx="97790" cy="79375"/>
              <wp:wrapNone/>
              <wp:docPr id="85" name="Shape 8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1" type="#_x0000_t202" style="position:absolute;margin-left:529.5pt;margin-top:785.89999999999998pt;width:7.7000000000000002pt;height:6.25pt;z-index:-1887440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0" behindDoc="1" locked="0" layoutInCell="1" allowOverlap="1">
              <wp:simplePos x="0" y="0"/>
              <wp:positionH relativeFrom="page">
                <wp:posOffset>6675120</wp:posOffset>
              </wp:positionH>
              <wp:positionV relativeFrom="page">
                <wp:posOffset>10014585</wp:posOffset>
              </wp:positionV>
              <wp:extent cx="155575" cy="79375"/>
              <wp:wrapNone/>
              <wp:docPr id="815" name="Shape 81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1" type="#_x0000_t202" style="position:absolute;margin-left:525.60000000000002pt;margin-top:788.55000000000007pt;width:12.25pt;height:6.25pt;z-index:-1887434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6" behindDoc="1" locked="0" layoutInCell="1" allowOverlap="1">
              <wp:simplePos x="0" y="0"/>
              <wp:positionH relativeFrom="page">
                <wp:posOffset>6675120</wp:posOffset>
              </wp:positionH>
              <wp:positionV relativeFrom="page">
                <wp:posOffset>10014585</wp:posOffset>
              </wp:positionV>
              <wp:extent cx="155575" cy="79375"/>
              <wp:wrapNone/>
              <wp:docPr id="823" name="Shape 82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49" type="#_x0000_t202" style="position:absolute;margin-left:525.60000000000002pt;margin-top:788.55000000000007pt;width:12.25pt;height:6.25pt;z-index:-18874346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6685915</wp:posOffset>
              </wp:positionH>
              <wp:positionV relativeFrom="page">
                <wp:posOffset>9951085</wp:posOffset>
              </wp:positionV>
              <wp:extent cx="155575" cy="79375"/>
              <wp:wrapNone/>
              <wp:docPr id="828" name="Shape 8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54" type="#_x0000_t202" style="position:absolute;margin-left:526.45000000000005pt;margin-top:783.55000000000007pt;width:12.25pt;height:6.25pt;z-index:-18874346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6675120</wp:posOffset>
              </wp:positionH>
              <wp:positionV relativeFrom="page">
                <wp:posOffset>10014585</wp:posOffset>
              </wp:positionV>
              <wp:extent cx="155575" cy="79375"/>
              <wp:wrapNone/>
              <wp:docPr id="836" name="Shape 83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62" type="#_x0000_t202" style="position:absolute;margin-left:525.60000000000002pt;margin-top:788.55000000000007pt;width:12.25pt;height:6.25pt;z-index:-18874345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6675120</wp:posOffset>
              </wp:positionH>
              <wp:positionV relativeFrom="page">
                <wp:posOffset>10014585</wp:posOffset>
              </wp:positionV>
              <wp:extent cx="155575" cy="79375"/>
              <wp:wrapNone/>
              <wp:docPr id="844" name="Shape 84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0" type="#_x0000_t202" style="position:absolute;margin-left:525.60000000000002pt;margin-top:788.55000000000007pt;width:12.25pt;height:6.25pt;z-index:-18874345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6740525</wp:posOffset>
              </wp:positionH>
              <wp:positionV relativeFrom="page">
                <wp:posOffset>10163810</wp:posOffset>
              </wp:positionV>
              <wp:extent cx="97790" cy="79375"/>
              <wp:wrapNone/>
              <wp:docPr id="849" name="Shape 84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75" type="#_x0000_t202" style="position:absolute;margin-left:530.75pt;margin-top:800.30000000000007pt;width:7.7000000000000002pt;height:6.25pt;z-index:-1887434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6675120</wp:posOffset>
              </wp:positionH>
              <wp:positionV relativeFrom="page">
                <wp:posOffset>10014585</wp:posOffset>
              </wp:positionV>
              <wp:extent cx="155575" cy="79375"/>
              <wp:wrapNone/>
              <wp:docPr id="857" name="Shape 857"/>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83" type="#_x0000_t202" style="position:absolute;margin-left:525.60000000000002pt;margin-top:788.55000000000007pt;width:12.25pt;height:6.25pt;z-index:-1887434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8" behindDoc="1" locked="0" layoutInCell="1" allowOverlap="1">
              <wp:simplePos x="0" y="0"/>
              <wp:positionH relativeFrom="page">
                <wp:posOffset>6675120</wp:posOffset>
              </wp:positionH>
              <wp:positionV relativeFrom="page">
                <wp:posOffset>10014585</wp:posOffset>
              </wp:positionV>
              <wp:extent cx="155575" cy="79375"/>
              <wp:wrapNone/>
              <wp:docPr id="865" name="Shape 86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1" type="#_x0000_t202" style="position:absolute;margin-left:525.60000000000002pt;margin-top:788.55000000000007pt;width:12.25pt;height:6.25pt;z-index:-18874343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2" behindDoc="1" locked="0" layoutInCell="1" allowOverlap="1">
              <wp:simplePos x="0" y="0"/>
              <wp:positionH relativeFrom="page">
                <wp:posOffset>6685915</wp:posOffset>
              </wp:positionH>
              <wp:positionV relativeFrom="page">
                <wp:posOffset>9951085</wp:posOffset>
              </wp:positionV>
              <wp:extent cx="155575" cy="79375"/>
              <wp:wrapNone/>
              <wp:docPr id="870" name="Shape 87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896" type="#_x0000_t202" style="position:absolute;margin-left:526.45000000000005pt;margin-top:783.55000000000007pt;width:12.25pt;height:6.25pt;z-index:-1887434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6" behindDoc="1" locked="0" layoutInCell="1" allowOverlap="1">
              <wp:simplePos x="0" y="0"/>
              <wp:positionH relativeFrom="page">
                <wp:posOffset>6678295</wp:posOffset>
              </wp:positionH>
              <wp:positionV relativeFrom="page">
                <wp:posOffset>9955530</wp:posOffset>
              </wp:positionV>
              <wp:extent cx="155575" cy="79375"/>
              <wp:wrapNone/>
              <wp:docPr id="875" name="Shape 87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1" type="#_x0000_t202" style="position:absolute;margin-left:525.85000000000002pt;margin-top:783.89999999999998pt;width:12.25pt;height:6.25pt;z-index:-1887434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6724650</wp:posOffset>
              </wp:positionH>
              <wp:positionV relativeFrom="page">
                <wp:posOffset>9980930</wp:posOffset>
              </wp:positionV>
              <wp:extent cx="97790" cy="79375"/>
              <wp:wrapNone/>
              <wp:docPr id="90" name="Shape 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529.5pt;margin-top:785.89999999999998pt;width:7.7000000000000002pt;height:6.25pt;z-index:-1887439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30" behindDoc="1" locked="0" layoutInCell="1" allowOverlap="1">
              <wp:simplePos x="0" y="0"/>
              <wp:positionH relativeFrom="page">
                <wp:posOffset>6678295</wp:posOffset>
              </wp:positionH>
              <wp:positionV relativeFrom="page">
                <wp:posOffset>9955530</wp:posOffset>
              </wp:positionV>
              <wp:extent cx="155575" cy="79375"/>
              <wp:wrapNone/>
              <wp:docPr id="880" name="Shape 880"/>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906" type="#_x0000_t202" style="position:absolute;margin-left:525.85000000000002pt;margin-top:783.89999999999998pt;width:12.25pt;height:6.25pt;z-index:-1887434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6727825</wp:posOffset>
              </wp:positionH>
              <wp:positionV relativeFrom="page">
                <wp:posOffset>9975215</wp:posOffset>
              </wp:positionV>
              <wp:extent cx="85090" cy="79375"/>
              <wp:wrapNone/>
              <wp:docPr id="98" name="Shape 9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4" type="#_x0000_t202" style="position:absolute;margin-left:529.75pt;margin-top:785.45000000000005pt;width:6.7000000000000002pt;height:6.25pt;z-index:-1887439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6727825</wp:posOffset>
              </wp:positionH>
              <wp:positionV relativeFrom="page">
                <wp:posOffset>9975215</wp:posOffset>
              </wp:positionV>
              <wp:extent cx="85090" cy="79375"/>
              <wp:wrapNone/>
              <wp:docPr id="106" name="Shape 10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529.75pt;margin-top:785.45000000000005pt;width:6.7000000000000002pt;height:6.25pt;z-index:-1887439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6740525</wp:posOffset>
              </wp:positionH>
              <wp:positionV relativeFrom="page">
                <wp:posOffset>10163810</wp:posOffset>
              </wp:positionV>
              <wp:extent cx="97790" cy="79375"/>
              <wp:wrapNone/>
              <wp:docPr id="111" name="Shape 11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530.75pt;margin-top:800.30000000000007pt;width:7.7000000000000002pt;height:6.25pt;z-index:-1887439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6740525</wp:posOffset>
              </wp:positionH>
              <wp:positionV relativeFrom="page">
                <wp:posOffset>10163810</wp:posOffset>
              </wp:positionV>
              <wp:extent cx="97790" cy="79375"/>
              <wp:wrapNone/>
              <wp:docPr id="116" name="Shape 11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530.75pt;margin-top:800.30000000000007pt;width:7.7000000000000002pt;height:6.25pt;z-index:-1887439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6724650</wp:posOffset>
              </wp:positionH>
              <wp:positionV relativeFrom="page">
                <wp:posOffset>9980930</wp:posOffset>
              </wp:positionV>
              <wp:extent cx="97790" cy="79375"/>
              <wp:wrapNone/>
              <wp:docPr id="121" name="Shape 12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529.5pt;margin-top:785.89999999999998pt;width:7.7000000000000002pt;height:6.25pt;z-index:-18874397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6740525</wp:posOffset>
              </wp:positionH>
              <wp:positionV relativeFrom="page">
                <wp:posOffset>10163810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75pt;margin-top:800.30000000000007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6724650</wp:posOffset>
              </wp:positionH>
              <wp:positionV relativeFrom="page">
                <wp:posOffset>9980930</wp:posOffset>
              </wp:positionV>
              <wp:extent cx="97790" cy="79375"/>
              <wp:wrapNone/>
              <wp:docPr id="126" name="Shape 12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529.5pt;margin-top:785.89999999999998pt;width:7.7000000000000002pt;height:6.25pt;z-index:-1887439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6724650</wp:posOffset>
              </wp:positionH>
              <wp:positionV relativeFrom="page">
                <wp:posOffset>9980930</wp:posOffset>
              </wp:positionV>
              <wp:extent cx="97790" cy="79375"/>
              <wp:wrapNone/>
              <wp:docPr id="131" name="Shape 1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7" type="#_x0000_t202" style="position:absolute;margin-left:529.5pt;margin-top:785.89999999999998pt;width:7.7000000000000002pt;height:6.25pt;z-index:-1887439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6727825</wp:posOffset>
              </wp:positionH>
              <wp:positionV relativeFrom="page">
                <wp:posOffset>9975215</wp:posOffset>
              </wp:positionV>
              <wp:extent cx="85090" cy="79375"/>
              <wp:wrapNone/>
              <wp:docPr id="139" name="Shape 13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65" type="#_x0000_t202" style="position:absolute;margin-left:529.75pt;margin-top:785.45000000000005pt;width:6.7000000000000002pt;height:6.25pt;z-index:-1887439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6727825</wp:posOffset>
              </wp:positionH>
              <wp:positionV relativeFrom="page">
                <wp:posOffset>9975215</wp:posOffset>
              </wp:positionV>
              <wp:extent cx="85090" cy="79375"/>
              <wp:wrapNone/>
              <wp:docPr id="149" name="Shape 14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5" type="#_x0000_t202" style="position:absolute;margin-left:529.75pt;margin-top:785.45000000000005pt;width:6.7000000000000002pt;height:6.25pt;z-index:-1887439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6727825</wp:posOffset>
              </wp:positionH>
              <wp:positionV relativeFrom="page">
                <wp:posOffset>9975215</wp:posOffset>
              </wp:positionV>
              <wp:extent cx="85090" cy="79375"/>
              <wp:wrapNone/>
              <wp:docPr id="157" name="Shape 15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529.75pt;margin-top:785.45000000000005pt;width:6.7000000000000002pt;height:6.25pt;z-index:-1887439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6706870</wp:posOffset>
              </wp:positionH>
              <wp:positionV relativeFrom="page">
                <wp:posOffset>10213975</wp:posOffset>
              </wp:positionV>
              <wp:extent cx="109855" cy="79375"/>
              <wp:wrapNone/>
              <wp:docPr id="159" name="Shape 15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5" type="#_x0000_t202" style="position:absolute;margin-left:528.10000000000002pt;margin-top:804.25pt;width:8.6500000000000004pt;height:6.25pt;z-index:-1887439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6724650</wp:posOffset>
              </wp:positionH>
              <wp:positionV relativeFrom="page">
                <wp:posOffset>9980930</wp:posOffset>
              </wp:positionV>
              <wp:extent cx="97790" cy="79375"/>
              <wp:wrapNone/>
              <wp:docPr id="164" name="Shape 1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0" type="#_x0000_t202" style="position:absolute;margin-left:529.5pt;margin-top:785.89999999999998pt;width:7.7000000000000002pt;height:6.25pt;z-index:-1887439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6724650</wp:posOffset>
              </wp:positionH>
              <wp:positionV relativeFrom="page">
                <wp:posOffset>9980930</wp:posOffset>
              </wp:positionV>
              <wp:extent cx="97790" cy="79375"/>
              <wp:wrapNone/>
              <wp:docPr id="169" name="Shape 16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5" type="#_x0000_t202" style="position:absolute;margin-left:529.5pt;margin-top:785.89999999999998pt;width:7.7000000000000002pt;height:6.25pt;z-index:-1887439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6727825</wp:posOffset>
              </wp:positionH>
              <wp:positionV relativeFrom="page">
                <wp:posOffset>9975215</wp:posOffset>
              </wp:positionV>
              <wp:extent cx="85090" cy="79375"/>
              <wp:wrapNone/>
              <wp:docPr id="179" name="Shape 17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5" type="#_x0000_t202" style="position:absolute;margin-left:529.75pt;margin-top:785.45000000000005pt;width:6.7000000000000002pt;height:6.25pt;z-index:-1887439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6724650</wp:posOffset>
              </wp:positionH>
              <wp:positionV relativeFrom="page">
                <wp:posOffset>9980930</wp:posOffset>
              </wp:positionV>
              <wp:extent cx="97790" cy="79375"/>
              <wp:wrapNone/>
              <wp:docPr id="184" name="Shape 18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0" type="#_x0000_t202" style="position:absolute;margin-left:529.5pt;margin-top:785.89999999999998pt;width:7.7000000000000002pt;height:6.25pt;z-index:-1887439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6791325</wp:posOffset>
              </wp:positionH>
              <wp:positionV relativeFrom="page">
                <wp:posOffset>10201910</wp:posOffset>
              </wp:positionV>
              <wp:extent cx="30480" cy="79375"/>
              <wp:wrapNone/>
              <wp:docPr id="18" name="Shape 18"/>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34.75pt;margin-top:803.30000000000007pt;width:2.3999999999999999pt;height:6.25pt;z-index:-1887440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6706870</wp:posOffset>
              </wp:positionH>
              <wp:positionV relativeFrom="page">
                <wp:posOffset>10213975</wp:posOffset>
              </wp:positionV>
              <wp:extent cx="109855" cy="79375"/>
              <wp:wrapNone/>
              <wp:docPr id="186" name="Shape 18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12" type="#_x0000_t202" style="position:absolute;margin-left:528.10000000000002pt;margin-top:804.25pt;width:8.6500000000000004pt;height:6.25pt;z-index:-1887439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6727825</wp:posOffset>
              </wp:positionH>
              <wp:positionV relativeFrom="page">
                <wp:posOffset>9975215</wp:posOffset>
              </wp:positionV>
              <wp:extent cx="85090" cy="79375"/>
              <wp:wrapNone/>
              <wp:docPr id="194" name="Shape 19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0" type="#_x0000_t202" style="position:absolute;margin-left:529.75pt;margin-top:785.45000000000005pt;width:6.7000000000000002pt;height:6.25pt;z-index:-1887439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6727825</wp:posOffset>
              </wp:positionH>
              <wp:positionV relativeFrom="page">
                <wp:posOffset>9975215</wp:posOffset>
              </wp:positionV>
              <wp:extent cx="85090" cy="79375"/>
              <wp:wrapNone/>
              <wp:docPr id="202" name="Shape 20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8" type="#_x0000_t202" style="position:absolute;margin-left:529.75pt;margin-top:785.45000000000005pt;width:6.7000000000000002pt;height:6.25pt;z-index:-1887439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6740525</wp:posOffset>
              </wp:positionH>
              <wp:positionV relativeFrom="page">
                <wp:posOffset>10163810</wp:posOffset>
              </wp:positionV>
              <wp:extent cx="97790" cy="79375"/>
              <wp:wrapNone/>
              <wp:docPr id="207" name="Shape 20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530.75pt;margin-top:800.30000000000007pt;width:7.7000000000000002pt;height:6.25pt;z-index:-1887439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6740525</wp:posOffset>
              </wp:positionH>
              <wp:positionV relativeFrom="page">
                <wp:posOffset>10163810</wp:posOffset>
              </wp:positionV>
              <wp:extent cx="97790" cy="79375"/>
              <wp:wrapNone/>
              <wp:docPr id="212" name="Shape 21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8" type="#_x0000_t202" style="position:absolute;margin-left:530.75pt;margin-top:800.30000000000007pt;width:7.7000000000000002pt;height:6.25pt;z-index:-1887439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6727825</wp:posOffset>
              </wp:positionH>
              <wp:positionV relativeFrom="page">
                <wp:posOffset>9975215</wp:posOffset>
              </wp:positionV>
              <wp:extent cx="85090" cy="79375"/>
              <wp:wrapNone/>
              <wp:docPr id="220" name="Shape 22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529.75pt;margin-top:785.45000000000005pt;width:6.7000000000000002pt;height:6.25pt;z-index:-18874389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6727825</wp:posOffset>
              </wp:positionH>
              <wp:positionV relativeFrom="page">
                <wp:posOffset>9975215</wp:posOffset>
              </wp:positionV>
              <wp:extent cx="85090" cy="79375"/>
              <wp:wrapNone/>
              <wp:docPr id="228" name="Shape 22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29.75pt;margin-top:785.45000000000005pt;width:6.7000000000000002pt;height:6.25pt;z-index:-1887438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6740525</wp:posOffset>
              </wp:positionH>
              <wp:positionV relativeFrom="page">
                <wp:posOffset>10163810</wp:posOffset>
              </wp:positionV>
              <wp:extent cx="97790" cy="79375"/>
              <wp:wrapNone/>
              <wp:docPr id="235" name="Shape 2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30.75pt;margin-top:800.30000000000007pt;width:7.7000000000000002pt;height:6.25pt;z-index:-1887438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6740525</wp:posOffset>
              </wp:positionH>
              <wp:positionV relativeFrom="page">
                <wp:posOffset>10163810</wp:posOffset>
              </wp:positionV>
              <wp:extent cx="97790" cy="79375"/>
              <wp:wrapNone/>
              <wp:docPr id="240" name="Shape 2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530.75pt;margin-top:800.30000000000007pt;width:7.7000000000000002pt;height:6.25pt;z-index:-18874388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6706870</wp:posOffset>
              </wp:positionH>
              <wp:positionV relativeFrom="page">
                <wp:posOffset>10213975</wp:posOffset>
              </wp:positionV>
              <wp:extent cx="109855" cy="79375"/>
              <wp:wrapNone/>
              <wp:docPr id="242" name="Shape 24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528.10000000000002pt;margin-top:804.25pt;width:8.6500000000000004pt;height:6.25pt;z-index:-1887438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6724650</wp:posOffset>
              </wp:positionH>
              <wp:positionV relativeFrom="page">
                <wp:posOffset>9980930</wp:posOffset>
              </wp:positionV>
              <wp:extent cx="97790" cy="79375"/>
              <wp:wrapNone/>
              <wp:docPr id="23" name="Shape 2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9" type="#_x0000_t202" style="position:absolute;margin-left:529.5pt;margin-top:785.89999999999998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6740525</wp:posOffset>
              </wp:positionH>
              <wp:positionV relativeFrom="page">
                <wp:posOffset>10163810</wp:posOffset>
              </wp:positionV>
              <wp:extent cx="97790" cy="79375"/>
              <wp:wrapNone/>
              <wp:docPr id="247" name="Shape 24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3" type="#_x0000_t202" style="position:absolute;margin-left:530.75pt;margin-top:800.30000000000007pt;width:7.7000000000000002pt;height:6.25pt;z-index:-1887438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6740525</wp:posOffset>
              </wp:positionH>
              <wp:positionV relativeFrom="page">
                <wp:posOffset>10163810</wp:posOffset>
              </wp:positionV>
              <wp:extent cx="97790" cy="79375"/>
              <wp:wrapNone/>
              <wp:docPr id="252" name="Shape 2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8" type="#_x0000_t202" style="position:absolute;margin-left:530.75pt;margin-top:800.30000000000007pt;width:7.7000000000000002pt;height:6.25pt;z-index:-1887438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6727825</wp:posOffset>
              </wp:positionH>
              <wp:positionV relativeFrom="page">
                <wp:posOffset>9975215</wp:posOffset>
              </wp:positionV>
              <wp:extent cx="85090" cy="79375"/>
              <wp:wrapNone/>
              <wp:docPr id="260" name="Shape 26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6" type="#_x0000_t202" style="position:absolute;margin-left:529.75pt;margin-top:785.45000000000005pt;width:6.7000000000000002pt;height:6.25pt;z-index:-1887438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6477635</wp:posOffset>
              </wp:positionH>
              <wp:positionV relativeFrom="page">
                <wp:posOffset>9955530</wp:posOffset>
              </wp:positionV>
              <wp:extent cx="103505" cy="79375"/>
              <wp:wrapNone/>
              <wp:docPr id="267" name="Shape 2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3" type="#_x0000_t202" style="position:absolute;margin-left:510.05000000000001pt;margin-top:783.89999999999998pt;width:8.1500000000000004pt;height:6.25pt;z-index:-18874386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6477635</wp:posOffset>
              </wp:positionH>
              <wp:positionV relativeFrom="page">
                <wp:posOffset>9955530</wp:posOffset>
              </wp:positionV>
              <wp:extent cx="103505" cy="79375"/>
              <wp:wrapNone/>
              <wp:docPr id="272" name="Shape 27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98" type="#_x0000_t202" style="position:absolute;margin-left:510.05000000000001pt;margin-top:783.89999999999998pt;width:8.1500000000000004pt;height:6.25pt;z-index:-18874386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6706870</wp:posOffset>
              </wp:positionH>
              <wp:positionV relativeFrom="page">
                <wp:posOffset>10213975</wp:posOffset>
              </wp:positionV>
              <wp:extent cx="109855" cy="79375"/>
              <wp:wrapNone/>
              <wp:docPr id="274" name="Shape 27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0" type="#_x0000_t202" style="position:absolute;margin-left:528.10000000000002pt;margin-top:804.25pt;width:8.6500000000000004pt;height:6.25pt;z-index:-1887438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6477635</wp:posOffset>
              </wp:positionH>
              <wp:positionV relativeFrom="page">
                <wp:posOffset>9955530</wp:posOffset>
              </wp:positionV>
              <wp:extent cx="103505" cy="79375"/>
              <wp:wrapNone/>
              <wp:docPr id="282" name="Shape 2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8" type="#_x0000_t202" style="position:absolute;margin-left:510.05000000000001pt;margin-top:783.89999999999998pt;width:8.1500000000000004pt;height:6.25pt;z-index:-18874385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6727825</wp:posOffset>
              </wp:positionH>
              <wp:positionV relativeFrom="page">
                <wp:posOffset>9975215</wp:posOffset>
              </wp:positionV>
              <wp:extent cx="85090" cy="79375"/>
              <wp:wrapNone/>
              <wp:docPr id="290" name="Shape 29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6" type="#_x0000_t202" style="position:absolute;margin-left:529.75pt;margin-top:785.45000000000005pt;width:6.7000000000000002pt;height:6.25pt;z-index:-1887438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6706870</wp:posOffset>
              </wp:positionH>
              <wp:positionV relativeFrom="page">
                <wp:posOffset>10213975</wp:posOffset>
              </wp:positionV>
              <wp:extent cx="109855" cy="79375"/>
              <wp:wrapNone/>
              <wp:docPr id="292" name="Shape 29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8" type="#_x0000_t202" style="position:absolute;margin-left:528.10000000000002pt;margin-top:804.25pt;width:8.6500000000000004pt;height:6.25pt;z-index:-1887438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6727825</wp:posOffset>
              </wp:positionH>
              <wp:positionV relativeFrom="page">
                <wp:posOffset>9975215</wp:posOffset>
              </wp:positionV>
              <wp:extent cx="85090" cy="79375"/>
              <wp:wrapNone/>
              <wp:docPr id="302" name="Shape 30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529.75pt;margin-top:785.45000000000005pt;width:6.7000000000000002pt;height:6.25pt;z-index:-1887438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6724650</wp:posOffset>
              </wp:positionH>
              <wp:positionV relativeFrom="page">
                <wp:posOffset>9980930</wp:posOffset>
              </wp:positionV>
              <wp:extent cx="97790" cy="79375"/>
              <wp:wrapNone/>
              <wp:docPr id="28" name="Shape 2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4" type="#_x0000_t202" style="position:absolute;margin-left:529.5pt;margin-top:785.89999999999998pt;width:7.7000000000000002pt;height:6.25pt;z-index:-1887440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6727825</wp:posOffset>
              </wp:positionH>
              <wp:positionV relativeFrom="page">
                <wp:posOffset>9975215</wp:posOffset>
              </wp:positionV>
              <wp:extent cx="85090" cy="79375"/>
              <wp:wrapNone/>
              <wp:docPr id="310" name="Shape 31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36" type="#_x0000_t202" style="position:absolute;margin-left:529.75pt;margin-top:785.45000000000005pt;width:6.7000000000000002pt;height:6.25pt;z-index:-1887438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6740525</wp:posOffset>
              </wp:positionH>
              <wp:positionV relativeFrom="page">
                <wp:posOffset>10163810</wp:posOffset>
              </wp:positionV>
              <wp:extent cx="97790" cy="79375"/>
              <wp:wrapNone/>
              <wp:docPr id="315" name="Shape 3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1" type="#_x0000_t202" style="position:absolute;margin-left:530.75pt;margin-top:800.30000000000007pt;width:7.7000000000000002pt;height:6.25pt;z-index:-1887438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6706870</wp:posOffset>
              </wp:positionH>
              <wp:positionV relativeFrom="page">
                <wp:posOffset>10213975</wp:posOffset>
              </wp:positionV>
              <wp:extent cx="109855" cy="79375"/>
              <wp:wrapNone/>
              <wp:docPr id="321" name="Shape 32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7" type="#_x0000_t202" style="position:absolute;margin-left:528.10000000000002pt;margin-top:804.25pt;width:8.6500000000000004pt;height:6.25pt;z-index:-1887438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6706870</wp:posOffset>
              </wp:positionH>
              <wp:positionV relativeFrom="page">
                <wp:posOffset>10213975</wp:posOffset>
              </wp:positionV>
              <wp:extent cx="109855" cy="79375"/>
              <wp:wrapNone/>
              <wp:docPr id="323" name="Shape 323"/>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49" type="#_x0000_t202" style="position:absolute;margin-left:528.10000000000002pt;margin-top:804.25pt;width:8.6500000000000004pt;height:6.25pt;z-index:-1887438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6727825</wp:posOffset>
              </wp:positionH>
              <wp:positionV relativeFrom="page">
                <wp:posOffset>9975215</wp:posOffset>
              </wp:positionV>
              <wp:extent cx="85090" cy="79375"/>
              <wp:wrapNone/>
              <wp:docPr id="331" name="Shape 33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57" type="#_x0000_t202" style="position:absolute;margin-left:529.75pt;margin-top:785.45000000000005pt;width:6.7000000000000002pt;height:6.25pt;z-index:-1887438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6727825</wp:posOffset>
              </wp:positionH>
              <wp:positionV relativeFrom="page">
                <wp:posOffset>9975215</wp:posOffset>
              </wp:positionV>
              <wp:extent cx="85090" cy="79375"/>
              <wp:wrapNone/>
              <wp:docPr id="339" name="Shape 33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65" type="#_x0000_t202" style="position:absolute;margin-left:529.75pt;margin-top:785.45000000000005pt;width:6.7000000000000002pt;height:6.25pt;z-index:-1887438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6727825</wp:posOffset>
              </wp:positionH>
              <wp:positionV relativeFrom="page">
                <wp:posOffset>9975215</wp:posOffset>
              </wp:positionV>
              <wp:extent cx="85090" cy="79375"/>
              <wp:wrapNone/>
              <wp:docPr id="349" name="Shape 34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75" type="#_x0000_t202" style="position:absolute;margin-left:529.75pt;margin-top:785.45000000000005pt;width:6.7000000000000002pt;height:6.25pt;z-index:-18874380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6727825</wp:posOffset>
              </wp:positionH>
              <wp:positionV relativeFrom="page">
                <wp:posOffset>9975215</wp:posOffset>
              </wp:positionV>
              <wp:extent cx="85090" cy="79375"/>
              <wp:wrapNone/>
              <wp:docPr id="357" name="Shape 35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3" type="#_x0000_t202" style="position:absolute;margin-left:529.75pt;margin-top:785.45000000000005pt;width:6.7000000000000002pt;height:6.25pt;z-index:-18874380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6706870</wp:posOffset>
              </wp:positionH>
              <wp:positionV relativeFrom="page">
                <wp:posOffset>10213975</wp:posOffset>
              </wp:positionV>
              <wp:extent cx="109855" cy="79375"/>
              <wp:wrapNone/>
              <wp:docPr id="359" name="Shape 35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5" type="#_x0000_t202" style="position:absolute;margin-left:528.10000000000002pt;margin-top:804.25pt;width:8.6500000000000004pt;height:6.25pt;z-index:-1887438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6724650</wp:posOffset>
              </wp:positionH>
              <wp:positionV relativeFrom="page">
                <wp:posOffset>9955530</wp:posOffset>
              </wp:positionV>
              <wp:extent cx="106680" cy="79375"/>
              <wp:wrapNone/>
              <wp:docPr id="364" name="Shape 36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0" type="#_x0000_t202" style="position:absolute;margin-left:529.5pt;margin-top:783.89999999999998pt;width:8.4000000000000004pt;height:6.25pt;z-index:-1887437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6727825</wp:posOffset>
              </wp:positionH>
              <wp:positionV relativeFrom="page">
                <wp:posOffset>9975215</wp:posOffset>
              </wp:positionV>
              <wp:extent cx="85090" cy="79375"/>
              <wp:wrapNone/>
              <wp:docPr id="36" name="Shape 3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529.75pt;margin-top:785.45000000000005pt;width:6.70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6724650</wp:posOffset>
              </wp:positionH>
              <wp:positionV relativeFrom="page">
                <wp:posOffset>9955530</wp:posOffset>
              </wp:positionV>
              <wp:extent cx="106680" cy="79375"/>
              <wp:wrapNone/>
              <wp:docPr id="369" name="Shape 36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5" type="#_x0000_t202" style="position:absolute;margin-left:529.5pt;margin-top:783.89999999999998pt;width:8.4000000000000004pt;height:6.25pt;z-index:-1887437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6727825</wp:posOffset>
              </wp:positionH>
              <wp:positionV relativeFrom="page">
                <wp:posOffset>9975215</wp:posOffset>
              </wp:positionV>
              <wp:extent cx="85090" cy="79375"/>
              <wp:wrapNone/>
              <wp:docPr id="377" name="Shape 37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3" type="#_x0000_t202" style="position:absolute;margin-left:529.75pt;margin-top:785.45000000000005pt;width:6.7000000000000002pt;height:6.25pt;z-index:-1887437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6727825</wp:posOffset>
              </wp:positionH>
              <wp:positionV relativeFrom="page">
                <wp:posOffset>9975215</wp:posOffset>
              </wp:positionV>
              <wp:extent cx="85090" cy="79375"/>
              <wp:wrapNone/>
              <wp:docPr id="385" name="Shape 38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1" type="#_x0000_t202" style="position:absolute;margin-left:529.75pt;margin-top:785.45000000000005pt;width:6.7000000000000002pt;height:6.25pt;z-index:-1887437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6740525</wp:posOffset>
              </wp:positionH>
              <wp:positionV relativeFrom="page">
                <wp:posOffset>10163810</wp:posOffset>
              </wp:positionV>
              <wp:extent cx="97790" cy="79375"/>
              <wp:wrapNone/>
              <wp:docPr id="390" name="Shape 39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16" type="#_x0000_t202" style="position:absolute;margin-left:530.75pt;margin-top:800.30000000000007pt;width:7.7000000000000002pt;height:6.25pt;z-index:-1887437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6724650</wp:posOffset>
              </wp:positionH>
              <wp:positionV relativeFrom="page">
                <wp:posOffset>9955530</wp:posOffset>
              </wp:positionV>
              <wp:extent cx="106680" cy="79375"/>
              <wp:wrapNone/>
              <wp:docPr id="395" name="Shape 39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1" type="#_x0000_t202" style="position:absolute;margin-left:529.5pt;margin-top:783.89999999999998pt;width:8.4000000000000004pt;height:6.25pt;z-index:-18874377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6724650</wp:posOffset>
              </wp:positionH>
              <wp:positionV relativeFrom="page">
                <wp:posOffset>9955530</wp:posOffset>
              </wp:positionV>
              <wp:extent cx="106680" cy="79375"/>
              <wp:wrapNone/>
              <wp:docPr id="400" name="Shape 40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6" type="#_x0000_t202" style="position:absolute;margin-left:529.5pt;margin-top:783.89999999999998pt;width:8.4000000000000004pt;height:6.25pt;z-index:-1887437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6740525</wp:posOffset>
              </wp:positionH>
              <wp:positionV relativeFrom="page">
                <wp:posOffset>10163810</wp:posOffset>
              </wp:positionV>
              <wp:extent cx="97790" cy="79375"/>
              <wp:wrapNone/>
              <wp:docPr id="405" name="Shape 40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1" type="#_x0000_t202" style="position:absolute;margin-left:530.75pt;margin-top:800.30000000000007pt;width:7.7000000000000002pt;height:6.25pt;z-index:-1887437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6740525</wp:posOffset>
              </wp:positionH>
              <wp:positionV relativeFrom="page">
                <wp:posOffset>10163810</wp:posOffset>
              </wp:positionV>
              <wp:extent cx="97790" cy="79375"/>
              <wp:wrapNone/>
              <wp:docPr id="410" name="Shape 4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6" type="#_x0000_t202" style="position:absolute;margin-left:530.75pt;margin-top:800.30000000000007pt;width:7.7000000000000002pt;height:6.25pt;z-index:-1887437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6706870</wp:posOffset>
              </wp:positionH>
              <wp:positionV relativeFrom="page">
                <wp:posOffset>10213975</wp:posOffset>
              </wp:positionV>
              <wp:extent cx="109855" cy="79375"/>
              <wp:wrapNone/>
              <wp:docPr id="420" name="Shape 42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6" type="#_x0000_t202" style="position:absolute;margin-left:528.10000000000002pt;margin-top:804.25pt;width:8.6500000000000004pt;height:6.25pt;z-index:-1887437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6706870</wp:posOffset>
              </wp:positionH>
              <wp:positionV relativeFrom="page">
                <wp:posOffset>10213975</wp:posOffset>
              </wp:positionV>
              <wp:extent cx="109855" cy="79375"/>
              <wp:wrapNone/>
              <wp:docPr id="422" name="Shape 42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48" type="#_x0000_t202" style="position:absolute;margin-left:528.10000000000002pt;margin-top:804.25pt;width:8.6500000000000004pt;height:6.25pt;z-index:-1887437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6724650</wp:posOffset>
              </wp:positionH>
              <wp:positionV relativeFrom="page">
                <wp:posOffset>9980930</wp:posOffset>
              </wp:positionV>
              <wp:extent cx="97790" cy="79375"/>
              <wp:wrapNone/>
              <wp:docPr id="41" name="Shape 4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529.5pt;margin-top:785.89999999999998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6727825</wp:posOffset>
              </wp:positionH>
              <wp:positionV relativeFrom="page">
                <wp:posOffset>9975215</wp:posOffset>
              </wp:positionV>
              <wp:extent cx="85090" cy="79375"/>
              <wp:wrapNone/>
              <wp:docPr id="438" name="Shape 43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64" type="#_x0000_t202" style="position:absolute;margin-left:529.75pt;margin-top:785.45000000000005pt;width:6.7000000000000002pt;height:6.25pt;z-index:-1887437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6727825</wp:posOffset>
              </wp:positionH>
              <wp:positionV relativeFrom="page">
                <wp:posOffset>9975215</wp:posOffset>
              </wp:positionV>
              <wp:extent cx="85090" cy="79375"/>
              <wp:wrapNone/>
              <wp:docPr id="446" name="Shape 44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2" type="#_x0000_t202" style="position:absolute;margin-left:529.75pt;margin-top:785.45000000000005pt;width:6.7000000000000002pt;height:6.25pt;z-index:-1887437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6724650</wp:posOffset>
              </wp:positionH>
              <wp:positionV relativeFrom="page">
                <wp:posOffset>9955530</wp:posOffset>
              </wp:positionV>
              <wp:extent cx="106680" cy="79375"/>
              <wp:wrapNone/>
              <wp:docPr id="451" name="Shape 45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77" type="#_x0000_t202" style="position:absolute;margin-left:529.5pt;margin-top:783.89999999999998pt;width:8.4000000000000004pt;height:6.25pt;z-index:-1887437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6724650</wp:posOffset>
              </wp:positionH>
              <wp:positionV relativeFrom="page">
                <wp:posOffset>9955530</wp:posOffset>
              </wp:positionV>
              <wp:extent cx="106680" cy="79375"/>
              <wp:wrapNone/>
              <wp:docPr id="462" name="Shape 46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88" type="#_x0000_t202" style="position:absolute;margin-left:529.5pt;margin-top:783.89999999999998pt;width:8.4000000000000004pt;height:6.25pt;z-index:-1887437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6724650</wp:posOffset>
              </wp:positionH>
              <wp:positionV relativeFrom="page">
                <wp:posOffset>9955530</wp:posOffset>
              </wp:positionV>
              <wp:extent cx="106680" cy="79375"/>
              <wp:wrapNone/>
              <wp:docPr id="467" name="Shape 467"/>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3" type="#_x0000_t202" style="position:absolute;margin-left:529.5pt;margin-top:783.89999999999998pt;width:8.4000000000000004pt;height:6.25pt;z-index:-18874373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6740525</wp:posOffset>
              </wp:positionH>
              <wp:positionV relativeFrom="page">
                <wp:posOffset>10163810</wp:posOffset>
              </wp:positionV>
              <wp:extent cx="97790" cy="79375"/>
              <wp:wrapNone/>
              <wp:docPr id="472" name="Shape 47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98" type="#_x0000_t202" style="position:absolute;margin-left:530.75pt;margin-top:800.30000000000007pt;width:7.7000000000000002pt;height:6.25pt;z-index:-1887437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995045</wp:posOffset>
              </wp:positionH>
              <wp:positionV relativeFrom="page">
                <wp:posOffset>9446895</wp:posOffset>
              </wp:positionV>
              <wp:extent cx="5248910" cy="106680"/>
              <wp:wrapNone/>
              <wp:docPr id="477" name="Shape 477"/>
              <a:graphic xmlns:a="http://schemas.openxmlformats.org/drawingml/2006/main">
                <a:graphicData uri="http://schemas.microsoft.com/office/word/2010/wordprocessingShape">
                  <wps:wsp>
                    <wps:cNvSpPr txBox="1"/>
                    <wps:spPr>
                      <a:xfrm>
                        <a:ext cx="5248910" cy="106680"/>
                      </a:xfrm>
                      <a:prstGeom prst="rect"/>
                      <a:noFill/>
                    </wps:spPr>
                    <wps:txbx>
                      <w:txbxContent>
                        <w:p>
                          <w:pPr>
                            <w:pStyle w:val="Style53"/>
                            <w:keepNext w:val="0"/>
                            <w:keepLines w:val="0"/>
                            <w:widowControl w:val="0"/>
                            <w:shd w:val="clear" w:color="auto" w:fill="auto"/>
                            <w:tabs>
                              <w:tab w:pos="5208" w:val="right"/>
                              <w:tab w:pos="8266" w:val="right"/>
                            </w:tabs>
                            <w:bidi w:val="0"/>
                            <w:spacing w:before="0" w:after="0" w:line="240" w:lineRule="auto"/>
                            <w:ind w:left="0" w:right="0" w:firstLine="0"/>
                            <w:jc w:val="left"/>
                          </w:pPr>
                          <w:r>
                            <w:rPr>
                              <w:color w:val="000000"/>
                              <w:spacing w:val="0"/>
                              <w:w w:val="100"/>
                              <w:position w:val="0"/>
                            </w:rPr>
                            <w:t>法定代表人：叶青</w:t>
                            <w:tab/>
                            <w:t>主管会计工作负责人：叶小平</w:t>
                            <w:tab/>
                            <w:t>会计机构负责人：涂晨</w:t>
                          </w:r>
                        </w:p>
                      </w:txbxContent>
                    </wps:txbx>
                    <wps:bodyPr lIns="0" tIns="0" rIns="0" bIns="0">
                      <a:spAutoFit/>
                    </wps:bodyPr>
                  </wps:wsp>
                </a:graphicData>
              </a:graphic>
            </wp:anchor>
          </w:drawing>
        </mc:Choice>
        <mc:Fallback>
          <w:pict>
            <v:shape id="_x0000_s1503" type="#_x0000_t202" style="position:absolute;margin-left:78.350000000000009pt;margin-top:743.85000000000002pt;width:413.30000000000001pt;height:8.4000000000000004pt;z-index:-18874372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5208" w:val="right"/>
                        <w:tab w:pos="8266" w:val="right"/>
                      </w:tabs>
                      <w:bidi w:val="0"/>
                      <w:spacing w:before="0" w:after="0" w:line="240" w:lineRule="auto"/>
                      <w:ind w:left="0" w:right="0" w:firstLine="0"/>
                      <w:jc w:val="left"/>
                    </w:pPr>
                    <w:r>
                      <w:rPr>
                        <w:color w:val="000000"/>
                        <w:spacing w:val="0"/>
                        <w:w w:val="100"/>
                        <w:position w:val="0"/>
                      </w:rPr>
                      <w:t>法定代表人：叶青</w:t>
                      <w:tab/>
                      <w:t>主管会计工作负责人：叶小平</w:t>
                      <w:tab/>
                      <w:t>会计机构负责人：涂晨</w:t>
                    </w:r>
                  </w:p>
                </w:txbxContent>
              </v:textbox>
              <w10:wrap anchorx="page" anchory="page"/>
            </v:shape>
          </w:pict>
        </mc:Fallback>
      </mc:AlternateContent>
    </w:r>
    <w:r>
      <mc:AlternateContent>
        <mc:Choice Requires="wps">
          <w:drawing>
            <wp:anchor distT="0" distB="0" distL="0" distR="0" simplePos="0" relativeHeight="62915030" behindDoc="1" locked="0" layoutInCell="1" allowOverlap="1">
              <wp:simplePos x="0" y="0"/>
              <wp:positionH relativeFrom="page">
                <wp:posOffset>7002780</wp:posOffset>
              </wp:positionH>
              <wp:positionV relativeFrom="page">
                <wp:posOffset>10160000</wp:posOffset>
              </wp:positionV>
              <wp:extent cx="103505" cy="79375"/>
              <wp:wrapNone/>
              <wp:docPr id="479" name="Shape 4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05" type="#_x0000_t202" style="position:absolute;margin-left:551.39999999999998pt;margin-top:800.pt;width:8.1500000000000004pt;height:6.25pt;z-index:-18874372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995045</wp:posOffset>
              </wp:positionH>
              <wp:positionV relativeFrom="page">
                <wp:posOffset>9446895</wp:posOffset>
              </wp:positionV>
              <wp:extent cx="5248910" cy="106680"/>
              <wp:wrapNone/>
              <wp:docPr id="484" name="Shape 484"/>
              <a:graphic xmlns:a="http://schemas.openxmlformats.org/drawingml/2006/main">
                <a:graphicData uri="http://schemas.microsoft.com/office/word/2010/wordprocessingShape">
                  <wps:wsp>
                    <wps:cNvSpPr txBox="1"/>
                    <wps:spPr>
                      <a:xfrm>
                        <a:ext cx="5248910" cy="106680"/>
                      </a:xfrm>
                      <a:prstGeom prst="rect"/>
                      <a:noFill/>
                    </wps:spPr>
                    <wps:txbx>
                      <w:txbxContent>
                        <w:p>
                          <w:pPr>
                            <w:pStyle w:val="Style53"/>
                            <w:keepNext w:val="0"/>
                            <w:keepLines w:val="0"/>
                            <w:widowControl w:val="0"/>
                            <w:shd w:val="clear" w:color="auto" w:fill="auto"/>
                            <w:tabs>
                              <w:tab w:pos="5208" w:val="right"/>
                              <w:tab w:pos="8266" w:val="right"/>
                            </w:tabs>
                            <w:bidi w:val="0"/>
                            <w:spacing w:before="0" w:after="0" w:line="240" w:lineRule="auto"/>
                            <w:ind w:left="0" w:right="0" w:firstLine="0"/>
                            <w:jc w:val="left"/>
                          </w:pPr>
                          <w:r>
                            <w:rPr>
                              <w:color w:val="000000"/>
                              <w:spacing w:val="0"/>
                              <w:w w:val="100"/>
                              <w:position w:val="0"/>
                            </w:rPr>
                            <w:t>法定代表人：叶青</w:t>
                            <w:tab/>
                            <w:t>主管会计工作负责人：叶小平</w:t>
                            <w:tab/>
                            <w:t>会计机构负责人：涂晨</w:t>
                          </w:r>
                        </w:p>
                      </w:txbxContent>
                    </wps:txbx>
                    <wps:bodyPr lIns="0" tIns="0" rIns="0" bIns="0">
                      <a:spAutoFit/>
                    </wps:bodyPr>
                  </wps:wsp>
                </a:graphicData>
              </a:graphic>
            </wp:anchor>
          </w:drawing>
        </mc:Choice>
        <mc:Fallback>
          <w:pict>
            <v:shape id="_x0000_s1510" type="#_x0000_t202" style="position:absolute;margin-left:78.350000000000009pt;margin-top:743.85000000000002pt;width:413.30000000000001pt;height:8.4000000000000004pt;z-index:-18874371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5208" w:val="right"/>
                        <w:tab w:pos="8266" w:val="right"/>
                      </w:tabs>
                      <w:bidi w:val="0"/>
                      <w:spacing w:before="0" w:after="0" w:line="240" w:lineRule="auto"/>
                      <w:ind w:left="0" w:right="0" w:firstLine="0"/>
                      <w:jc w:val="left"/>
                    </w:pPr>
                    <w:r>
                      <w:rPr>
                        <w:color w:val="000000"/>
                        <w:spacing w:val="0"/>
                        <w:w w:val="100"/>
                        <w:position w:val="0"/>
                      </w:rPr>
                      <w:t>法定代表人：叶青</w:t>
                      <w:tab/>
                      <w:t>主管会计工作负责人：叶小平</w:t>
                      <w:tab/>
                      <w:t>会计机构负责人：涂晨</w:t>
                    </w:r>
                  </w:p>
                </w:txbxContent>
              </v:textbox>
              <w10:wrap anchorx="page" anchory="page"/>
            </v:shape>
          </w:pict>
        </mc:Fallback>
      </mc:AlternateContent>
    </w:r>
    <w:r>
      <mc:AlternateContent>
        <mc:Choice Requires="wps">
          <w:drawing>
            <wp:anchor distT="0" distB="0" distL="0" distR="0" simplePos="0" relativeHeight="62915036" behindDoc="1" locked="0" layoutInCell="1" allowOverlap="1">
              <wp:simplePos x="0" y="0"/>
              <wp:positionH relativeFrom="page">
                <wp:posOffset>7002780</wp:posOffset>
              </wp:positionH>
              <wp:positionV relativeFrom="page">
                <wp:posOffset>10160000</wp:posOffset>
              </wp:positionV>
              <wp:extent cx="103505" cy="79375"/>
              <wp:wrapNone/>
              <wp:docPr id="486" name="Shape 48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12" type="#_x0000_t202" style="position:absolute;margin-left:551.39999999999998pt;margin-top:800.pt;width:8.1500000000000004pt;height:6.25pt;z-index:-18874371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6727825</wp:posOffset>
              </wp:positionH>
              <wp:positionV relativeFrom="page">
                <wp:posOffset>9975215</wp:posOffset>
              </wp:positionV>
              <wp:extent cx="85090" cy="79375"/>
              <wp:wrapNone/>
              <wp:docPr id="494" name="Shape 49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0" type="#_x0000_t202" style="position:absolute;margin-left:529.75pt;margin-top:785.45000000000005pt;width:6.7000000000000002pt;height:6.25pt;z-index:-1887437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6724650</wp:posOffset>
              </wp:positionH>
              <wp:positionV relativeFrom="page">
                <wp:posOffset>9955530</wp:posOffset>
              </wp:positionV>
              <wp:extent cx="106680" cy="79375"/>
              <wp:wrapNone/>
              <wp:docPr id="499" name="Shape 499"/>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25" type="#_x0000_t202" style="position:absolute;margin-left:529.5pt;margin-top:783.89999999999998pt;width:8.4000000000000004pt;height:6.25pt;z-index:-1887437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6727825</wp:posOffset>
              </wp:positionH>
              <wp:positionV relativeFrom="page">
                <wp:posOffset>9975215</wp:posOffset>
              </wp:positionV>
              <wp:extent cx="85090" cy="79375"/>
              <wp:wrapNone/>
              <wp:docPr id="51" name="Shape 5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529.75pt;margin-top:785.45000000000005pt;width:6.7000000000000002pt;height:6.25pt;z-index:-18874402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6724650</wp:posOffset>
              </wp:positionH>
              <wp:positionV relativeFrom="page">
                <wp:posOffset>9955530</wp:posOffset>
              </wp:positionV>
              <wp:extent cx="106680" cy="79375"/>
              <wp:wrapNone/>
              <wp:docPr id="504" name="Shape 50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0" type="#_x0000_t202" style="position:absolute;margin-left:529.5pt;margin-top:783.89999999999998pt;width:8.4000000000000004pt;height:6.25pt;z-index:-18874370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9661525</wp:posOffset>
              </wp:positionH>
              <wp:positionV relativeFrom="page">
                <wp:posOffset>6821805</wp:posOffset>
              </wp:positionV>
              <wp:extent cx="103505" cy="79375"/>
              <wp:wrapNone/>
              <wp:docPr id="512" name="Shape 51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38" type="#_x0000_t202" style="position:absolute;margin-left:760.75pt;margin-top:537.14999999999998pt;width:8.1500000000000004pt;height:6.25pt;z-index:-18874369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9661525</wp:posOffset>
              </wp:positionH>
              <wp:positionV relativeFrom="page">
                <wp:posOffset>6821805</wp:posOffset>
              </wp:positionV>
              <wp:extent cx="103505" cy="79375"/>
              <wp:wrapNone/>
              <wp:docPr id="520" name="Shape 5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46" type="#_x0000_t202" style="position:absolute;margin-left:760.75pt;margin-top:537.14999999999998pt;width:8.1500000000000004pt;height:6.25pt;z-index:-1887436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6724650</wp:posOffset>
              </wp:positionH>
              <wp:positionV relativeFrom="page">
                <wp:posOffset>9955530</wp:posOffset>
              </wp:positionV>
              <wp:extent cx="106680" cy="79375"/>
              <wp:wrapNone/>
              <wp:docPr id="525" name="Shape 52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1" type="#_x0000_t202" style="position:absolute;margin-left:529.5pt;margin-top:783.89999999999998pt;width:8.4000000000000004pt;height:6.25pt;z-index:-18874368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0" behindDoc="1" locked="0" layoutInCell="1" allowOverlap="1">
              <wp:simplePos x="0" y="0"/>
              <wp:positionH relativeFrom="page">
                <wp:posOffset>6724650</wp:posOffset>
              </wp:positionH>
              <wp:positionV relativeFrom="page">
                <wp:posOffset>9955530</wp:posOffset>
              </wp:positionV>
              <wp:extent cx="106680" cy="79375"/>
              <wp:wrapNone/>
              <wp:docPr id="530" name="Shape 53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56" type="#_x0000_t202" style="position:absolute;margin-left:529.5pt;margin-top:783.89999999999998pt;width:8.4000000000000004pt;height:6.25pt;z-index:-18874368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6740525</wp:posOffset>
              </wp:positionH>
              <wp:positionV relativeFrom="page">
                <wp:posOffset>10163810</wp:posOffset>
              </wp:positionV>
              <wp:extent cx="97790" cy="79375"/>
              <wp:wrapNone/>
              <wp:docPr id="535" name="Shape 5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1" type="#_x0000_t202" style="position:absolute;margin-left:530.75pt;margin-top:800.30000000000007pt;width:7.7000000000000002pt;height:6.25pt;z-index:-1887436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6740525</wp:posOffset>
              </wp:positionH>
              <wp:positionV relativeFrom="page">
                <wp:posOffset>10163810</wp:posOffset>
              </wp:positionV>
              <wp:extent cx="97790" cy="79375"/>
              <wp:wrapNone/>
              <wp:docPr id="540" name="Shape 5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66" type="#_x0000_t202" style="position:absolute;margin-left:530.75pt;margin-top:800.30000000000007pt;width:7.7000000000000002pt;height:6.25pt;z-index:-18874367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6727825</wp:posOffset>
              </wp:positionH>
              <wp:positionV relativeFrom="page">
                <wp:posOffset>9975215</wp:posOffset>
              </wp:positionV>
              <wp:extent cx="85090" cy="79375"/>
              <wp:wrapNone/>
              <wp:docPr id="550" name="Shape 55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76" type="#_x0000_t202" style="position:absolute;margin-left:529.75pt;margin-top:785.45000000000005pt;width:6.7000000000000002pt;height:6.25pt;z-index:-18874366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6727825</wp:posOffset>
              </wp:positionH>
              <wp:positionV relativeFrom="page">
                <wp:posOffset>9975215</wp:posOffset>
              </wp:positionV>
              <wp:extent cx="85090" cy="79375"/>
              <wp:wrapNone/>
              <wp:docPr id="558" name="Shape 55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4" type="#_x0000_t202" style="position:absolute;margin-left:529.75pt;margin-top:785.45000000000005pt;width:6.7000000000000002pt;height:6.25pt;z-index:-1887436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6706870</wp:posOffset>
              </wp:positionH>
              <wp:positionV relativeFrom="page">
                <wp:posOffset>10213975</wp:posOffset>
              </wp:positionV>
              <wp:extent cx="109855" cy="79375"/>
              <wp:wrapNone/>
              <wp:docPr id="560" name="Shape 56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86" type="#_x0000_t202" style="position:absolute;margin-left:528.10000000000002pt;margin-top:804.25pt;width:8.6500000000000004pt;height:6.25pt;z-index:-1887436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6727825</wp:posOffset>
              </wp:positionH>
              <wp:positionV relativeFrom="page">
                <wp:posOffset>9975215</wp:posOffset>
              </wp:positionV>
              <wp:extent cx="85090" cy="79375"/>
              <wp:wrapNone/>
              <wp:docPr id="59" name="Shape 5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5" type="#_x0000_t202" style="position:absolute;margin-left:529.75pt;margin-top:785.45000000000005pt;width:6.7000000000000002pt;height:6.25pt;z-index:-1887440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6740525</wp:posOffset>
              </wp:positionH>
              <wp:positionV relativeFrom="page">
                <wp:posOffset>10163810</wp:posOffset>
              </wp:positionV>
              <wp:extent cx="97790" cy="79375"/>
              <wp:wrapNone/>
              <wp:docPr id="565" name="Shape 56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1" type="#_x0000_t202" style="position:absolute;margin-left:530.75pt;margin-top:800.30000000000007pt;width:7.7000000000000002pt;height:6.25pt;z-index:-1887436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6724650</wp:posOffset>
              </wp:positionH>
              <wp:positionV relativeFrom="page">
                <wp:posOffset>9955530</wp:posOffset>
              </wp:positionV>
              <wp:extent cx="106680" cy="79375"/>
              <wp:wrapNone/>
              <wp:docPr id="570" name="Shape 57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596" type="#_x0000_t202" style="position:absolute;margin-left:529.5pt;margin-top:783.89999999999998pt;width:8.4000000000000004pt;height:6.25pt;z-index:-1887436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6724650</wp:posOffset>
              </wp:positionH>
              <wp:positionV relativeFrom="page">
                <wp:posOffset>9955530</wp:posOffset>
              </wp:positionV>
              <wp:extent cx="106680" cy="79375"/>
              <wp:wrapNone/>
              <wp:docPr id="575" name="Shape 57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1" type="#_x0000_t202" style="position:absolute;margin-left:529.5pt;margin-top:783.89999999999998pt;width:8.4000000000000004pt;height:6.25pt;z-index:-18874364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8" behindDoc="1" locked="0" layoutInCell="1" allowOverlap="1">
              <wp:simplePos x="0" y="0"/>
              <wp:positionH relativeFrom="page">
                <wp:posOffset>6724650</wp:posOffset>
              </wp:positionH>
              <wp:positionV relativeFrom="page">
                <wp:posOffset>9955530</wp:posOffset>
              </wp:positionV>
              <wp:extent cx="106680" cy="79375"/>
              <wp:wrapNone/>
              <wp:docPr id="580" name="Shape 58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06" type="#_x0000_t202" style="position:absolute;margin-left:529.5pt;margin-top:783.89999999999998pt;width:8.4000000000000004pt;height:6.25pt;z-index:-18874364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6664960</wp:posOffset>
              </wp:positionH>
              <wp:positionV relativeFrom="page">
                <wp:posOffset>10111740</wp:posOffset>
              </wp:positionV>
              <wp:extent cx="155575" cy="79375"/>
              <wp:wrapNone/>
              <wp:docPr id="584" name="Shape 5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0" type="#_x0000_t202" style="position:absolute;margin-left:524.79999999999995pt;margin-top:796.20000000000005pt;width:12.25pt;height:6.25pt;z-index:-1887436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6664960</wp:posOffset>
              </wp:positionH>
              <wp:positionV relativeFrom="page">
                <wp:posOffset>10111740</wp:posOffset>
              </wp:positionV>
              <wp:extent cx="155575" cy="79375"/>
              <wp:wrapNone/>
              <wp:docPr id="586" name="Shape 58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2" type="#_x0000_t202" style="position:absolute;margin-left:524.79999999999995pt;margin-top:796.20000000000005pt;width:12.25pt;height:6.25pt;z-index:-18874364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6740525</wp:posOffset>
              </wp:positionH>
              <wp:positionV relativeFrom="page">
                <wp:posOffset>10163810</wp:posOffset>
              </wp:positionV>
              <wp:extent cx="97790" cy="79375"/>
              <wp:wrapNone/>
              <wp:docPr id="591" name="Shape 59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17" type="#_x0000_t202" style="position:absolute;margin-left:530.75pt;margin-top:800.30000000000007pt;width:7.7000000000000002pt;height:6.25pt;z-index:-1887436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6740525</wp:posOffset>
              </wp:positionH>
              <wp:positionV relativeFrom="page">
                <wp:posOffset>10163810</wp:posOffset>
              </wp:positionV>
              <wp:extent cx="97790" cy="79375"/>
              <wp:wrapNone/>
              <wp:docPr id="596" name="Shape 59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2" type="#_x0000_t202" style="position:absolute;margin-left:530.75pt;margin-top:800.30000000000007pt;width:7.7000000000000002pt;height:6.25pt;z-index:-1887436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6664960</wp:posOffset>
              </wp:positionH>
              <wp:positionV relativeFrom="page">
                <wp:posOffset>10111740</wp:posOffset>
              </wp:positionV>
              <wp:extent cx="155575" cy="79375"/>
              <wp:wrapNone/>
              <wp:docPr id="602" name="Shape 602"/>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28" type="#_x0000_t202" style="position:absolute;margin-left:524.79999999999995pt;margin-top:796.20000000000005pt;width:12.25pt;height:6.25pt;z-index:-18874363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6664960</wp:posOffset>
              </wp:positionH>
              <wp:positionV relativeFrom="page">
                <wp:posOffset>10111740</wp:posOffset>
              </wp:positionV>
              <wp:extent cx="155575" cy="79375"/>
              <wp:wrapNone/>
              <wp:docPr id="604" name="Shape 60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630" type="#_x0000_t202" style="position:absolute;margin-left:524.79999999999995pt;margin-top:796.20000000000005pt;width:12.25pt;height:6.25pt;z-index:-18874362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3893820</wp:posOffset>
              </wp:positionH>
              <wp:positionV relativeFrom="page">
                <wp:posOffset>716915</wp:posOffset>
              </wp:positionV>
              <wp:extent cx="2907665" cy="106680"/>
              <wp:wrapNone/>
              <wp:docPr id="2" name="Shape 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06.60000000000002pt;margin-top:56.450000000000003pt;width:228.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711200</wp:posOffset>
              </wp:positionH>
              <wp:positionV relativeFrom="page">
                <wp:posOffset>431800</wp:posOffset>
              </wp:positionV>
              <wp:extent cx="734695" cy="356870"/>
              <wp:wrapNone/>
              <wp:docPr id="61" name="Shape 61"/>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62" name="Picutre 62"/>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088" type="#_x0000_t202" style="position:absolute;margin-left:56.pt;margin-top:34.pt;width:57.850000000000001pt;height:28.100000000000001pt;z-index:-188744019;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64" name="Picutre 64"/>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3883660</wp:posOffset>
              </wp:positionH>
              <wp:positionV relativeFrom="page">
                <wp:posOffset>697230</wp:posOffset>
              </wp:positionV>
              <wp:extent cx="2907665" cy="106680"/>
              <wp:wrapNone/>
              <wp:docPr id="65" name="Shape 65"/>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1" type="#_x0000_t202" style="position:absolute;margin-left:305.80000000000001pt;margin-top:54.899999999999999pt;width:228.95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866140</wp:posOffset>
              </wp:positionH>
              <wp:positionV relativeFrom="page">
                <wp:posOffset>630555</wp:posOffset>
              </wp:positionV>
              <wp:extent cx="5928360" cy="228600"/>
              <wp:wrapNone/>
              <wp:docPr id="606" name="Shape 606"/>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2" type="#_x0000_t202" style="position:absolute;margin-left:68.200000000000003pt;margin-top:49.649999999999999pt;width:466.80000000000001pt;height:18.pt;z-index:-188743627;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608" name="Shape 6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866140</wp:posOffset>
              </wp:positionH>
              <wp:positionV relativeFrom="page">
                <wp:posOffset>630555</wp:posOffset>
              </wp:positionV>
              <wp:extent cx="5928360" cy="228600"/>
              <wp:wrapNone/>
              <wp:docPr id="611" name="Shape 611"/>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37" type="#_x0000_t202" style="position:absolute;margin-left:68.200000000000003pt;margin-top:49.649999999999999pt;width:466.80000000000001pt;height:18.pt;z-index:-188743623;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613" name="Shape 6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4" behindDoc="1" locked="0" layoutInCell="1" allowOverlap="1">
              <wp:simplePos x="0" y="0"/>
              <wp:positionH relativeFrom="page">
                <wp:posOffset>3893820</wp:posOffset>
              </wp:positionH>
              <wp:positionV relativeFrom="page">
                <wp:posOffset>716915</wp:posOffset>
              </wp:positionV>
              <wp:extent cx="2907665" cy="106680"/>
              <wp:wrapNone/>
              <wp:docPr id="616" name="Shape 61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42" type="#_x0000_t202" style="position:absolute;margin-left:306.60000000000002pt;margin-top:56.450000000000003pt;width:228.95000000000002pt;height:8.4000000000000004pt;z-index:-18874361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618" name="Shape 6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713105</wp:posOffset>
              </wp:positionH>
              <wp:positionV relativeFrom="page">
                <wp:posOffset>538480</wp:posOffset>
              </wp:positionV>
              <wp:extent cx="734695" cy="356870"/>
              <wp:wrapNone/>
              <wp:docPr id="623" name="Shape 623"/>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624" name="Picutre 624"/>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650" type="#_x0000_t202" style="position:absolute;margin-left:56.149999999999999pt;margin-top:42.399999999999999pt;width:57.850000000000001pt;height:28.100000000000001pt;z-index:-18874361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626" name="Picutre 626"/>
                          <a:graphic xmlns:a="http://schemas.openxmlformats.org/drawingml/2006/main">
                            <a:graphicData uri="http://schemas.openxmlformats.org/drawingml/2006/picture">
                              <pic:pic xmlns:pic="http://schemas.openxmlformats.org/drawingml/2006/picture">
                                <pic:nvPicPr>
                                  <pic:cNvPr id="626" name="Picture 626"/>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40" behindDoc="1" locked="0" layoutInCell="1" allowOverlap="1">
              <wp:simplePos x="0" y="0"/>
              <wp:positionH relativeFrom="page">
                <wp:posOffset>3886200</wp:posOffset>
              </wp:positionH>
              <wp:positionV relativeFrom="page">
                <wp:posOffset>803910</wp:posOffset>
              </wp:positionV>
              <wp:extent cx="2907665" cy="106680"/>
              <wp:wrapNone/>
              <wp:docPr id="627" name="Shape 62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53" type="#_x0000_t202" style="position:absolute;margin-left:306.pt;margin-top:63.300000000000004pt;width:228.95000000000002pt;height:8.4000000000000004pt;z-index:-1887436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713105</wp:posOffset>
              </wp:positionH>
              <wp:positionV relativeFrom="page">
                <wp:posOffset>538480</wp:posOffset>
              </wp:positionV>
              <wp:extent cx="734695" cy="356870"/>
              <wp:wrapNone/>
              <wp:docPr id="631" name="Shape 631"/>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632" name="Picutre 632"/>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658" type="#_x0000_t202" style="position:absolute;margin-left:56.149999999999999pt;margin-top:42.399999999999999pt;width:57.850000000000001pt;height:28.100000000000001pt;z-index:-188743609;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634" name="Picutre 634"/>
                          <a:graphic xmlns:a="http://schemas.openxmlformats.org/drawingml/2006/main">
                            <a:graphicData uri="http://schemas.openxmlformats.org/drawingml/2006/picture">
                              <pic:pic xmlns:pic="http://schemas.openxmlformats.org/drawingml/2006/picture">
                                <pic:nvPicPr>
                                  <pic:cNvPr id="634" name="Picture 634"/>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46" behindDoc="1" locked="0" layoutInCell="1" allowOverlap="1">
              <wp:simplePos x="0" y="0"/>
              <wp:positionH relativeFrom="page">
                <wp:posOffset>3886200</wp:posOffset>
              </wp:positionH>
              <wp:positionV relativeFrom="page">
                <wp:posOffset>803910</wp:posOffset>
              </wp:positionV>
              <wp:extent cx="2907665" cy="106680"/>
              <wp:wrapNone/>
              <wp:docPr id="635" name="Shape 635"/>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1" type="#_x0000_t202" style="position:absolute;margin-left:306.pt;margin-top:63.300000000000004pt;width:228.95000000000002pt;height:8.4000000000000004pt;z-index:-1887436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713105</wp:posOffset>
              </wp:positionH>
              <wp:positionV relativeFrom="page">
                <wp:posOffset>538480</wp:posOffset>
              </wp:positionV>
              <wp:extent cx="734695" cy="356870"/>
              <wp:wrapNone/>
              <wp:docPr id="639" name="Shape 639"/>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640" name="Picutre 640"/>
                                <a:graphic xmlns:a="http://schemas.openxmlformats.org/drawingml/2006/main">
                                  <a:graphicData uri="http://schemas.openxmlformats.org/drawingml/2006/picture">
                                    <pic:pic xmlns:pic="http://schemas.openxmlformats.org/drawingml/2006/picture">
                                      <pic:nvPicPr>
                                        <pic:cNvPr id="640" name="Picture 640"/>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666" type="#_x0000_t202" style="position:absolute;margin-left:56.149999999999999pt;margin-top:42.399999999999999pt;width:57.850000000000001pt;height:28.100000000000001pt;z-index:-18874360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642" name="Picutre 642"/>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52" behindDoc="1" locked="0" layoutInCell="1" allowOverlap="1">
              <wp:simplePos x="0" y="0"/>
              <wp:positionH relativeFrom="page">
                <wp:posOffset>3886200</wp:posOffset>
              </wp:positionH>
              <wp:positionV relativeFrom="page">
                <wp:posOffset>803910</wp:posOffset>
              </wp:positionV>
              <wp:extent cx="2907665" cy="106680"/>
              <wp:wrapNone/>
              <wp:docPr id="643" name="Shape 64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69" type="#_x0000_t202" style="position:absolute;margin-left:306.pt;margin-top:63.300000000000004pt;width:228.95000000000002pt;height:8.4000000000000004pt;z-index:-1887436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713105</wp:posOffset>
              </wp:positionH>
              <wp:positionV relativeFrom="page">
                <wp:posOffset>538480</wp:posOffset>
              </wp:positionV>
              <wp:extent cx="734695" cy="356870"/>
              <wp:wrapNone/>
              <wp:docPr id="647" name="Shape 647"/>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648" name="Picutre 648"/>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674" type="#_x0000_t202" style="position:absolute;margin-left:56.149999999999999pt;margin-top:42.399999999999999pt;width:57.850000000000001pt;height:28.100000000000001pt;z-index:-18874359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650" name="Picutre 650"/>
                          <a:graphic xmlns:a="http://schemas.openxmlformats.org/drawingml/2006/main">
                            <a:graphicData uri="http://schemas.openxmlformats.org/drawingml/2006/picture">
                              <pic:pic xmlns:pic="http://schemas.openxmlformats.org/drawingml/2006/picture">
                                <pic:nvPicPr>
                                  <pic:cNvPr id="650" name="Picture 650"/>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58" behindDoc="1" locked="0" layoutInCell="1" allowOverlap="1">
              <wp:simplePos x="0" y="0"/>
              <wp:positionH relativeFrom="page">
                <wp:posOffset>3886200</wp:posOffset>
              </wp:positionH>
              <wp:positionV relativeFrom="page">
                <wp:posOffset>803910</wp:posOffset>
              </wp:positionV>
              <wp:extent cx="2907665" cy="106680"/>
              <wp:wrapNone/>
              <wp:docPr id="651" name="Shape 651"/>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77" type="#_x0000_t202" style="position:absolute;margin-left:306.pt;margin-top:63.300000000000004pt;width:228.95000000000002pt;height:8.4000000000000004pt;z-index:-18874359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917575</wp:posOffset>
              </wp:positionH>
              <wp:positionV relativeFrom="page">
                <wp:posOffset>681990</wp:posOffset>
              </wp:positionV>
              <wp:extent cx="5928360" cy="228600"/>
              <wp:wrapNone/>
              <wp:docPr id="655" name="Shape 655"/>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81" type="#_x0000_t202" style="position:absolute;margin-left:72.25pt;margin-top:53.700000000000003pt;width:466.80000000000001pt;height:18.pt;z-index:-188743591;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743585</wp:posOffset>
              </wp:positionH>
              <wp:positionV relativeFrom="page">
                <wp:posOffset>948690</wp:posOffset>
              </wp:positionV>
              <wp:extent cx="6163310" cy="0"/>
              <wp:wrapNone/>
              <wp:docPr id="657" name="Shape 6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550000000000004pt;margin-top:74.700000000000003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6" behindDoc="1" locked="0" layoutInCell="1" allowOverlap="1">
              <wp:simplePos x="0" y="0"/>
              <wp:positionH relativeFrom="page">
                <wp:posOffset>713105</wp:posOffset>
              </wp:positionH>
              <wp:positionV relativeFrom="page">
                <wp:posOffset>538480</wp:posOffset>
              </wp:positionV>
              <wp:extent cx="734695" cy="356870"/>
              <wp:wrapNone/>
              <wp:docPr id="660" name="Shape 660"/>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661" name="Picutre 661"/>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687" type="#_x0000_t202" style="position:absolute;margin-left:56.149999999999999pt;margin-top:42.399999999999999pt;width:57.850000000000001pt;height:28.100000000000001pt;z-index:-18874358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663" name="Picutre 663"/>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68" behindDoc="1" locked="0" layoutInCell="1" allowOverlap="1">
              <wp:simplePos x="0" y="0"/>
              <wp:positionH relativeFrom="page">
                <wp:posOffset>3886200</wp:posOffset>
              </wp:positionH>
              <wp:positionV relativeFrom="page">
                <wp:posOffset>803910</wp:posOffset>
              </wp:positionV>
              <wp:extent cx="2907665" cy="106680"/>
              <wp:wrapNone/>
              <wp:docPr id="664" name="Shape 66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0" type="#_x0000_t202" style="position:absolute;margin-left:306.pt;margin-top:63.300000000000004pt;width:228.95000000000002pt;height:8.4000000000000004pt;z-index:-1887435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2" behindDoc="1" locked="0" layoutInCell="1" allowOverlap="1">
              <wp:simplePos x="0" y="0"/>
              <wp:positionH relativeFrom="page">
                <wp:posOffset>713105</wp:posOffset>
              </wp:positionH>
              <wp:positionV relativeFrom="page">
                <wp:posOffset>538480</wp:posOffset>
              </wp:positionV>
              <wp:extent cx="734695" cy="356870"/>
              <wp:wrapNone/>
              <wp:docPr id="668" name="Shape 668"/>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669" name="Picutre 669"/>
                                <a:graphic xmlns:a="http://schemas.openxmlformats.org/drawingml/2006/main">
                                  <a:graphicData uri="http://schemas.openxmlformats.org/drawingml/2006/picture">
                                    <pic:pic xmlns:pic="http://schemas.openxmlformats.org/drawingml/2006/picture">
                                      <pic:nvPicPr>
                                        <pic:cNvPr id="669" name="Picture 669"/>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695" type="#_x0000_t202" style="position:absolute;margin-left:56.149999999999999pt;margin-top:42.399999999999999pt;width:57.850000000000001pt;height:28.100000000000001pt;z-index:-18874358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671" name="Picutre 671"/>
                          <a:graphic xmlns:a="http://schemas.openxmlformats.org/drawingml/2006/main">
                            <a:graphicData uri="http://schemas.openxmlformats.org/drawingml/2006/picture">
                              <pic:pic xmlns:pic="http://schemas.openxmlformats.org/drawingml/2006/picture">
                                <pic:nvPicPr>
                                  <pic:cNvPr id="671" name="Picture 671"/>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74" behindDoc="1" locked="0" layoutInCell="1" allowOverlap="1">
              <wp:simplePos x="0" y="0"/>
              <wp:positionH relativeFrom="page">
                <wp:posOffset>3886200</wp:posOffset>
              </wp:positionH>
              <wp:positionV relativeFrom="page">
                <wp:posOffset>803910</wp:posOffset>
              </wp:positionV>
              <wp:extent cx="2907665" cy="106680"/>
              <wp:wrapNone/>
              <wp:docPr id="672" name="Shape 67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698" type="#_x0000_t202" style="position:absolute;margin-left:306.pt;margin-top:63.300000000000004pt;width:228.95000000000002pt;height:8.4000000000000004pt;z-index:-18874357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711200</wp:posOffset>
              </wp:positionH>
              <wp:positionV relativeFrom="page">
                <wp:posOffset>431800</wp:posOffset>
              </wp:positionV>
              <wp:extent cx="734695" cy="356870"/>
              <wp:wrapNone/>
              <wp:docPr id="69" name="Shape 69"/>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096" type="#_x0000_t202" style="position:absolute;margin-left:56.pt;margin-top:34.pt;width:57.850000000000001pt;height:28.100000000000001pt;z-index:-18874401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2" name="Picutre 72"/>
                          <a:graphic xmlns:a="http://schemas.openxmlformats.org/drawingml/2006/main">
                            <a:graphicData uri="http://schemas.openxmlformats.org/drawingml/2006/picture">
                              <pic:pic xmlns:pic="http://schemas.openxmlformats.org/drawingml/2006/picture">
                                <pic:nvPicPr>
                                  <pic:cNvPr id="72" name="Picture 72"/>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3883660</wp:posOffset>
              </wp:positionH>
              <wp:positionV relativeFrom="page">
                <wp:posOffset>697230</wp:posOffset>
              </wp:positionV>
              <wp:extent cx="2907665" cy="106680"/>
              <wp:wrapNone/>
              <wp:docPr id="73" name="Shape 7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99" type="#_x0000_t202" style="position:absolute;margin-left:305.80000000000001pt;margin-top:54.899999999999999pt;width:228.95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917575</wp:posOffset>
              </wp:positionH>
              <wp:positionV relativeFrom="page">
                <wp:posOffset>681990</wp:posOffset>
              </wp:positionV>
              <wp:extent cx="5928360" cy="228600"/>
              <wp:wrapNone/>
              <wp:docPr id="676" name="Shape 676"/>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02" type="#_x0000_t202" style="position:absolute;margin-left:72.25pt;margin-top:53.700000000000003pt;width:466.80000000000001pt;height:18.pt;z-index:-18874357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743585</wp:posOffset>
              </wp:positionH>
              <wp:positionV relativeFrom="page">
                <wp:posOffset>948690</wp:posOffset>
              </wp:positionV>
              <wp:extent cx="6163310" cy="0"/>
              <wp:wrapNone/>
              <wp:docPr id="678" name="Shape 6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550000000000004pt;margin-top:74.700000000000003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2" behindDoc="1" locked="0" layoutInCell="1" allowOverlap="1">
              <wp:simplePos x="0" y="0"/>
              <wp:positionH relativeFrom="page">
                <wp:posOffset>713105</wp:posOffset>
              </wp:positionH>
              <wp:positionV relativeFrom="page">
                <wp:posOffset>538480</wp:posOffset>
              </wp:positionV>
              <wp:extent cx="734695" cy="356870"/>
              <wp:wrapNone/>
              <wp:docPr id="681" name="Shape 681"/>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682" name="Picutre 682"/>
                                <a:graphic xmlns:a="http://schemas.openxmlformats.org/drawingml/2006/main">
                                  <a:graphicData uri="http://schemas.openxmlformats.org/drawingml/2006/picture">
                                    <pic:pic xmlns:pic="http://schemas.openxmlformats.org/drawingml/2006/picture">
                                      <pic:nvPicPr>
                                        <pic:cNvPr id="682" name="Picture 682"/>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708" type="#_x0000_t202" style="position:absolute;margin-left:56.149999999999999pt;margin-top:42.399999999999999pt;width:57.850000000000001pt;height:28.100000000000001pt;z-index:-18874357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684" name="Picutre 684"/>
                          <a:graphic xmlns:a="http://schemas.openxmlformats.org/drawingml/2006/main">
                            <a:graphicData uri="http://schemas.openxmlformats.org/drawingml/2006/picture">
                              <pic:pic xmlns:pic="http://schemas.openxmlformats.org/drawingml/2006/picture">
                                <pic:nvPicPr>
                                  <pic:cNvPr id="684" name="Picture 684"/>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84" behindDoc="1" locked="0" layoutInCell="1" allowOverlap="1">
              <wp:simplePos x="0" y="0"/>
              <wp:positionH relativeFrom="page">
                <wp:posOffset>3886200</wp:posOffset>
              </wp:positionH>
              <wp:positionV relativeFrom="page">
                <wp:posOffset>803910</wp:posOffset>
              </wp:positionV>
              <wp:extent cx="2907665" cy="106680"/>
              <wp:wrapNone/>
              <wp:docPr id="685" name="Shape 685"/>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1" type="#_x0000_t202" style="position:absolute;margin-left:306.pt;margin-top:63.300000000000004pt;width:228.95000000000002pt;height:8.4000000000000004pt;z-index:-1887435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8" behindDoc="1" locked="0" layoutInCell="1" allowOverlap="1">
              <wp:simplePos x="0" y="0"/>
              <wp:positionH relativeFrom="page">
                <wp:posOffset>713105</wp:posOffset>
              </wp:positionH>
              <wp:positionV relativeFrom="page">
                <wp:posOffset>538480</wp:posOffset>
              </wp:positionV>
              <wp:extent cx="734695" cy="356870"/>
              <wp:wrapNone/>
              <wp:docPr id="689" name="Shape 689"/>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690" name="Picutre 690"/>
                                <a:graphic xmlns:a="http://schemas.openxmlformats.org/drawingml/2006/main">
                                  <a:graphicData uri="http://schemas.openxmlformats.org/drawingml/2006/picture">
                                    <pic:pic xmlns:pic="http://schemas.openxmlformats.org/drawingml/2006/picture">
                                      <pic:nvPicPr>
                                        <pic:cNvPr id="690" name="Picture 690"/>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716" type="#_x0000_t202" style="position:absolute;margin-left:56.149999999999999pt;margin-top:42.399999999999999pt;width:57.850000000000001pt;height:28.100000000000001pt;z-index:-18874356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692" name="Picutre 692"/>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190" behindDoc="1" locked="0" layoutInCell="1" allowOverlap="1">
              <wp:simplePos x="0" y="0"/>
              <wp:positionH relativeFrom="page">
                <wp:posOffset>3886200</wp:posOffset>
              </wp:positionH>
              <wp:positionV relativeFrom="page">
                <wp:posOffset>803910</wp:posOffset>
              </wp:positionV>
              <wp:extent cx="2907665" cy="106680"/>
              <wp:wrapNone/>
              <wp:docPr id="693" name="Shape 69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19" type="#_x0000_t202" style="position:absolute;margin-left:306.pt;margin-top:63.300000000000004pt;width:228.95000000000002pt;height:8.4000000000000004pt;z-index:-18874356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4" behindDoc="1" locked="0" layoutInCell="1" allowOverlap="1">
              <wp:simplePos x="0" y="0"/>
              <wp:positionH relativeFrom="page">
                <wp:posOffset>917575</wp:posOffset>
              </wp:positionH>
              <wp:positionV relativeFrom="page">
                <wp:posOffset>681990</wp:posOffset>
              </wp:positionV>
              <wp:extent cx="5928360" cy="228600"/>
              <wp:wrapNone/>
              <wp:docPr id="697" name="Shape 697"/>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23" type="#_x0000_t202" style="position:absolute;margin-left:72.25pt;margin-top:53.700000000000003pt;width:466.80000000000001pt;height:18.pt;z-index:-18874355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743585</wp:posOffset>
              </wp:positionH>
              <wp:positionV relativeFrom="page">
                <wp:posOffset>948690</wp:posOffset>
              </wp:positionV>
              <wp:extent cx="6163310" cy="0"/>
              <wp:wrapNone/>
              <wp:docPr id="699" name="Shape 6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550000000000004pt;margin-top:74.700000000000003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713105</wp:posOffset>
              </wp:positionH>
              <wp:positionV relativeFrom="page">
                <wp:posOffset>538480</wp:posOffset>
              </wp:positionV>
              <wp:extent cx="734695" cy="356870"/>
              <wp:wrapNone/>
              <wp:docPr id="702" name="Shape 702"/>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03" name="Picutre 703"/>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729" type="#_x0000_t202" style="position:absolute;margin-left:56.149999999999999pt;margin-top:42.399999999999999pt;width:57.850000000000001pt;height:28.100000000000001pt;z-index:-18874355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05" name="Picutre 705"/>
                          <a:graphic xmlns:a="http://schemas.openxmlformats.org/drawingml/2006/main">
                            <a:graphicData uri="http://schemas.openxmlformats.org/drawingml/2006/picture">
                              <pic:pic xmlns:pic="http://schemas.openxmlformats.org/drawingml/2006/picture">
                                <pic:nvPicPr>
                                  <pic:cNvPr id="705" name="Picture 705"/>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3886200</wp:posOffset>
              </wp:positionH>
              <wp:positionV relativeFrom="page">
                <wp:posOffset>803910</wp:posOffset>
              </wp:positionV>
              <wp:extent cx="2907665" cy="106680"/>
              <wp:wrapNone/>
              <wp:docPr id="706" name="Shape 70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32" type="#_x0000_t202" style="position:absolute;margin-left:306.pt;margin-top:63.300000000000004pt;width:228.95000000000002pt;height:8.4000000000000004pt;z-index:-1887435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917575</wp:posOffset>
              </wp:positionH>
              <wp:positionV relativeFrom="page">
                <wp:posOffset>681990</wp:posOffset>
              </wp:positionV>
              <wp:extent cx="5928360" cy="228600"/>
              <wp:wrapNone/>
              <wp:docPr id="710" name="Shape 710"/>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36" type="#_x0000_t202" style="position:absolute;margin-left:72.25pt;margin-top:53.700000000000003pt;width:466.80000000000001pt;height:18.pt;z-index:-18874354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743585</wp:posOffset>
              </wp:positionH>
              <wp:positionV relativeFrom="page">
                <wp:posOffset>948690</wp:posOffset>
              </wp:positionV>
              <wp:extent cx="6163310" cy="0"/>
              <wp:wrapNone/>
              <wp:docPr id="712" name="Shape 7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550000000000004pt;margin-top:74.700000000000003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713105</wp:posOffset>
              </wp:positionH>
              <wp:positionV relativeFrom="page">
                <wp:posOffset>538480</wp:posOffset>
              </wp:positionV>
              <wp:extent cx="734695" cy="356870"/>
              <wp:wrapNone/>
              <wp:docPr id="719" name="Shape 719"/>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20" name="Picutre 720"/>
                                <a:graphic xmlns:a="http://schemas.openxmlformats.org/drawingml/2006/main">
                                  <a:graphicData uri="http://schemas.openxmlformats.org/drawingml/2006/picture">
                                    <pic:pic xmlns:pic="http://schemas.openxmlformats.org/drawingml/2006/picture">
                                      <pic:nvPicPr>
                                        <pic:cNvPr id="720" name="Picture 720"/>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746" type="#_x0000_t202" style="position:absolute;margin-left:56.149999999999999pt;margin-top:42.399999999999999pt;width:57.850000000000001pt;height:28.100000000000001pt;z-index:-18874354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22" name="Picutre 722"/>
                          <a:graphic xmlns:a="http://schemas.openxmlformats.org/drawingml/2006/main">
                            <a:graphicData uri="http://schemas.openxmlformats.org/drawingml/2006/picture">
                              <pic:pic xmlns:pic="http://schemas.openxmlformats.org/drawingml/2006/picture">
                                <pic:nvPicPr>
                                  <pic:cNvPr id="722" name="Picture 722"/>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14" behindDoc="1" locked="0" layoutInCell="1" allowOverlap="1">
              <wp:simplePos x="0" y="0"/>
              <wp:positionH relativeFrom="page">
                <wp:posOffset>3886200</wp:posOffset>
              </wp:positionH>
              <wp:positionV relativeFrom="page">
                <wp:posOffset>803910</wp:posOffset>
              </wp:positionV>
              <wp:extent cx="2907665" cy="106680"/>
              <wp:wrapNone/>
              <wp:docPr id="723" name="Shape 72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49" type="#_x0000_t202" style="position:absolute;margin-left:306.pt;margin-top:63.300000000000004pt;width:228.95000000000002pt;height:8.4000000000000004pt;z-index:-18874353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3893820</wp:posOffset>
              </wp:positionH>
              <wp:positionV relativeFrom="page">
                <wp:posOffset>716915</wp:posOffset>
              </wp:positionV>
              <wp:extent cx="2907665" cy="106680"/>
              <wp:wrapNone/>
              <wp:docPr id="733" name="Shape 73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59" type="#_x0000_t202" style="position:absolute;margin-left:306.60000000000002pt;margin-top:56.450000000000003pt;width:228.95000000000002pt;height:8.4000000000000004pt;z-index:-1887435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735" name="Shape 7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864870</wp:posOffset>
              </wp:positionH>
              <wp:positionV relativeFrom="page">
                <wp:posOffset>668020</wp:posOffset>
              </wp:positionV>
              <wp:extent cx="5928360" cy="228600"/>
              <wp:wrapNone/>
              <wp:docPr id="77" name="Shape 77"/>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03" type="#_x0000_t202" style="position:absolute;margin-left:68.099999999999994pt;margin-top:52.600000000000001pt;width:466.80000000000001pt;height:18.pt;z-index:-188744007;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79" name="Shape 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2" behindDoc="1" locked="0" layoutInCell="1" allowOverlap="1">
              <wp:simplePos x="0" y="0"/>
              <wp:positionH relativeFrom="page">
                <wp:posOffset>3893820</wp:posOffset>
              </wp:positionH>
              <wp:positionV relativeFrom="page">
                <wp:posOffset>716915</wp:posOffset>
              </wp:positionV>
              <wp:extent cx="2907665" cy="106680"/>
              <wp:wrapNone/>
              <wp:docPr id="738" name="Shape 73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764" type="#_x0000_t202" style="position:absolute;margin-left:306.60000000000002pt;margin-top:56.450000000000003pt;width:228.95000000000002pt;height:8.4000000000000004pt;z-index:-1887435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740" name="Shape 7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727075</wp:posOffset>
              </wp:positionH>
              <wp:positionV relativeFrom="page">
                <wp:posOffset>472440</wp:posOffset>
              </wp:positionV>
              <wp:extent cx="734695" cy="356870"/>
              <wp:wrapNone/>
              <wp:docPr id="743" name="Shape 743"/>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44" name="Picutre 744"/>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770" type="#_x0000_t202" style="position:absolute;margin-left:57.25pt;margin-top:37.200000000000003pt;width:57.850000000000001pt;height:28.100000000000001pt;z-index:-18874352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46" name="Picutre 746"/>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28" behindDoc="1" locked="0" layoutInCell="1" allowOverlap="1">
              <wp:simplePos x="0" y="0"/>
              <wp:positionH relativeFrom="page">
                <wp:posOffset>3899535</wp:posOffset>
              </wp:positionH>
              <wp:positionV relativeFrom="page">
                <wp:posOffset>737870</wp:posOffset>
              </wp:positionV>
              <wp:extent cx="2926080" cy="176530"/>
              <wp:wrapNone/>
              <wp:docPr id="747" name="Shape 747"/>
              <a:graphic xmlns:a="http://schemas.openxmlformats.org/drawingml/2006/main">
                <a:graphicData uri="http://schemas.microsoft.com/office/word/2010/wordprocessingShape">
                  <wps:wsp>
                    <wps:cNvSpPr txBox="1"/>
                    <wps:spPr>
                      <a:xfrm>
                        <a:ext cx="2926080" cy="176530"/>
                      </a:xfrm>
                      <a:prstGeom prst="rect"/>
                      <a:noFill/>
                    </wps:spPr>
                    <wps:txbx>
                      <w:txbxContent>
                        <w:p>
                          <w:pPr>
                            <w:pStyle w:val="Style53"/>
                            <w:keepNext w:val="0"/>
                            <w:keepLines w:val="0"/>
                            <w:widowControl w:val="0"/>
                            <w:shd w:val="clear" w:color="auto" w:fill="auto"/>
                            <w:tabs>
                              <w:tab w:pos="4608" w:val="right"/>
                            </w:tabs>
                            <w:bidi w:val="0"/>
                            <w:spacing w:before="0" w:after="0" w:line="240" w:lineRule="auto"/>
                            <w:ind w:left="0" w:right="0" w:firstLine="0"/>
                            <w:jc w:val="left"/>
                          </w:pPr>
                          <w:r>
                            <w:rPr>
                              <w:color w:val="000000"/>
                              <w:spacing w:val="0"/>
                              <w:w w:val="100"/>
                              <w:position w:val="0"/>
                            </w:rPr>
                            <w:t>深圳市建筑率</w:t>
                            <w:tab/>
                            <w:t>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773" type="#_x0000_t202" style="position:absolute;margin-left:307.05000000000001pt;margin-top:58.100000000000001pt;width:230.40000000000001pt;height:13.9pt;z-index:-18874352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4608" w:val="right"/>
                      </w:tabs>
                      <w:bidi w:val="0"/>
                      <w:spacing w:before="0" w:after="0" w:line="240" w:lineRule="auto"/>
                      <w:ind w:left="0" w:right="0" w:firstLine="0"/>
                      <w:jc w:val="left"/>
                    </w:pPr>
                    <w:r>
                      <w:rPr>
                        <w:color w:val="000000"/>
                        <w:spacing w:val="0"/>
                        <w:w w:val="100"/>
                        <w:position w:val="0"/>
                      </w:rPr>
                      <w:t>深圳市建筑率</w:t>
                      <w:tab/>
                      <w:t>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713105</wp:posOffset>
              </wp:positionH>
              <wp:positionV relativeFrom="page">
                <wp:posOffset>538480</wp:posOffset>
              </wp:positionV>
              <wp:extent cx="734695" cy="356870"/>
              <wp:wrapNone/>
              <wp:docPr id="751" name="Shape 751"/>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52" name="Picutre 752"/>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778" type="#_x0000_t202" style="position:absolute;margin-left:56.149999999999999pt;margin-top:42.399999999999999pt;width:57.850000000000001pt;height:28.100000000000001pt;z-index:-18874352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54" name="Picutre 754"/>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3886200</wp:posOffset>
              </wp:positionH>
              <wp:positionV relativeFrom="page">
                <wp:posOffset>803910</wp:posOffset>
              </wp:positionV>
              <wp:extent cx="2907665" cy="106680"/>
              <wp:wrapNone/>
              <wp:docPr id="755" name="Shape 755"/>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1" type="#_x0000_t202" style="position:absolute;margin-left:306.pt;margin-top:63.300000000000004pt;width:228.95000000000002pt;height:8.4000000000000004pt;z-index:-18874351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713105</wp:posOffset>
              </wp:positionH>
              <wp:positionV relativeFrom="page">
                <wp:posOffset>538480</wp:posOffset>
              </wp:positionV>
              <wp:extent cx="734695" cy="356870"/>
              <wp:wrapNone/>
              <wp:docPr id="759" name="Shape 759"/>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60" name="Picutre 760"/>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786" type="#_x0000_t202" style="position:absolute;margin-left:56.149999999999999pt;margin-top:42.399999999999999pt;width:57.850000000000001pt;height:28.100000000000001pt;z-index:-18874351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62" name="Picutre 762"/>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3886200</wp:posOffset>
              </wp:positionH>
              <wp:positionV relativeFrom="page">
                <wp:posOffset>803910</wp:posOffset>
              </wp:positionV>
              <wp:extent cx="2907665" cy="106680"/>
              <wp:wrapNone/>
              <wp:docPr id="763" name="Shape 76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89" type="#_x0000_t202" style="position:absolute;margin-left:306.pt;margin-top:63.300000000000004pt;width:228.95000000000002pt;height:8.4000000000000004pt;z-index:-18874351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713105</wp:posOffset>
              </wp:positionH>
              <wp:positionV relativeFrom="page">
                <wp:posOffset>538480</wp:posOffset>
              </wp:positionV>
              <wp:extent cx="734695" cy="356870"/>
              <wp:wrapNone/>
              <wp:docPr id="767" name="Shape 767"/>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68" name="Picutre 768"/>
                                <a:graphic xmlns:a="http://schemas.openxmlformats.org/drawingml/2006/main">
                                  <a:graphicData uri="http://schemas.openxmlformats.org/drawingml/2006/picture">
                                    <pic:pic xmlns:pic="http://schemas.openxmlformats.org/drawingml/2006/picture">
                                      <pic:nvPicPr>
                                        <pic:cNvPr id="768" name="Picture 768"/>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794" type="#_x0000_t202" style="position:absolute;margin-left:56.149999999999999pt;margin-top:42.399999999999999pt;width:57.850000000000001pt;height:28.100000000000001pt;z-index:-188743509;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70" name="Picutre 770"/>
                          <a:graphic xmlns:a="http://schemas.openxmlformats.org/drawingml/2006/main">
                            <a:graphicData uri="http://schemas.openxmlformats.org/drawingml/2006/picture">
                              <pic:pic xmlns:pic="http://schemas.openxmlformats.org/drawingml/2006/picture">
                                <pic:nvPicPr>
                                  <pic:cNvPr id="770" name="Picture 770"/>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3886200</wp:posOffset>
              </wp:positionH>
              <wp:positionV relativeFrom="page">
                <wp:posOffset>803910</wp:posOffset>
              </wp:positionV>
              <wp:extent cx="2907665" cy="106680"/>
              <wp:wrapNone/>
              <wp:docPr id="771" name="Shape 771"/>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797" type="#_x0000_t202" style="position:absolute;margin-left:306.pt;margin-top:63.300000000000004pt;width:228.95000000000002pt;height:8.4000000000000004pt;z-index:-18874350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713105</wp:posOffset>
              </wp:positionH>
              <wp:positionV relativeFrom="page">
                <wp:posOffset>538480</wp:posOffset>
              </wp:positionV>
              <wp:extent cx="734695" cy="356870"/>
              <wp:wrapNone/>
              <wp:docPr id="775" name="Shape 775"/>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76" name="Picutre 776"/>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802" type="#_x0000_t202" style="position:absolute;margin-left:56.149999999999999pt;margin-top:42.399999999999999pt;width:57.850000000000001pt;height:28.100000000000001pt;z-index:-18874350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78" name="Picutre 778"/>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52" behindDoc="1" locked="0" layoutInCell="1" allowOverlap="1">
              <wp:simplePos x="0" y="0"/>
              <wp:positionH relativeFrom="page">
                <wp:posOffset>3886200</wp:posOffset>
              </wp:positionH>
              <wp:positionV relativeFrom="page">
                <wp:posOffset>803910</wp:posOffset>
              </wp:positionV>
              <wp:extent cx="2907665" cy="106680"/>
              <wp:wrapNone/>
              <wp:docPr id="779" name="Shape 77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05" type="#_x0000_t202" style="position:absolute;margin-left:306.pt;margin-top:63.300000000000004pt;width:228.95000000000002pt;height:8.4000000000000004pt;z-index:-18874350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6" behindDoc="1" locked="0" layoutInCell="1" allowOverlap="1">
              <wp:simplePos x="0" y="0"/>
              <wp:positionH relativeFrom="page">
                <wp:posOffset>3893820</wp:posOffset>
              </wp:positionH>
              <wp:positionV relativeFrom="page">
                <wp:posOffset>716915</wp:posOffset>
              </wp:positionV>
              <wp:extent cx="2907665" cy="106680"/>
              <wp:wrapNone/>
              <wp:docPr id="783" name="Shape 78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809" type="#_x0000_t202" style="position:absolute;margin-left:306.60000000000002pt;margin-top:56.450000000000003pt;width:228.95000000000002pt;height:8.4000000000000004pt;z-index:-18874349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785" name="Shape 7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1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713105</wp:posOffset>
              </wp:positionH>
              <wp:positionV relativeFrom="page">
                <wp:posOffset>538480</wp:posOffset>
              </wp:positionV>
              <wp:extent cx="734695" cy="356870"/>
              <wp:wrapNone/>
              <wp:docPr id="788" name="Shape 788"/>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89" name="Picutre 789"/>
                                <a:graphic xmlns:a="http://schemas.openxmlformats.org/drawingml/2006/main">
                                  <a:graphicData uri="http://schemas.openxmlformats.org/drawingml/2006/picture">
                                    <pic:pic xmlns:pic="http://schemas.openxmlformats.org/drawingml/2006/picture">
                                      <pic:nvPicPr>
                                        <pic:cNvPr id="789" name="Picture 789"/>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815" type="#_x0000_t202" style="position:absolute;margin-left:56.149999999999999pt;margin-top:42.399999999999999pt;width:57.850000000000001pt;height:28.100000000000001pt;z-index:-18874349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91" name="Picutre 791"/>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62" behindDoc="1" locked="0" layoutInCell="1" allowOverlap="1">
              <wp:simplePos x="0" y="0"/>
              <wp:positionH relativeFrom="page">
                <wp:posOffset>3886200</wp:posOffset>
              </wp:positionH>
              <wp:positionV relativeFrom="page">
                <wp:posOffset>803910</wp:posOffset>
              </wp:positionV>
              <wp:extent cx="2907665" cy="106680"/>
              <wp:wrapNone/>
              <wp:docPr id="792" name="Shape 79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18" type="#_x0000_t202" style="position:absolute;margin-left:306.pt;margin-top:63.300000000000004pt;width:228.95000000000002pt;height:8.4000000000000004pt;z-index:-18874349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713105</wp:posOffset>
              </wp:positionH>
              <wp:positionV relativeFrom="page">
                <wp:posOffset>538480</wp:posOffset>
              </wp:positionV>
              <wp:extent cx="734695" cy="356870"/>
              <wp:wrapNone/>
              <wp:docPr id="796" name="Shape 796"/>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797" name="Picutre 797"/>
                                <a:graphic xmlns:a="http://schemas.openxmlformats.org/drawingml/2006/main">
                                  <a:graphicData uri="http://schemas.openxmlformats.org/drawingml/2006/picture">
                                    <pic:pic xmlns:pic="http://schemas.openxmlformats.org/drawingml/2006/picture">
                                      <pic:nvPicPr>
                                        <pic:cNvPr id="797" name="Picture 797"/>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823" type="#_x0000_t202" style="position:absolute;margin-left:56.149999999999999pt;margin-top:42.399999999999999pt;width:57.850000000000001pt;height:28.100000000000001pt;z-index:-18874348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799" name="Picutre 799"/>
                          <a:graphic xmlns:a="http://schemas.openxmlformats.org/drawingml/2006/main">
                            <a:graphicData uri="http://schemas.openxmlformats.org/drawingml/2006/picture">
                              <pic:pic xmlns:pic="http://schemas.openxmlformats.org/drawingml/2006/picture">
                                <pic:nvPicPr>
                                  <pic:cNvPr id="799" name="Picture 799"/>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68" behindDoc="1" locked="0" layoutInCell="1" allowOverlap="1">
              <wp:simplePos x="0" y="0"/>
              <wp:positionH relativeFrom="page">
                <wp:posOffset>3886200</wp:posOffset>
              </wp:positionH>
              <wp:positionV relativeFrom="page">
                <wp:posOffset>803910</wp:posOffset>
              </wp:positionV>
              <wp:extent cx="2907665" cy="106680"/>
              <wp:wrapNone/>
              <wp:docPr id="800" name="Shape 800"/>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26" type="#_x0000_t202" style="position:absolute;margin-left:306.pt;margin-top:63.300000000000004pt;width:228.95000000000002pt;height:8.4000000000000004pt;z-index:-18874348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876300</wp:posOffset>
              </wp:positionH>
              <wp:positionV relativeFrom="page">
                <wp:posOffset>681990</wp:posOffset>
              </wp:positionV>
              <wp:extent cx="5928360" cy="228600"/>
              <wp:wrapNone/>
              <wp:docPr id="804" name="Shape 804"/>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830" type="#_x0000_t202" style="position:absolute;margin-left:69.pt;margin-top:53.700000000000003pt;width:466.80000000000001pt;height:18.pt;z-index:-188743481;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948690</wp:posOffset>
              </wp:positionV>
              <wp:extent cx="6163310" cy="0"/>
              <wp:wrapNone/>
              <wp:docPr id="806" name="Shape 8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74.700000000000003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864870</wp:posOffset>
              </wp:positionH>
              <wp:positionV relativeFrom="page">
                <wp:posOffset>668020</wp:posOffset>
              </wp:positionV>
              <wp:extent cx="5928360" cy="228600"/>
              <wp:wrapNone/>
              <wp:docPr id="82" name="Shape 82"/>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08" type="#_x0000_t202" style="position:absolute;margin-left:68.099999999999994pt;margin-top:52.600000000000001pt;width:466.80000000000001pt;height:18.pt;z-index:-18874400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84" name="Shape 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1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713105</wp:posOffset>
              </wp:positionH>
              <wp:positionV relativeFrom="page">
                <wp:posOffset>538480</wp:posOffset>
              </wp:positionV>
              <wp:extent cx="734695" cy="356870"/>
              <wp:wrapNone/>
              <wp:docPr id="809" name="Shape 809"/>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810" name="Picutre 810"/>
                                <a:graphic xmlns:a="http://schemas.openxmlformats.org/drawingml/2006/main">
                                  <a:graphicData uri="http://schemas.openxmlformats.org/drawingml/2006/picture">
                                    <pic:pic xmlns:pic="http://schemas.openxmlformats.org/drawingml/2006/picture">
                                      <pic:nvPicPr>
                                        <pic:cNvPr id="810" name="Picture 810"/>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836" type="#_x0000_t202" style="position:absolute;margin-left:56.149999999999999pt;margin-top:42.399999999999999pt;width:57.850000000000001pt;height:28.100000000000001pt;z-index:-18874347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812" name="Picutre 812"/>
                          <a:graphic xmlns:a="http://schemas.openxmlformats.org/drawingml/2006/main">
                            <a:graphicData uri="http://schemas.openxmlformats.org/drawingml/2006/picture">
                              <pic:pic xmlns:pic="http://schemas.openxmlformats.org/drawingml/2006/picture">
                                <pic:nvPicPr>
                                  <pic:cNvPr id="812" name="Picture 812"/>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78" behindDoc="1" locked="0" layoutInCell="1" allowOverlap="1">
              <wp:simplePos x="0" y="0"/>
              <wp:positionH relativeFrom="page">
                <wp:posOffset>3886200</wp:posOffset>
              </wp:positionH>
              <wp:positionV relativeFrom="page">
                <wp:posOffset>803910</wp:posOffset>
              </wp:positionV>
              <wp:extent cx="2907665" cy="106680"/>
              <wp:wrapNone/>
              <wp:docPr id="813" name="Shape 81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39" type="#_x0000_t202" style="position:absolute;margin-left:306.pt;margin-top:63.300000000000004pt;width:228.95000000000002pt;height:8.4000000000000004pt;z-index:-188743475;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713105</wp:posOffset>
              </wp:positionH>
              <wp:positionV relativeFrom="page">
                <wp:posOffset>538480</wp:posOffset>
              </wp:positionV>
              <wp:extent cx="734695" cy="356870"/>
              <wp:wrapNone/>
              <wp:docPr id="817" name="Shape 817"/>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818" name="Picutre 818"/>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844" type="#_x0000_t202" style="position:absolute;margin-left:56.149999999999999pt;margin-top:42.399999999999999pt;width:57.850000000000001pt;height:28.100000000000001pt;z-index:-18874347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820" name="Picutre 820"/>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84" behindDoc="1" locked="0" layoutInCell="1" allowOverlap="1">
              <wp:simplePos x="0" y="0"/>
              <wp:positionH relativeFrom="page">
                <wp:posOffset>3886200</wp:posOffset>
              </wp:positionH>
              <wp:positionV relativeFrom="page">
                <wp:posOffset>803910</wp:posOffset>
              </wp:positionV>
              <wp:extent cx="2907665" cy="106680"/>
              <wp:wrapNone/>
              <wp:docPr id="821" name="Shape 821"/>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47" type="#_x0000_t202" style="position:absolute;margin-left:306.pt;margin-top:63.300000000000004pt;width:228.95000000000002pt;height:8.4000000000000004pt;z-index:-18874346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876300</wp:posOffset>
              </wp:positionH>
              <wp:positionV relativeFrom="page">
                <wp:posOffset>681990</wp:posOffset>
              </wp:positionV>
              <wp:extent cx="5928360" cy="228600"/>
              <wp:wrapNone/>
              <wp:docPr id="825" name="Shape 825"/>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851" type="#_x0000_t202" style="position:absolute;margin-left:69.pt;margin-top:53.700000000000003pt;width:466.80000000000001pt;height:18.pt;z-index:-18874346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948690</wp:posOffset>
              </wp:positionV>
              <wp:extent cx="6163310" cy="0"/>
              <wp:wrapNone/>
              <wp:docPr id="827" name="Shape 8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74.700000000000003pt;width:485.30000000000001pt;height:0;z-index:-251658240;mso-position-horizontal-relative:page;mso-position-vertical-relative:page">
              <v:stroke weight="1.pt"/>
            </v:shape>
          </w:pict>
        </mc:Fallback>
      </mc:AlternateContent>
    </w:r>
  </w:p>
</w:hdr>
</file>

<file path=word/header1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2" behindDoc="1" locked="0" layoutInCell="1" allowOverlap="1">
              <wp:simplePos x="0" y="0"/>
              <wp:positionH relativeFrom="page">
                <wp:posOffset>713105</wp:posOffset>
              </wp:positionH>
              <wp:positionV relativeFrom="page">
                <wp:posOffset>538480</wp:posOffset>
              </wp:positionV>
              <wp:extent cx="734695" cy="356870"/>
              <wp:wrapNone/>
              <wp:docPr id="830" name="Shape 830"/>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831" name="Picutre 831"/>
                                <a:graphic xmlns:a="http://schemas.openxmlformats.org/drawingml/2006/main">
                                  <a:graphicData uri="http://schemas.openxmlformats.org/drawingml/2006/picture">
                                    <pic:pic xmlns:pic="http://schemas.openxmlformats.org/drawingml/2006/picture">
                                      <pic:nvPicPr>
                                        <pic:cNvPr id="831" name="Picture 831"/>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857" type="#_x0000_t202" style="position:absolute;margin-left:56.149999999999999pt;margin-top:42.399999999999999pt;width:57.850000000000001pt;height:28.100000000000001pt;z-index:-18874346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833" name="Picutre 833"/>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294" behindDoc="1" locked="0" layoutInCell="1" allowOverlap="1">
              <wp:simplePos x="0" y="0"/>
              <wp:positionH relativeFrom="page">
                <wp:posOffset>3886200</wp:posOffset>
              </wp:positionH>
              <wp:positionV relativeFrom="page">
                <wp:posOffset>803910</wp:posOffset>
              </wp:positionV>
              <wp:extent cx="2907665" cy="106680"/>
              <wp:wrapNone/>
              <wp:docPr id="834" name="Shape 83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60" type="#_x0000_t202" style="position:absolute;margin-left:306.pt;margin-top:63.300000000000004pt;width:228.95000000000002pt;height:8.4000000000000004pt;z-index:-18874345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8" behindDoc="1" locked="0" layoutInCell="1" allowOverlap="1">
              <wp:simplePos x="0" y="0"/>
              <wp:positionH relativeFrom="page">
                <wp:posOffset>713105</wp:posOffset>
              </wp:positionH>
              <wp:positionV relativeFrom="page">
                <wp:posOffset>538480</wp:posOffset>
              </wp:positionV>
              <wp:extent cx="734695" cy="356870"/>
              <wp:wrapNone/>
              <wp:docPr id="838" name="Shape 838"/>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839" name="Picutre 839"/>
                                <a:graphic xmlns:a="http://schemas.openxmlformats.org/drawingml/2006/main">
                                  <a:graphicData uri="http://schemas.openxmlformats.org/drawingml/2006/picture">
                                    <pic:pic xmlns:pic="http://schemas.openxmlformats.org/drawingml/2006/picture">
                                      <pic:nvPicPr>
                                        <pic:cNvPr id="839" name="Picture 839"/>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865" type="#_x0000_t202" style="position:absolute;margin-left:56.149999999999999pt;margin-top:42.399999999999999pt;width:57.850000000000001pt;height:28.100000000000001pt;z-index:-18874345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841" name="Picutre 841"/>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00" behindDoc="1" locked="0" layoutInCell="1" allowOverlap="1">
              <wp:simplePos x="0" y="0"/>
              <wp:positionH relativeFrom="page">
                <wp:posOffset>3886200</wp:posOffset>
              </wp:positionH>
              <wp:positionV relativeFrom="page">
                <wp:posOffset>803910</wp:posOffset>
              </wp:positionV>
              <wp:extent cx="2907665" cy="106680"/>
              <wp:wrapNone/>
              <wp:docPr id="842" name="Shape 84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68" type="#_x0000_t202" style="position:absolute;margin-left:306.pt;margin-top:63.300000000000004pt;width:228.95000000000002pt;height:8.4000000000000004pt;z-index:-18874345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4" behindDoc="1" locked="0" layoutInCell="1" allowOverlap="1">
              <wp:simplePos x="0" y="0"/>
              <wp:positionH relativeFrom="page">
                <wp:posOffset>3893820</wp:posOffset>
              </wp:positionH>
              <wp:positionV relativeFrom="page">
                <wp:posOffset>716915</wp:posOffset>
              </wp:positionV>
              <wp:extent cx="2907665" cy="106680"/>
              <wp:wrapNone/>
              <wp:docPr id="846" name="Shape 84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872" type="#_x0000_t202" style="position:absolute;margin-left:306.60000000000002pt;margin-top:56.450000000000003pt;width:228.95000000000002pt;height:8.4000000000000004pt;z-index:-1887434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848" name="Shape 84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1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713105</wp:posOffset>
              </wp:positionH>
              <wp:positionV relativeFrom="page">
                <wp:posOffset>538480</wp:posOffset>
              </wp:positionV>
              <wp:extent cx="734695" cy="356870"/>
              <wp:wrapNone/>
              <wp:docPr id="851" name="Shape 851"/>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852" name="Picutre 852"/>
                                <a:graphic xmlns:a="http://schemas.openxmlformats.org/drawingml/2006/main">
                                  <a:graphicData uri="http://schemas.openxmlformats.org/drawingml/2006/picture">
                                    <pic:pic xmlns:pic="http://schemas.openxmlformats.org/drawingml/2006/picture">
                                      <pic:nvPicPr>
                                        <pic:cNvPr id="852" name="Picture 852"/>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878" type="#_x0000_t202" style="position:absolute;margin-left:56.149999999999999pt;margin-top:42.399999999999999pt;width:57.850000000000001pt;height:28.100000000000001pt;z-index:-18874344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854" name="Picutre 854"/>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10" behindDoc="1" locked="0" layoutInCell="1" allowOverlap="1">
              <wp:simplePos x="0" y="0"/>
              <wp:positionH relativeFrom="page">
                <wp:posOffset>3886200</wp:posOffset>
              </wp:positionH>
              <wp:positionV relativeFrom="page">
                <wp:posOffset>803910</wp:posOffset>
              </wp:positionV>
              <wp:extent cx="2907665" cy="106680"/>
              <wp:wrapNone/>
              <wp:docPr id="855" name="Shape 855"/>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81" type="#_x0000_t202" style="position:absolute;margin-left:306.pt;margin-top:63.300000000000004pt;width:228.95000000000002pt;height:8.4000000000000004pt;z-index:-18874344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713105</wp:posOffset>
              </wp:positionH>
              <wp:positionV relativeFrom="page">
                <wp:posOffset>538480</wp:posOffset>
              </wp:positionV>
              <wp:extent cx="734695" cy="356870"/>
              <wp:wrapNone/>
              <wp:docPr id="859" name="Shape 859"/>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860" name="Picutre 860"/>
                                <a:graphic xmlns:a="http://schemas.openxmlformats.org/drawingml/2006/main">
                                  <a:graphicData uri="http://schemas.openxmlformats.org/drawingml/2006/picture">
                                    <pic:pic xmlns:pic="http://schemas.openxmlformats.org/drawingml/2006/picture">
                                      <pic:nvPicPr>
                                        <pic:cNvPr id="860" name="Picture 860"/>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886" type="#_x0000_t202" style="position:absolute;margin-left:56.149999999999999pt;margin-top:42.399999999999999pt;width:57.850000000000001pt;height:28.100000000000001pt;z-index:-188743439;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862" name="Picutre 862"/>
                          <a:graphic xmlns:a="http://schemas.openxmlformats.org/drawingml/2006/main">
                            <a:graphicData uri="http://schemas.openxmlformats.org/drawingml/2006/picture">
                              <pic:pic xmlns:pic="http://schemas.openxmlformats.org/drawingml/2006/picture">
                                <pic:nvPicPr>
                                  <pic:cNvPr id="862" name="Picture 862"/>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316" behindDoc="1" locked="0" layoutInCell="1" allowOverlap="1">
              <wp:simplePos x="0" y="0"/>
              <wp:positionH relativeFrom="page">
                <wp:posOffset>3886200</wp:posOffset>
              </wp:positionH>
              <wp:positionV relativeFrom="page">
                <wp:posOffset>803910</wp:posOffset>
              </wp:positionV>
              <wp:extent cx="2907665" cy="106680"/>
              <wp:wrapNone/>
              <wp:docPr id="863" name="Shape 86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889" type="#_x0000_t202" style="position:absolute;margin-left:306.pt;margin-top:63.300000000000004pt;width:228.95000000000002pt;height:8.4000000000000004pt;z-index:-18874343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1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0" behindDoc="1" locked="0" layoutInCell="1" allowOverlap="1">
              <wp:simplePos x="0" y="0"/>
              <wp:positionH relativeFrom="page">
                <wp:posOffset>876300</wp:posOffset>
              </wp:positionH>
              <wp:positionV relativeFrom="page">
                <wp:posOffset>681990</wp:posOffset>
              </wp:positionV>
              <wp:extent cx="5928360" cy="228600"/>
              <wp:wrapNone/>
              <wp:docPr id="867" name="Shape 867"/>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893" type="#_x0000_t202" style="position:absolute;margin-left:69.pt;margin-top:53.700000000000003pt;width:466.80000000000001pt;height:18.pt;z-index:-188743433;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948690</wp:posOffset>
              </wp:positionV>
              <wp:extent cx="6163310" cy="0"/>
              <wp:wrapNone/>
              <wp:docPr id="869" name="Shape 8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74.700000000000003pt;width:485.30000000000001pt;height:0;z-index:-251658240;mso-position-horizontal-relative:page;mso-position-vertical-relative:page">
              <v:stroke weight="1.pt"/>
            </v:shape>
          </w:pict>
        </mc:Fallback>
      </mc:AlternateContent>
    </w:r>
  </w:p>
</w:hdr>
</file>

<file path=word/header1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4" behindDoc="1" locked="0" layoutInCell="1" allowOverlap="1">
              <wp:simplePos x="0" y="0"/>
              <wp:positionH relativeFrom="page">
                <wp:posOffset>868680</wp:posOffset>
              </wp:positionH>
              <wp:positionV relativeFrom="page">
                <wp:posOffset>686435</wp:posOffset>
              </wp:positionV>
              <wp:extent cx="5928360" cy="228600"/>
              <wp:wrapNone/>
              <wp:docPr id="872" name="Shape 872"/>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898" type="#_x0000_t202" style="position:absolute;margin-left:68.400000000000006pt;margin-top:54.050000000000004pt;width:466.80000000000001pt;height:18.pt;z-index:-18874342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953135</wp:posOffset>
              </wp:positionV>
              <wp:extent cx="6163310" cy="0"/>
              <wp:wrapNone/>
              <wp:docPr id="874" name="Shape 8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5.049999999999997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864870</wp:posOffset>
              </wp:positionH>
              <wp:positionV relativeFrom="page">
                <wp:posOffset>668020</wp:posOffset>
              </wp:positionV>
              <wp:extent cx="5928360" cy="228600"/>
              <wp:wrapNone/>
              <wp:docPr id="87" name="Shape 87"/>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13" type="#_x0000_t202" style="position:absolute;margin-left:68.099999999999994pt;margin-top:52.600000000000001pt;width:466.80000000000001pt;height:18.pt;z-index:-18874399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89" name="Shape 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1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28" behindDoc="1" locked="0" layoutInCell="1" allowOverlap="1">
              <wp:simplePos x="0" y="0"/>
              <wp:positionH relativeFrom="page">
                <wp:posOffset>868680</wp:posOffset>
              </wp:positionH>
              <wp:positionV relativeFrom="page">
                <wp:posOffset>686435</wp:posOffset>
              </wp:positionV>
              <wp:extent cx="5928360" cy="228600"/>
              <wp:wrapNone/>
              <wp:docPr id="877" name="Shape 877"/>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903" type="#_x0000_t202" style="position:absolute;margin-left:68.400000000000006pt;margin-top:54.050000000000004pt;width:466.80000000000001pt;height:18.pt;z-index:-18874342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953135</wp:posOffset>
              </wp:positionV>
              <wp:extent cx="6163310" cy="0"/>
              <wp:wrapNone/>
              <wp:docPr id="879" name="Shape 8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5.049999999999997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711200</wp:posOffset>
              </wp:positionH>
              <wp:positionV relativeFrom="page">
                <wp:posOffset>431800</wp:posOffset>
              </wp:positionV>
              <wp:extent cx="734695" cy="356870"/>
              <wp:wrapNone/>
              <wp:docPr id="92" name="Shape 92"/>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119" type="#_x0000_t202" style="position:absolute;margin-left:56.pt;margin-top:34.pt;width:57.850000000000001pt;height:28.100000000000001pt;z-index:-18874399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95" name="Picutre 95"/>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3883660</wp:posOffset>
              </wp:positionH>
              <wp:positionV relativeFrom="page">
                <wp:posOffset>697230</wp:posOffset>
              </wp:positionV>
              <wp:extent cx="2907665" cy="106680"/>
              <wp:wrapNone/>
              <wp:docPr id="96" name="Shape 9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22" type="#_x0000_t202" style="position:absolute;margin-left:305.80000000000001pt;margin-top:54.899999999999999pt;width:228.95000000000002pt;height:8.4000000000000004pt;z-index:-18874399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711200</wp:posOffset>
              </wp:positionH>
              <wp:positionV relativeFrom="page">
                <wp:posOffset>431800</wp:posOffset>
              </wp:positionV>
              <wp:extent cx="734695" cy="356870"/>
              <wp:wrapNone/>
              <wp:docPr id="100" name="Shape 100"/>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101" name="Picutre 101"/>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127" type="#_x0000_t202" style="position:absolute;margin-left:56.pt;margin-top:34.pt;width:57.850000000000001pt;height:28.100000000000001pt;z-index:-188743989;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103" name="Picutre 103"/>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3883660</wp:posOffset>
              </wp:positionH>
              <wp:positionV relativeFrom="page">
                <wp:posOffset>697230</wp:posOffset>
              </wp:positionV>
              <wp:extent cx="2907665" cy="106680"/>
              <wp:wrapNone/>
              <wp:docPr id="104" name="Shape 10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0" type="#_x0000_t202" style="position:absolute;margin-left:305.80000000000001pt;margin-top:54.899999999999999pt;width:228.95000000000002pt;height:8.4000000000000004pt;z-index:-1887439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3893820</wp:posOffset>
              </wp:positionH>
              <wp:positionV relativeFrom="page">
                <wp:posOffset>716915</wp:posOffset>
              </wp:positionV>
              <wp:extent cx="2907665" cy="106680"/>
              <wp:wrapNone/>
              <wp:docPr id="108" name="Shape 10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4" type="#_x0000_t202" style="position:absolute;margin-left:306.60000000000002pt;margin-top:56.450000000000003pt;width:228.95000000000002pt;height:8.4000000000000004pt;z-index:-1887439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3893820</wp:posOffset>
              </wp:positionH>
              <wp:positionV relativeFrom="page">
                <wp:posOffset>716915</wp:posOffset>
              </wp:positionV>
              <wp:extent cx="2907665" cy="106680"/>
              <wp:wrapNone/>
              <wp:docPr id="113" name="Shape 11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39" type="#_x0000_t202" style="position:absolute;margin-left:306.60000000000002pt;margin-top:56.450000000000003pt;width:228.95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864870</wp:posOffset>
              </wp:positionH>
              <wp:positionV relativeFrom="page">
                <wp:posOffset>668020</wp:posOffset>
              </wp:positionV>
              <wp:extent cx="5928360" cy="228600"/>
              <wp:wrapNone/>
              <wp:docPr id="118" name="Shape 118"/>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44" type="#_x0000_t202" style="position:absolute;margin-left:68.099999999999994pt;margin-top:52.600000000000001pt;width:466.80000000000001pt;height:18.pt;z-index:-188743975;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3893820</wp:posOffset>
              </wp:positionH>
              <wp:positionV relativeFrom="page">
                <wp:posOffset>716915</wp:posOffset>
              </wp:positionV>
              <wp:extent cx="2907665" cy="106680"/>
              <wp:wrapNone/>
              <wp:docPr id="7" name="Shape 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06.60000000000002pt;margin-top:56.450000000000003pt;width:228.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864870</wp:posOffset>
              </wp:positionH>
              <wp:positionV relativeFrom="page">
                <wp:posOffset>668020</wp:posOffset>
              </wp:positionV>
              <wp:extent cx="5928360" cy="228600"/>
              <wp:wrapNone/>
              <wp:docPr id="123" name="Shape 123"/>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49" type="#_x0000_t202" style="position:absolute;margin-left:68.099999999999994pt;margin-top:52.600000000000001pt;width:466.80000000000001pt;height:18.pt;z-index:-18874397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125" name="Shape 1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864870</wp:posOffset>
              </wp:positionH>
              <wp:positionV relativeFrom="page">
                <wp:posOffset>668020</wp:posOffset>
              </wp:positionV>
              <wp:extent cx="5928360" cy="228600"/>
              <wp:wrapNone/>
              <wp:docPr id="128" name="Shape 128"/>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54" type="#_x0000_t202" style="position:absolute;margin-left:68.099999999999994pt;margin-top:52.600000000000001pt;width:466.80000000000001pt;height:18.pt;z-index:-188743967;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130" name="Shape 1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711200</wp:posOffset>
              </wp:positionH>
              <wp:positionV relativeFrom="page">
                <wp:posOffset>431800</wp:posOffset>
              </wp:positionV>
              <wp:extent cx="734695" cy="356870"/>
              <wp:wrapNone/>
              <wp:docPr id="133" name="Shape 133"/>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134" name="Picutre 134"/>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160" type="#_x0000_t202" style="position:absolute;margin-left:56.pt;margin-top:34.pt;width:57.850000000000001pt;height:28.100000000000001pt;z-index:-18874396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2" behindDoc="1" locked="0" layoutInCell="1" allowOverlap="1">
              <wp:simplePos x="0" y="0"/>
              <wp:positionH relativeFrom="page">
                <wp:posOffset>3883660</wp:posOffset>
              </wp:positionH>
              <wp:positionV relativeFrom="page">
                <wp:posOffset>697230</wp:posOffset>
              </wp:positionV>
              <wp:extent cx="2907665" cy="106680"/>
              <wp:wrapNone/>
              <wp:docPr id="137" name="Shape 13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63" type="#_x0000_t202" style="position:absolute;margin-left:305.80000000000001pt;margin-top:54.899999999999999pt;width:228.95000000000002pt;height:8.4000000000000004pt;z-index:-1887439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711200</wp:posOffset>
              </wp:positionH>
              <wp:positionV relativeFrom="page">
                <wp:posOffset>431800</wp:posOffset>
              </wp:positionV>
              <wp:extent cx="734695" cy="356870"/>
              <wp:wrapNone/>
              <wp:docPr id="143" name="Shape 143"/>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144" name="Picut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170" type="#_x0000_t202" style="position:absolute;margin-left:56.pt;margin-top:34.pt;width:57.850000000000001pt;height:28.100000000000001pt;z-index:-18874395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146" name="Picutre 146"/>
                          <a:graphic xmlns:a="http://schemas.openxmlformats.org/drawingml/2006/main">
                            <a:graphicData uri="http://schemas.openxmlformats.org/drawingml/2006/picture">
                              <pic:pic xmlns:pic="http://schemas.openxmlformats.org/drawingml/2006/picture">
                                <pic:nvPicPr>
                                  <pic:cNvPr id="146" name="Picture 146"/>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98" behindDoc="1" locked="0" layoutInCell="1" allowOverlap="1">
              <wp:simplePos x="0" y="0"/>
              <wp:positionH relativeFrom="page">
                <wp:posOffset>3883660</wp:posOffset>
              </wp:positionH>
              <wp:positionV relativeFrom="page">
                <wp:posOffset>697230</wp:posOffset>
              </wp:positionV>
              <wp:extent cx="2907665" cy="106680"/>
              <wp:wrapNone/>
              <wp:docPr id="147" name="Shape 14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73" type="#_x0000_t202" style="position:absolute;margin-left:305.80000000000001pt;margin-top:54.899999999999999pt;width:228.95000000000002pt;height:8.4000000000000004pt;z-index:-18874395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711200</wp:posOffset>
              </wp:positionH>
              <wp:positionV relativeFrom="page">
                <wp:posOffset>431800</wp:posOffset>
              </wp:positionV>
              <wp:extent cx="734695" cy="356870"/>
              <wp:wrapNone/>
              <wp:docPr id="151" name="Shape 151"/>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152" name="Picutre 152"/>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178" type="#_x0000_t202" style="position:absolute;margin-left:56.pt;margin-top:34.pt;width:57.850000000000001pt;height:28.100000000000001pt;z-index:-18874395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154" name="Picutre 154"/>
                          <a:graphic xmlns:a="http://schemas.openxmlformats.org/drawingml/2006/main">
                            <a:graphicData uri="http://schemas.openxmlformats.org/drawingml/2006/picture">
                              <pic:pic xmlns:pic="http://schemas.openxmlformats.org/drawingml/2006/picture">
                                <pic:nvPicPr>
                                  <pic:cNvPr id="154" name="Picture 154"/>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04" behindDoc="1" locked="0" layoutInCell="1" allowOverlap="1">
              <wp:simplePos x="0" y="0"/>
              <wp:positionH relativeFrom="page">
                <wp:posOffset>3883660</wp:posOffset>
              </wp:positionH>
              <wp:positionV relativeFrom="page">
                <wp:posOffset>697230</wp:posOffset>
              </wp:positionV>
              <wp:extent cx="2907665" cy="106680"/>
              <wp:wrapNone/>
              <wp:docPr id="155" name="Shape 155"/>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181" type="#_x0000_t202" style="position:absolute;margin-left:305.80000000000001pt;margin-top:54.899999999999999pt;width:228.95000000000002pt;height:8.4000000000000004pt;z-index:-1887439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864870</wp:posOffset>
              </wp:positionH>
              <wp:positionV relativeFrom="page">
                <wp:posOffset>668020</wp:posOffset>
              </wp:positionV>
              <wp:extent cx="5928360" cy="228600"/>
              <wp:wrapNone/>
              <wp:docPr id="161" name="Shape 161"/>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87" type="#_x0000_t202" style="position:absolute;margin-left:68.099999999999994pt;margin-top:52.600000000000001pt;width:466.80000000000001pt;height:18.pt;z-index:-18874394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163" name="Shape 1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864870</wp:posOffset>
              </wp:positionH>
              <wp:positionV relativeFrom="page">
                <wp:posOffset>668020</wp:posOffset>
              </wp:positionV>
              <wp:extent cx="5928360" cy="228600"/>
              <wp:wrapNone/>
              <wp:docPr id="166" name="Shape 166"/>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192" type="#_x0000_t202" style="position:absolute;margin-left:68.099999999999994pt;margin-top:52.600000000000001pt;width:466.80000000000001pt;height:18.pt;z-index:-18874393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168" name="Shape 1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711200</wp:posOffset>
              </wp:positionH>
              <wp:positionV relativeFrom="page">
                <wp:posOffset>431800</wp:posOffset>
              </wp:positionV>
              <wp:extent cx="734695" cy="356870"/>
              <wp:wrapNone/>
              <wp:docPr id="173" name="Shape 173"/>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174" name="Picutre 174"/>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200" type="#_x0000_t202" style="position:absolute;margin-left:56.pt;margin-top:34.pt;width:57.850000000000001pt;height:28.100000000000001pt;z-index:-18874393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20" behindDoc="1" locked="0" layoutInCell="1" allowOverlap="1">
              <wp:simplePos x="0" y="0"/>
              <wp:positionH relativeFrom="page">
                <wp:posOffset>3883660</wp:posOffset>
              </wp:positionH>
              <wp:positionV relativeFrom="page">
                <wp:posOffset>697230</wp:posOffset>
              </wp:positionV>
              <wp:extent cx="2907665" cy="106680"/>
              <wp:wrapNone/>
              <wp:docPr id="177" name="Shape 17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03" type="#_x0000_t202" style="position:absolute;margin-left:305.80000000000001pt;margin-top:54.899999999999999pt;width:228.95000000000002pt;height:8.4000000000000004pt;z-index:-1887439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864870</wp:posOffset>
              </wp:positionH>
              <wp:positionV relativeFrom="page">
                <wp:posOffset>668020</wp:posOffset>
              </wp:positionV>
              <wp:extent cx="5928360" cy="228600"/>
              <wp:wrapNone/>
              <wp:docPr id="181" name="Shape 181"/>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207" type="#_x0000_t202" style="position:absolute;margin-left:68.099999999999994pt;margin-top:52.600000000000001pt;width:466.80000000000001pt;height:18.pt;z-index:-18874392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183" name="Shape 1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716280</wp:posOffset>
              </wp:positionH>
              <wp:positionV relativeFrom="page">
                <wp:posOffset>530860</wp:posOffset>
              </wp:positionV>
              <wp:extent cx="734695" cy="356870"/>
              <wp:wrapNone/>
              <wp:docPr id="12" name="Shape 12"/>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039" type="#_x0000_t202" style="position:absolute;margin-left:56.399999999999999pt;margin-top:41.800000000000004pt;width:57.850000000000001pt;height:28.100000000000001pt;z-index:-18874405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3889375</wp:posOffset>
              </wp:positionH>
              <wp:positionV relativeFrom="page">
                <wp:posOffset>798830</wp:posOffset>
              </wp:positionV>
              <wp:extent cx="2907665" cy="106680"/>
              <wp:wrapNone/>
              <wp:docPr id="16" name="Shape 1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42" type="#_x0000_t202" style="position:absolute;margin-left:306.25pt;margin-top:62.899999999999999pt;width:228.95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711200</wp:posOffset>
              </wp:positionH>
              <wp:positionV relativeFrom="page">
                <wp:posOffset>431800</wp:posOffset>
              </wp:positionV>
              <wp:extent cx="734695" cy="356870"/>
              <wp:wrapNone/>
              <wp:docPr id="188" name="Shape 188"/>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189" name="Picutre 189"/>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215" type="#_x0000_t202" style="position:absolute;margin-left:56.pt;margin-top:34.pt;width:57.850000000000001pt;height:28.100000000000001pt;z-index:-18874392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191" name="Picutre 191"/>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3883660</wp:posOffset>
              </wp:positionH>
              <wp:positionV relativeFrom="page">
                <wp:posOffset>697230</wp:posOffset>
              </wp:positionV>
              <wp:extent cx="2907665" cy="106680"/>
              <wp:wrapNone/>
              <wp:docPr id="192" name="Shape 19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18" type="#_x0000_t202" style="position:absolute;margin-left:305.80000000000001pt;margin-top:54.899999999999999pt;width:228.95000000000002pt;height:8.4000000000000004pt;z-index:-18874392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711200</wp:posOffset>
              </wp:positionH>
              <wp:positionV relativeFrom="page">
                <wp:posOffset>431800</wp:posOffset>
              </wp:positionV>
              <wp:extent cx="734695" cy="356870"/>
              <wp:wrapNone/>
              <wp:docPr id="196" name="Shape 196"/>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197" name="Picutre 197"/>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223" type="#_x0000_t202" style="position:absolute;margin-left:56.pt;margin-top:34.pt;width:57.850000000000001pt;height:28.100000000000001pt;z-index:-18874391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199" name="Picutre 199"/>
                          <a:graphic xmlns:a="http://schemas.openxmlformats.org/drawingml/2006/main">
                            <a:graphicData uri="http://schemas.openxmlformats.org/drawingml/2006/picture">
                              <pic:pic xmlns:pic="http://schemas.openxmlformats.org/drawingml/2006/picture">
                                <pic:nvPicPr>
                                  <pic:cNvPr id="199" name="Picture 199"/>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3883660</wp:posOffset>
              </wp:positionH>
              <wp:positionV relativeFrom="page">
                <wp:posOffset>697230</wp:posOffset>
              </wp:positionV>
              <wp:extent cx="2907665" cy="106680"/>
              <wp:wrapNone/>
              <wp:docPr id="200" name="Shape 200"/>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26" type="#_x0000_t202" style="position:absolute;margin-left:305.80000000000001pt;margin-top:54.899999999999999pt;width:228.95000000000002pt;height:8.4000000000000004pt;z-index:-18874391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3893820</wp:posOffset>
              </wp:positionH>
              <wp:positionV relativeFrom="page">
                <wp:posOffset>716915</wp:posOffset>
              </wp:positionV>
              <wp:extent cx="2907665" cy="106680"/>
              <wp:wrapNone/>
              <wp:docPr id="204" name="Shape 20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0" type="#_x0000_t202" style="position:absolute;margin-left:306.60000000000002pt;margin-top:56.450000000000003pt;width:228.95000000000002pt;height:8.4000000000000004pt;z-index:-1887439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206" name="Shape 2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3893820</wp:posOffset>
              </wp:positionH>
              <wp:positionV relativeFrom="page">
                <wp:posOffset>716915</wp:posOffset>
              </wp:positionV>
              <wp:extent cx="2907665" cy="106680"/>
              <wp:wrapNone/>
              <wp:docPr id="209" name="Shape 20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35" type="#_x0000_t202" style="position:absolute;margin-left:306.60000000000002pt;margin-top:56.450000000000003pt;width:228.95000000000002pt;height:8.4000000000000004pt;z-index:-18874390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211" name="Shape 2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711200</wp:posOffset>
              </wp:positionH>
              <wp:positionV relativeFrom="page">
                <wp:posOffset>431800</wp:posOffset>
              </wp:positionV>
              <wp:extent cx="734695" cy="356870"/>
              <wp:wrapNone/>
              <wp:docPr id="214" name="Shape 214"/>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241" type="#_x0000_t202" style="position:absolute;margin-left:56.pt;margin-top:34.pt;width:57.850000000000001pt;height:28.100000000000001pt;z-index:-18874390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3883660</wp:posOffset>
              </wp:positionH>
              <wp:positionV relativeFrom="page">
                <wp:posOffset>697230</wp:posOffset>
              </wp:positionV>
              <wp:extent cx="2907665" cy="106680"/>
              <wp:wrapNone/>
              <wp:docPr id="218" name="Shape 21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44" type="#_x0000_t202" style="position:absolute;margin-left:305.80000000000001pt;margin-top:54.899999999999999pt;width:228.95000000000002pt;height:8.4000000000000004pt;z-index:-18874390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711200</wp:posOffset>
              </wp:positionH>
              <wp:positionV relativeFrom="page">
                <wp:posOffset>431800</wp:posOffset>
              </wp:positionV>
              <wp:extent cx="734695" cy="356870"/>
              <wp:wrapNone/>
              <wp:docPr id="222" name="Shape 222"/>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223" name="Picutre 223"/>
                                <a:graphic xmlns:a="http://schemas.openxmlformats.org/drawingml/2006/main">
                                  <a:graphicData uri="http://schemas.openxmlformats.org/drawingml/2006/picture">
                                    <pic:pic xmlns:pic="http://schemas.openxmlformats.org/drawingml/2006/picture">
                                      <pic:nvPicPr>
                                        <pic:cNvPr id="223" name="Picture 223"/>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249" type="#_x0000_t202" style="position:absolute;margin-left:56.pt;margin-top:34.pt;width:57.850000000000001pt;height:28.100000000000001pt;z-index:-18874389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225" name="Picutre 225"/>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58" behindDoc="1" locked="0" layoutInCell="1" allowOverlap="1">
              <wp:simplePos x="0" y="0"/>
              <wp:positionH relativeFrom="page">
                <wp:posOffset>3883660</wp:posOffset>
              </wp:positionH>
              <wp:positionV relativeFrom="page">
                <wp:posOffset>697230</wp:posOffset>
              </wp:positionV>
              <wp:extent cx="2907665" cy="106680"/>
              <wp:wrapNone/>
              <wp:docPr id="226" name="Shape 22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2" type="#_x0000_t202" style="position:absolute;margin-left:305.80000000000001pt;margin-top:54.899999999999999pt;width:228.95000000000002pt;height:8.4000000000000004pt;z-index:-18874389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3893820</wp:posOffset>
              </wp:positionH>
              <wp:positionV relativeFrom="page">
                <wp:posOffset>716915</wp:posOffset>
              </wp:positionV>
              <wp:extent cx="2907665" cy="106680"/>
              <wp:wrapNone/>
              <wp:docPr id="232" name="Shape 23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58" type="#_x0000_t202" style="position:absolute;margin-left:306.60000000000002pt;margin-top:56.450000000000003pt;width:228.95000000000002pt;height:8.4000000000000004pt;z-index:-18874389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3893820</wp:posOffset>
              </wp:positionH>
              <wp:positionV relativeFrom="page">
                <wp:posOffset>716915</wp:posOffset>
              </wp:positionV>
              <wp:extent cx="2907665" cy="106680"/>
              <wp:wrapNone/>
              <wp:docPr id="237" name="Shape 23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63" type="#_x0000_t202" style="position:absolute;margin-left:306.60000000000002pt;margin-top:56.450000000000003pt;width:228.95000000000002pt;height:8.4000000000000004pt;z-index:-18874388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239" name="Shape 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864870</wp:posOffset>
              </wp:positionH>
              <wp:positionV relativeFrom="page">
                <wp:posOffset>668020</wp:posOffset>
              </wp:positionV>
              <wp:extent cx="5928360" cy="228600"/>
              <wp:wrapNone/>
              <wp:docPr id="20" name="Shape 20"/>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46" type="#_x0000_t202" style="position:absolute;margin-left:68.099999999999994pt;margin-top:52.600000000000001pt;width:466.80000000000001pt;height:18.pt;z-index:-18874404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22" name="Shape 2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3893820</wp:posOffset>
              </wp:positionH>
              <wp:positionV relativeFrom="page">
                <wp:posOffset>716915</wp:posOffset>
              </wp:positionV>
              <wp:extent cx="2907665" cy="106680"/>
              <wp:wrapNone/>
              <wp:docPr id="244" name="Shape 24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0" type="#_x0000_t202" style="position:absolute;margin-left:306.60000000000002pt;margin-top:56.450000000000003pt;width:228.95000000000002pt;height:8.4000000000000004pt;z-index:-1887438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246" name="Shape 2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3893820</wp:posOffset>
              </wp:positionH>
              <wp:positionV relativeFrom="page">
                <wp:posOffset>716915</wp:posOffset>
              </wp:positionV>
              <wp:extent cx="2907665" cy="106680"/>
              <wp:wrapNone/>
              <wp:docPr id="249" name="Shape 24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75" type="#_x0000_t202" style="position:absolute;margin-left:306.60000000000002pt;margin-top:56.450000000000003pt;width:228.95000000000002pt;height:8.4000000000000004pt;z-index:-1887438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251" name="Shape 2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711200</wp:posOffset>
              </wp:positionH>
              <wp:positionV relativeFrom="page">
                <wp:posOffset>431800</wp:posOffset>
              </wp:positionV>
              <wp:extent cx="734695" cy="356870"/>
              <wp:wrapNone/>
              <wp:docPr id="254" name="Shape 254"/>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255" name="Picutre 255"/>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281" type="#_x0000_t202" style="position:absolute;margin-left:56.pt;margin-top:34.pt;width:57.850000000000001pt;height:28.100000000000001pt;z-index:-18874387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257" name="Picutre 257"/>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82" behindDoc="1" locked="0" layoutInCell="1" allowOverlap="1">
              <wp:simplePos x="0" y="0"/>
              <wp:positionH relativeFrom="page">
                <wp:posOffset>3883660</wp:posOffset>
              </wp:positionH>
              <wp:positionV relativeFrom="page">
                <wp:posOffset>697230</wp:posOffset>
              </wp:positionV>
              <wp:extent cx="2907665" cy="106680"/>
              <wp:wrapNone/>
              <wp:docPr id="258" name="Shape 25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284" type="#_x0000_t202" style="position:absolute;margin-left:305.80000000000001pt;margin-top:54.899999999999999pt;width:228.95000000000002pt;height:8.4000000000000004pt;z-index:-1887438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615950</wp:posOffset>
              </wp:positionH>
              <wp:positionV relativeFrom="page">
                <wp:posOffset>608965</wp:posOffset>
              </wp:positionV>
              <wp:extent cx="5928360" cy="228600"/>
              <wp:wrapNone/>
              <wp:docPr id="264" name="Shape 264"/>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i3R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90" type="#_x0000_t202" style="position:absolute;margin-left:48.5pt;margin-top:47.950000000000003pt;width:466.80000000000001pt;height:18.pt;z-index:-188743867;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i3R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442595</wp:posOffset>
              </wp:positionH>
              <wp:positionV relativeFrom="page">
                <wp:posOffset>875665</wp:posOffset>
              </wp:positionV>
              <wp:extent cx="6163310" cy="0"/>
              <wp:wrapNone/>
              <wp:docPr id="266" name="Shape 2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4.850000000000001pt;margin-top:68.950000000000003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615950</wp:posOffset>
              </wp:positionH>
              <wp:positionV relativeFrom="page">
                <wp:posOffset>608965</wp:posOffset>
              </wp:positionV>
              <wp:extent cx="5928360" cy="228600"/>
              <wp:wrapNone/>
              <wp:docPr id="269" name="Shape 269"/>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i3R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295" type="#_x0000_t202" style="position:absolute;margin-left:48.5pt;margin-top:47.950000000000003pt;width:466.80000000000001pt;height:18.pt;z-index:-188743863;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i3R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442595</wp:posOffset>
              </wp:positionH>
              <wp:positionV relativeFrom="page">
                <wp:posOffset>875665</wp:posOffset>
              </wp:positionV>
              <wp:extent cx="6163310" cy="0"/>
              <wp:wrapNone/>
              <wp:docPr id="271" name="Shape 2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4.850000000000001pt;margin-top:68.950000000000003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615950</wp:posOffset>
              </wp:positionH>
              <wp:positionV relativeFrom="page">
                <wp:posOffset>608965</wp:posOffset>
              </wp:positionV>
              <wp:extent cx="5928360" cy="228600"/>
              <wp:wrapNone/>
              <wp:docPr id="279" name="Shape 279"/>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i3R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05" type="#_x0000_t202" style="position:absolute;margin-left:48.5pt;margin-top:47.950000000000003pt;width:466.80000000000001pt;height:18.pt;z-index:-188743857;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i3R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442595</wp:posOffset>
              </wp:positionH>
              <wp:positionV relativeFrom="page">
                <wp:posOffset>875665</wp:posOffset>
              </wp:positionV>
              <wp:extent cx="6163310" cy="0"/>
              <wp:wrapNone/>
              <wp:docPr id="281" name="Shape 2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34.850000000000001pt;margin-top:68.950000000000003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711200</wp:posOffset>
              </wp:positionH>
              <wp:positionV relativeFrom="page">
                <wp:posOffset>431800</wp:posOffset>
              </wp:positionV>
              <wp:extent cx="734695" cy="356870"/>
              <wp:wrapNone/>
              <wp:docPr id="284" name="Shape 284"/>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285" name="Picutre 285"/>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311" type="#_x0000_t202" style="position:absolute;margin-left:56.pt;margin-top:34.pt;width:57.850000000000001pt;height:28.100000000000001pt;z-index:-18874385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287" name="Picutre 287"/>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3883660</wp:posOffset>
              </wp:positionH>
              <wp:positionV relativeFrom="page">
                <wp:posOffset>697230</wp:posOffset>
              </wp:positionV>
              <wp:extent cx="2907665" cy="106680"/>
              <wp:wrapNone/>
              <wp:docPr id="288" name="Shape 28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14" type="#_x0000_t202" style="position:absolute;margin-left:305.80000000000001pt;margin-top:54.899999999999999pt;width:228.95000000000002pt;height:8.4000000000000004pt;z-index:-18874385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711200</wp:posOffset>
              </wp:positionH>
              <wp:positionV relativeFrom="page">
                <wp:posOffset>431800</wp:posOffset>
              </wp:positionV>
              <wp:extent cx="734695" cy="356870"/>
              <wp:wrapNone/>
              <wp:docPr id="296" name="Shape 296"/>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297" name="Picutre 297"/>
                                <a:graphic xmlns:a="http://schemas.openxmlformats.org/drawingml/2006/main">
                                  <a:graphicData uri="http://schemas.openxmlformats.org/drawingml/2006/picture">
                                    <pic:pic xmlns:pic="http://schemas.openxmlformats.org/drawingml/2006/picture">
                                      <pic:nvPicPr>
                                        <pic:cNvPr id="297" name="Picture 297"/>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323" type="#_x0000_t202" style="position:absolute;margin-left:56.pt;margin-top:34.pt;width:57.850000000000001pt;height:28.100000000000001pt;z-index:-18874384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299" name="Picutre 299"/>
                          <a:graphic xmlns:a="http://schemas.openxmlformats.org/drawingml/2006/main">
                            <a:graphicData uri="http://schemas.openxmlformats.org/drawingml/2006/picture">
                              <pic:pic xmlns:pic="http://schemas.openxmlformats.org/drawingml/2006/picture">
                                <pic:nvPicPr>
                                  <pic:cNvPr id="299" name="Picture 299"/>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10" behindDoc="1" locked="0" layoutInCell="1" allowOverlap="1">
              <wp:simplePos x="0" y="0"/>
              <wp:positionH relativeFrom="page">
                <wp:posOffset>3883660</wp:posOffset>
              </wp:positionH>
              <wp:positionV relativeFrom="page">
                <wp:posOffset>697230</wp:posOffset>
              </wp:positionV>
              <wp:extent cx="2907665" cy="106680"/>
              <wp:wrapNone/>
              <wp:docPr id="300" name="Shape 300"/>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26" type="#_x0000_t202" style="position:absolute;margin-left:305.80000000000001pt;margin-top:54.899999999999999pt;width:228.95000000000002pt;height:8.4000000000000004pt;z-index:-18874384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864870</wp:posOffset>
              </wp:positionH>
              <wp:positionV relativeFrom="page">
                <wp:posOffset>668020</wp:posOffset>
              </wp:positionV>
              <wp:extent cx="5928360" cy="228600"/>
              <wp:wrapNone/>
              <wp:docPr id="25" name="Shape 25"/>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51" type="#_x0000_t202" style="position:absolute;margin-left:68.099999999999994pt;margin-top:52.600000000000001pt;width:466.80000000000001pt;height:18.pt;z-index:-188744045;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711200</wp:posOffset>
              </wp:positionH>
              <wp:positionV relativeFrom="page">
                <wp:posOffset>431800</wp:posOffset>
              </wp:positionV>
              <wp:extent cx="734695" cy="356870"/>
              <wp:wrapNone/>
              <wp:docPr id="304" name="Shape 304"/>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305" name="Picutre 305"/>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331" type="#_x0000_t202" style="position:absolute;margin-left:56.pt;margin-top:34.pt;width:57.850000000000001pt;height:28.100000000000001pt;z-index:-188743839;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307" name="Picutre 307"/>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16" behindDoc="1" locked="0" layoutInCell="1" allowOverlap="1">
              <wp:simplePos x="0" y="0"/>
              <wp:positionH relativeFrom="page">
                <wp:posOffset>3883660</wp:posOffset>
              </wp:positionH>
              <wp:positionV relativeFrom="page">
                <wp:posOffset>697230</wp:posOffset>
              </wp:positionV>
              <wp:extent cx="2907665" cy="106680"/>
              <wp:wrapNone/>
              <wp:docPr id="308" name="Shape 30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34" type="#_x0000_t202" style="position:absolute;margin-left:305.80000000000001pt;margin-top:54.899999999999999pt;width:228.95000000000002pt;height:8.4000000000000004pt;z-index:-1887438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3893820</wp:posOffset>
              </wp:positionH>
              <wp:positionV relativeFrom="page">
                <wp:posOffset>716915</wp:posOffset>
              </wp:positionV>
              <wp:extent cx="2907665" cy="106680"/>
              <wp:wrapNone/>
              <wp:docPr id="312" name="Shape 31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38" type="#_x0000_t202" style="position:absolute;margin-left:306.60000000000002pt;margin-top:56.450000000000003pt;width:228.95000000000002pt;height:8.4000000000000004pt;z-index:-1887438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314" name="Shape 3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711200</wp:posOffset>
              </wp:positionH>
              <wp:positionV relativeFrom="page">
                <wp:posOffset>431800</wp:posOffset>
              </wp:positionV>
              <wp:extent cx="734695" cy="356870"/>
              <wp:wrapNone/>
              <wp:docPr id="325" name="Shape 325"/>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326" name="Picutre 326"/>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352" type="#_x0000_t202" style="position:absolute;margin-left:56.pt;margin-top:34.pt;width:57.850000000000001pt;height:28.100000000000001pt;z-index:-18874382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328" name="Picutre 328"/>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30" behindDoc="1" locked="0" layoutInCell="1" allowOverlap="1">
              <wp:simplePos x="0" y="0"/>
              <wp:positionH relativeFrom="page">
                <wp:posOffset>3883660</wp:posOffset>
              </wp:positionH>
              <wp:positionV relativeFrom="page">
                <wp:posOffset>697230</wp:posOffset>
              </wp:positionV>
              <wp:extent cx="2907665" cy="106680"/>
              <wp:wrapNone/>
              <wp:docPr id="329" name="Shape 32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55" type="#_x0000_t202" style="position:absolute;margin-left:305.80000000000001pt;margin-top:54.899999999999999pt;width:228.95000000000002pt;height:8.4000000000000004pt;z-index:-1887438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711200</wp:posOffset>
              </wp:positionH>
              <wp:positionV relativeFrom="page">
                <wp:posOffset>431800</wp:posOffset>
              </wp:positionV>
              <wp:extent cx="734695" cy="356870"/>
              <wp:wrapNone/>
              <wp:docPr id="333" name="Shape 333"/>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334" name="Picutre 334"/>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360" type="#_x0000_t202" style="position:absolute;margin-left:56.pt;margin-top:34.pt;width:57.850000000000001pt;height:28.100000000000001pt;z-index:-188743819;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336" name="Picutre 336"/>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36" behindDoc="1" locked="0" layoutInCell="1" allowOverlap="1">
              <wp:simplePos x="0" y="0"/>
              <wp:positionH relativeFrom="page">
                <wp:posOffset>3883660</wp:posOffset>
              </wp:positionH>
              <wp:positionV relativeFrom="page">
                <wp:posOffset>697230</wp:posOffset>
              </wp:positionV>
              <wp:extent cx="2907665" cy="106680"/>
              <wp:wrapNone/>
              <wp:docPr id="337" name="Shape 33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63" type="#_x0000_t202" style="position:absolute;margin-left:305.80000000000001pt;margin-top:54.899999999999999pt;width:228.95000000000002pt;height:8.4000000000000004pt;z-index:-18874381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711200</wp:posOffset>
              </wp:positionH>
              <wp:positionV relativeFrom="page">
                <wp:posOffset>431800</wp:posOffset>
              </wp:positionV>
              <wp:extent cx="734695" cy="356870"/>
              <wp:wrapNone/>
              <wp:docPr id="343" name="Shape 343"/>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344" name="Picutre 344"/>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370" type="#_x0000_t202" style="position:absolute;margin-left:56.pt;margin-top:34.pt;width:57.850000000000001pt;height:28.100000000000001pt;z-index:-18874381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346" name="Picutre 346"/>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42" behindDoc="1" locked="0" layoutInCell="1" allowOverlap="1">
              <wp:simplePos x="0" y="0"/>
              <wp:positionH relativeFrom="page">
                <wp:posOffset>3883660</wp:posOffset>
              </wp:positionH>
              <wp:positionV relativeFrom="page">
                <wp:posOffset>697230</wp:posOffset>
              </wp:positionV>
              <wp:extent cx="2907665" cy="106680"/>
              <wp:wrapNone/>
              <wp:docPr id="347" name="Shape 34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73" type="#_x0000_t202" style="position:absolute;margin-left:305.80000000000001pt;margin-top:54.899999999999999pt;width:228.95000000000002pt;height:8.4000000000000004pt;z-index:-18874381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711200</wp:posOffset>
              </wp:positionH>
              <wp:positionV relativeFrom="page">
                <wp:posOffset>431800</wp:posOffset>
              </wp:positionV>
              <wp:extent cx="734695" cy="356870"/>
              <wp:wrapNone/>
              <wp:docPr id="351" name="Shape 351"/>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352" name="Picutre 352"/>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378" type="#_x0000_t202" style="position:absolute;margin-left:56.pt;margin-top:34.pt;width:57.850000000000001pt;height:28.100000000000001pt;z-index:-18874380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354" name="Picutre 354"/>
                          <a:graphic xmlns:a="http://schemas.openxmlformats.org/drawingml/2006/main">
                            <a:graphicData uri="http://schemas.openxmlformats.org/drawingml/2006/picture">
                              <pic:pic xmlns:pic="http://schemas.openxmlformats.org/drawingml/2006/picture">
                                <pic:nvPicPr>
                                  <pic:cNvPr id="354" name="Picture 354"/>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48" behindDoc="1" locked="0" layoutInCell="1" allowOverlap="1">
              <wp:simplePos x="0" y="0"/>
              <wp:positionH relativeFrom="page">
                <wp:posOffset>3883660</wp:posOffset>
              </wp:positionH>
              <wp:positionV relativeFrom="page">
                <wp:posOffset>697230</wp:posOffset>
              </wp:positionV>
              <wp:extent cx="2907665" cy="106680"/>
              <wp:wrapNone/>
              <wp:docPr id="355" name="Shape 355"/>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381" type="#_x0000_t202" style="position:absolute;margin-left:305.80000000000001pt;margin-top:54.899999999999999pt;width:228.95000000000002pt;height:8.4000000000000004pt;z-index:-18874380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866140</wp:posOffset>
              </wp:positionH>
              <wp:positionV relativeFrom="page">
                <wp:posOffset>630555</wp:posOffset>
              </wp:positionV>
              <wp:extent cx="5928360" cy="228600"/>
              <wp:wrapNone/>
              <wp:docPr id="361" name="Shape 361"/>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87" type="#_x0000_t202" style="position:absolute;margin-left:68.200000000000003pt;margin-top:49.649999999999999pt;width:466.80000000000001pt;height:18.pt;z-index:-18874379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363" name="Shape 3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711200</wp:posOffset>
              </wp:positionH>
              <wp:positionV relativeFrom="page">
                <wp:posOffset>431800</wp:posOffset>
              </wp:positionV>
              <wp:extent cx="734695" cy="356870"/>
              <wp:wrapNone/>
              <wp:docPr id="30" name="Shape 30"/>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057" type="#_x0000_t202" style="position:absolute;margin-left:56.pt;margin-top:34.pt;width:57.850000000000001pt;height:28.100000000000001pt;z-index:-18874404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3883660</wp:posOffset>
              </wp:positionH>
              <wp:positionV relativeFrom="page">
                <wp:posOffset>697230</wp:posOffset>
              </wp:positionV>
              <wp:extent cx="2907665" cy="106680"/>
              <wp:wrapNone/>
              <wp:docPr id="34" name="Shape 3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0" type="#_x0000_t202" style="position:absolute;margin-left:305.80000000000001pt;margin-top:54.899999999999999pt;width:228.95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866140</wp:posOffset>
              </wp:positionH>
              <wp:positionV relativeFrom="page">
                <wp:posOffset>630555</wp:posOffset>
              </wp:positionV>
              <wp:extent cx="5928360" cy="228600"/>
              <wp:wrapNone/>
              <wp:docPr id="366" name="Shape 366"/>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392" type="#_x0000_t202" style="position:absolute;margin-left:68.200000000000003pt;margin-top:49.649999999999999pt;width:466.80000000000001pt;height:18.pt;z-index:-18874379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368" name="Shape 3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711200</wp:posOffset>
              </wp:positionH>
              <wp:positionV relativeFrom="page">
                <wp:posOffset>431800</wp:posOffset>
              </wp:positionV>
              <wp:extent cx="734695" cy="356870"/>
              <wp:wrapNone/>
              <wp:docPr id="371" name="Shape 371"/>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372" name="Picutre 372"/>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398" type="#_x0000_t202" style="position:absolute;margin-left:56.pt;margin-top:34.pt;width:57.850000000000001pt;height:28.100000000000001pt;z-index:-18874379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374" name="Picutre 374"/>
                          <a:graphic xmlns:a="http://schemas.openxmlformats.org/drawingml/2006/main">
                            <a:graphicData uri="http://schemas.openxmlformats.org/drawingml/2006/picture">
                              <pic:pic xmlns:pic="http://schemas.openxmlformats.org/drawingml/2006/picture">
                                <pic:nvPicPr>
                                  <pic:cNvPr id="374" name="Picture 374"/>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3883660</wp:posOffset>
              </wp:positionH>
              <wp:positionV relativeFrom="page">
                <wp:posOffset>697230</wp:posOffset>
              </wp:positionV>
              <wp:extent cx="2907665" cy="106680"/>
              <wp:wrapNone/>
              <wp:docPr id="375" name="Shape 375"/>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01" type="#_x0000_t202" style="position:absolute;margin-left:305.80000000000001pt;margin-top:54.899999999999999pt;width:228.95000000000002pt;height:8.4000000000000004pt;z-index:-18874378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711200</wp:posOffset>
              </wp:positionH>
              <wp:positionV relativeFrom="page">
                <wp:posOffset>431800</wp:posOffset>
              </wp:positionV>
              <wp:extent cx="734695" cy="356870"/>
              <wp:wrapNone/>
              <wp:docPr id="379" name="Shape 379"/>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380" name="Picutre 380"/>
                                <a:graphic xmlns:a="http://schemas.openxmlformats.org/drawingml/2006/main">
                                  <a:graphicData uri="http://schemas.openxmlformats.org/drawingml/2006/picture">
                                    <pic:pic xmlns:pic="http://schemas.openxmlformats.org/drawingml/2006/picture">
                                      <pic:nvPicPr>
                                        <pic:cNvPr id="380" name="Picture 380"/>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406" type="#_x0000_t202" style="position:absolute;margin-left:56.pt;margin-top:34.pt;width:57.850000000000001pt;height:28.100000000000001pt;z-index:-18874378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382" name="Picutre 382"/>
                          <a:graphic xmlns:a="http://schemas.openxmlformats.org/drawingml/2006/main">
                            <a:graphicData uri="http://schemas.openxmlformats.org/drawingml/2006/picture">
                              <pic:pic xmlns:pic="http://schemas.openxmlformats.org/drawingml/2006/picture">
                                <pic:nvPicPr>
                                  <pic:cNvPr id="382" name="Picture 382"/>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3883660</wp:posOffset>
              </wp:positionH>
              <wp:positionV relativeFrom="page">
                <wp:posOffset>697230</wp:posOffset>
              </wp:positionV>
              <wp:extent cx="2907665" cy="106680"/>
              <wp:wrapNone/>
              <wp:docPr id="383" name="Shape 38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09" type="#_x0000_t202" style="position:absolute;margin-left:305.80000000000001pt;margin-top:54.899999999999999pt;width:228.95000000000002pt;height:8.4000000000000004pt;z-index:-18874378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3893820</wp:posOffset>
              </wp:positionH>
              <wp:positionV relativeFrom="page">
                <wp:posOffset>716915</wp:posOffset>
              </wp:positionV>
              <wp:extent cx="2907665" cy="106680"/>
              <wp:wrapNone/>
              <wp:docPr id="387" name="Shape 38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13" type="#_x0000_t202" style="position:absolute;margin-left:306.60000000000002pt;margin-top:56.450000000000003pt;width:228.95000000000002pt;height:8.4000000000000004pt;z-index:-18874377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389" name="Shape 3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866140</wp:posOffset>
              </wp:positionH>
              <wp:positionV relativeFrom="page">
                <wp:posOffset>630555</wp:posOffset>
              </wp:positionV>
              <wp:extent cx="5928360" cy="228600"/>
              <wp:wrapNone/>
              <wp:docPr id="392" name="Shape 392"/>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18" type="#_x0000_t202" style="position:absolute;margin-left:68.200000000000003pt;margin-top:49.649999999999999pt;width:466.80000000000001pt;height:18.pt;z-index:-18874377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394" name="Shape 3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866140</wp:posOffset>
              </wp:positionH>
              <wp:positionV relativeFrom="page">
                <wp:posOffset>630555</wp:posOffset>
              </wp:positionV>
              <wp:extent cx="5928360" cy="228600"/>
              <wp:wrapNone/>
              <wp:docPr id="397" name="Shape 397"/>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23" type="#_x0000_t202" style="position:absolute;margin-left:68.200000000000003pt;margin-top:49.649999999999999pt;width:466.80000000000001pt;height:18.pt;z-index:-188743771;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399" name="Shape 3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3893820</wp:posOffset>
              </wp:positionH>
              <wp:positionV relativeFrom="page">
                <wp:posOffset>716915</wp:posOffset>
              </wp:positionV>
              <wp:extent cx="2907665" cy="106680"/>
              <wp:wrapNone/>
              <wp:docPr id="402" name="Shape 40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28" type="#_x0000_t202" style="position:absolute;margin-left:306.60000000000002pt;margin-top:56.450000000000003pt;width:228.95000000000002pt;height:8.4000000000000004pt;z-index:-18874376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404" name="Shape 4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3893820</wp:posOffset>
              </wp:positionH>
              <wp:positionV relativeFrom="page">
                <wp:posOffset>716915</wp:posOffset>
              </wp:positionV>
              <wp:extent cx="2907665" cy="106680"/>
              <wp:wrapNone/>
              <wp:docPr id="407" name="Shape 40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33" type="#_x0000_t202" style="position:absolute;margin-left:306.60000000000002pt;margin-top:56.450000000000003pt;width:228.95000000000002pt;height:8.4000000000000004pt;z-index:-1887437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409" name="Shape 4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864870</wp:posOffset>
              </wp:positionH>
              <wp:positionV relativeFrom="page">
                <wp:posOffset>668020</wp:posOffset>
              </wp:positionV>
              <wp:extent cx="5928360" cy="228600"/>
              <wp:wrapNone/>
              <wp:docPr id="38" name="Shape 38"/>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lIns="0" tIns="0" rIns="0" bIns="0">
                      <a:spAutoFit/>
                    </wps:bodyPr>
                  </wps:wsp>
                </a:graphicData>
              </a:graphic>
            </wp:anchor>
          </w:drawing>
        </mc:Choice>
        <mc:Fallback>
          <w:pict>
            <v:shape id="_x0000_s1064" type="#_x0000_t202" style="position:absolute;margin-left:68.099999999999994pt;margin-top:52.600000000000001pt;width:466.80000000000001pt;height:18.pt;z-index:-188744035;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336" w:val="right"/>
                      </w:tabs>
                      <w:bidi w:val="0"/>
                      <w:spacing w:before="0" w:after="0" w:line="240" w:lineRule="auto"/>
                      <w:ind w:left="0" w:right="0" w:firstLine="0"/>
                      <w:jc w:val="left"/>
                      <w:rPr>
                        <w:sz w:val="17"/>
                        <w:szCs w:val="17"/>
                      </w:rPr>
                    </w:pPr>
                    <w:r>
                      <w:rPr>
                        <w:rFonts w:ascii="Arial" w:eastAsia="Arial" w:hAnsi="Arial" w:cs="Arial"/>
                        <w:b/>
                        <w:bCs/>
                        <w:color w:val="79A439"/>
                        <w:spacing w:val="0"/>
                        <w:w w:val="100"/>
                        <w:position w:val="0"/>
                        <w:sz w:val="38"/>
                        <w:szCs w:val="38"/>
                      </w:rPr>
                      <w:t>iBR</w:t>
                      <w:tab/>
                    </w: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690880</wp:posOffset>
              </wp:positionH>
              <wp:positionV relativeFrom="page">
                <wp:posOffset>948690</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99999999999999pt;margin-top:74.700000000000003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711200</wp:posOffset>
              </wp:positionH>
              <wp:positionV relativeFrom="page">
                <wp:posOffset>431800</wp:posOffset>
              </wp:positionV>
              <wp:extent cx="734695" cy="356870"/>
              <wp:wrapNone/>
              <wp:docPr id="432" name="Shape 432"/>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433" name="Picutre 433"/>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459" type="#_x0000_t202" style="position:absolute;margin-left:56.pt;margin-top:34.pt;width:57.850000000000001pt;height:28.100000000000001pt;z-index:-18874375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435" name="Picutre 435"/>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00" behindDoc="1" locked="0" layoutInCell="1" allowOverlap="1">
              <wp:simplePos x="0" y="0"/>
              <wp:positionH relativeFrom="page">
                <wp:posOffset>3883660</wp:posOffset>
              </wp:positionH>
              <wp:positionV relativeFrom="page">
                <wp:posOffset>697230</wp:posOffset>
              </wp:positionV>
              <wp:extent cx="2907665" cy="106680"/>
              <wp:wrapNone/>
              <wp:docPr id="436" name="Shape 43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62" type="#_x0000_t202" style="position:absolute;margin-left:305.80000000000001pt;margin-top:54.899999999999999pt;width:228.95000000000002pt;height:8.4000000000000004pt;z-index:-1887437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711200</wp:posOffset>
              </wp:positionH>
              <wp:positionV relativeFrom="page">
                <wp:posOffset>431800</wp:posOffset>
              </wp:positionV>
              <wp:extent cx="734695" cy="356870"/>
              <wp:wrapNone/>
              <wp:docPr id="440" name="Shape 440"/>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441" name="Picutre 441"/>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467" type="#_x0000_t202" style="position:absolute;margin-left:56.pt;margin-top:34.pt;width:57.850000000000001pt;height:28.100000000000001pt;z-index:-188743749;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443" name="Picutre 443"/>
                          <a:graphic xmlns:a="http://schemas.openxmlformats.org/drawingml/2006/main">
                            <a:graphicData uri="http://schemas.openxmlformats.org/drawingml/2006/picture">
                              <pic:pic xmlns:pic="http://schemas.openxmlformats.org/drawingml/2006/picture">
                                <pic:nvPicPr>
                                  <pic:cNvPr id="443" name="Picture 443"/>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06" behindDoc="1" locked="0" layoutInCell="1" allowOverlap="1">
              <wp:simplePos x="0" y="0"/>
              <wp:positionH relativeFrom="page">
                <wp:posOffset>3883660</wp:posOffset>
              </wp:positionH>
              <wp:positionV relativeFrom="page">
                <wp:posOffset>697230</wp:posOffset>
              </wp:positionV>
              <wp:extent cx="2907665" cy="106680"/>
              <wp:wrapNone/>
              <wp:docPr id="444" name="Shape 44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70" type="#_x0000_t202" style="position:absolute;margin-left:305.80000000000001pt;margin-top:54.899999999999999pt;width:228.95000000000002pt;height:8.4000000000000004pt;z-index:-1887437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866140</wp:posOffset>
              </wp:positionH>
              <wp:positionV relativeFrom="page">
                <wp:posOffset>630555</wp:posOffset>
              </wp:positionV>
              <wp:extent cx="5928360" cy="228600"/>
              <wp:wrapNone/>
              <wp:docPr id="448" name="Shape 448"/>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74" type="#_x0000_t202" style="position:absolute;margin-left:68.200000000000003pt;margin-top:49.649999999999999pt;width:466.80000000000001pt;height:18.pt;z-index:-188743743;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450" name="Shape 4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866140</wp:posOffset>
              </wp:positionH>
              <wp:positionV relativeFrom="page">
                <wp:posOffset>630555</wp:posOffset>
              </wp:positionV>
              <wp:extent cx="5928360" cy="228600"/>
              <wp:wrapNone/>
              <wp:docPr id="459" name="Shape 459"/>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85" type="#_x0000_t202" style="position:absolute;margin-left:68.200000000000003pt;margin-top:49.649999999999999pt;width:466.80000000000001pt;height:18.pt;z-index:-18874373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461" name="Shape 4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866140</wp:posOffset>
              </wp:positionH>
              <wp:positionV relativeFrom="page">
                <wp:posOffset>630555</wp:posOffset>
              </wp:positionV>
              <wp:extent cx="5928360" cy="228600"/>
              <wp:wrapNone/>
              <wp:docPr id="464" name="Shape 464"/>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490" type="#_x0000_t202" style="position:absolute;margin-left:68.200000000000003pt;margin-top:49.649999999999999pt;width:466.80000000000001pt;height:18.pt;z-index:-18874373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466" name="Shape 4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3893820</wp:posOffset>
              </wp:positionH>
              <wp:positionV relativeFrom="page">
                <wp:posOffset>716915</wp:posOffset>
              </wp:positionV>
              <wp:extent cx="2907665" cy="106680"/>
              <wp:wrapNone/>
              <wp:docPr id="469" name="Shape 46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495" type="#_x0000_t202" style="position:absolute;margin-left:306.60000000000002pt;margin-top:56.450000000000003pt;width:228.95000000000002pt;height:8.4000000000000004pt;z-index:-18874373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471" name="Shape 47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4161790</wp:posOffset>
              </wp:positionH>
              <wp:positionV relativeFrom="page">
                <wp:posOffset>1012825</wp:posOffset>
              </wp:positionV>
              <wp:extent cx="2907665" cy="106680"/>
              <wp:wrapNone/>
              <wp:docPr id="474" name="Shape 474"/>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0" type="#_x0000_t202" style="position:absolute;margin-left:327.69999999999999pt;margin-top:79.75pt;width:228.95000000000002pt;height:8.4000000000000004pt;z-index:-188743727;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967740</wp:posOffset>
              </wp:positionH>
              <wp:positionV relativeFrom="page">
                <wp:posOffset>1157605</wp:posOffset>
              </wp:positionV>
              <wp:extent cx="6163310" cy="0"/>
              <wp:wrapNone/>
              <wp:docPr id="476" name="Shape 4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76.200000000000003pt;margin-top:91.150000000000006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4161790</wp:posOffset>
              </wp:positionH>
              <wp:positionV relativeFrom="page">
                <wp:posOffset>1012825</wp:posOffset>
              </wp:positionV>
              <wp:extent cx="2907665" cy="106680"/>
              <wp:wrapNone/>
              <wp:docPr id="481" name="Shape 481"/>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07" type="#_x0000_t202" style="position:absolute;margin-left:327.69999999999999pt;margin-top:79.75pt;width:228.95000000000002pt;height:8.4000000000000004pt;z-index:-188743721;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967740</wp:posOffset>
              </wp:positionH>
              <wp:positionV relativeFrom="page">
                <wp:posOffset>1157605</wp:posOffset>
              </wp:positionV>
              <wp:extent cx="6163310" cy="0"/>
              <wp:wrapNone/>
              <wp:docPr id="483" name="Shape 4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76.200000000000003pt;margin-top:91.150000000000006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711200</wp:posOffset>
              </wp:positionH>
              <wp:positionV relativeFrom="page">
                <wp:posOffset>431800</wp:posOffset>
              </wp:positionV>
              <wp:extent cx="734695" cy="356870"/>
              <wp:wrapNone/>
              <wp:docPr id="488" name="Shape 488"/>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489" name="Picutre 489"/>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515" type="#_x0000_t202" style="position:absolute;margin-left:56.pt;margin-top:34.pt;width:57.850000000000001pt;height:28.100000000000001pt;z-index:-18874371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491" name="Picutre 491"/>
                          <a:graphic xmlns:a="http://schemas.openxmlformats.org/drawingml/2006/main">
                            <a:graphicData uri="http://schemas.openxmlformats.org/drawingml/2006/picture">
                              <pic:pic xmlns:pic="http://schemas.openxmlformats.org/drawingml/2006/picture">
                                <pic:nvPicPr>
                                  <pic:cNvPr id="491" name="Picture 491"/>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40" behindDoc="1" locked="0" layoutInCell="1" allowOverlap="1">
              <wp:simplePos x="0" y="0"/>
              <wp:positionH relativeFrom="page">
                <wp:posOffset>3883660</wp:posOffset>
              </wp:positionH>
              <wp:positionV relativeFrom="page">
                <wp:posOffset>697230</wp:posOffset>
              </wp:positionV>
              <wp:extent cx="2907665" cy="106680"/>
              <wp:wrapNone/>
              <wp:docPr id="492" name="Shape 49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18" type="#_x0000_t202" style="position:absolute;margin-left:305.80000000000001pt;margin-top:54.899999999999999pt;width:228.95000000000002pt;height:8.4000000000000004pt;z-index:-18874371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866140</wp:posOffset>
              </wp:positionH>
              <wp:positionV relativeFrom="page">
                <wp:posOffset>630555</wp:posOffset>
              </wp:positionV>
              <wp:extent cx="5928360" cy="228600"/>
              <wp:wrapNone/>
              <wp:docPr id="496" name="Shape 496"/>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2" type="#_x0000_t202" style="position:absolute;margin-left:68.200000000000003pt;margin-top:49.649999999999999pt;width:466.80000000000001pt;height:18.pt;z-index:-18874370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498" name="Shape 49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711200</wp:posOffset>
              </wp:positionH>
              <wp:positionV relativeFrom="page">
                <wp:posOffset>431800</wp:posOffset>
              </wp:positionV>
              <wp:extent cx="734695" cy="356870"/>
              <wp:wrapNone/>
              <wp:docPr id="45" name="Shape 45"/>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46" name="Picutre 46"/>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072" type="#_x0000_t202" style="position:absolute;margin-left:56.pt;margin-top:34.pt;width:57.850000000000001pt;height:28.100000000000001pt;z-index:-18874403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3883660</wp:posOffset>
              </wp:positionH>
              <wp:positionV relativeFrom="page">
                <wp:posOffset>697230</wp:posOffset>
              </wp:positionV>
              <wp:extent cx="2907665" cy="106680"/>
              <wp:wrapNone/>
              <wp:docPr id="49" name="Shape 49"/>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5" type="#_x0000_t202" style="position:absolute;margin-left:305.80000000000001pt;margin-top:54.899999999999999pt;width:228.95000000000002pt;height:8.4000000000000004pt;z-index:-18874402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866140</wp:posOffset>
              </wp:positionH>
              <wp:positionV relativeFrom="page">
                <wp:posOffset>630555</wp:posOffset>
              </wp:positionV>
              <wp:extent cx="5928360" cy="228600"/>
              <wp:wrapNone/>
              <wp:docPr id="501" name="Shape 501"/>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27" type="#_x0000_t202" style="position:absolute;margin-left:68.200000000000003pt;margin-top:49.649999999999999pt;width:466.80000000000001pt;height:18.pt;z-index:-18874370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503" name="Shape 50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904875</wp:posOffset>
              </wp:positionH>
              <wp:positionV relativeFrom="page">
                <wp:posOffset>539750</wp:posOffset>
              </wp:positionV>
              <wp:extent cx="734695" cy="356870"/>
              <wp:wrapNone/>
              <wp:docPr id="506" name="Shape 506"/>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507" name="Picutre 507"/>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533" type="#_x0000_t202" style="position:absolute;margin-left:71.25pt;margin-top:42.5pt;width:57.850000000000001pt;height:28.100000000000001pt;z-index:-188743701;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509" name="Picutre 509"/>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54" behindDoc="1" locked="0" layoutInCell="1" allowOverlap="1">
              <wp:simplePos x="0" y="0"/>
              <wp:positionH relativeFrom="page">
                <wp:posOffset>4077335</wp:posOffset>
              </wp:positionH>
              <wp:positionV relativeFrom="page">
                <wp:posOffset>805180</wp:posOffset>
              </wp:positionV>
              <wp:extent cx="2907665" cy="106680"/>
              <wp:wrapNone/>
              <wp:docPr id="510" name="Shape 510"/>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36" type="#_x0000_t202" style="position:absolute;margin-left:321.05000000000001pt;margin-top:63.399999999999999pt;width:228.95000000000002pt;height:8.4000000000000004pt;z-index:-188743699;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904875</wp:posOffset>
              </wp:positionH>
              <wp:positionV relativeFrom="page">
                <wp:posOffset>539750</wp:posOffset>
              </wp:positionV>
              <wp:extent cx="734695" cy="356870"/>
              <wp:wrapNone/>
              <wp:docPr id="514" name="Shape 514"/>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515" name="Picutre 515"/>
                                <a:graphic xmlns:a="http://schemas.openxmlformats.org/drawingml/2006/main">
                                  <a:graphicData uri="http://schemas.openxmlformats.org/drawingml/2006/picture">
                                    <pic:pic xmlns:pic="http://schemas.openxmlformats.org/drawingml/2006/picture">
                                      <pic:nvPicPr>
                                        <pic:cNvPr id="515" name="Picture 515"/>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541" type="#_x0000_t202" style="position:absolute;margin-left:71.25pt;margin-top:42.5pt;width:57.850000000000001pt;height:28.100000000000001pt;z-index:-18874369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517" name="Picutre 517"/>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60" behindDoc="1" locked="0" layoutInCell="1" allowOverlap="1">
              <wp:simplePos x="0" y="0"/>
              <wp:positionH relativeFrom="page">
                <wp:posOffset>4077335</wp:posOffset>
              </wp:positionH>
              <wp:positionV relativeFrom="page">
                <wp:posOffset>805180</wp:posOffset>
              </wp:positionV>
              <wp:extent cx="2907665" cy="106680"/>
              <wp:wrapNone/>
              <wp:docPr id="518" name="Shape 51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544" type="#_x0000_t202" style="position:absolute;margin-left:321.05000000000001pt;margin-top:63.399999999999999pt;width:228.95000000000002pt;height:8.4000000000000004pt;z-index:-188743693;mso-wrap-style:none;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4" behindDoc="1" locked="0" layoutInCell="1" allowOverlap="1">
              <wp:simplePos x="0" y="0"/>
              <wp:positionH relativeFrom="page">
                <wp:posOffset>866140</wp:posOffset>
              </wp:positionH>
              <wp:positionV relativeFrom="page">
                <wp:posOffset>630555</wp:posOffset>
              </wp:positionV>
              <wp:extent cx="5928360" cy="228600"/>
              <wp:wrapNone/>
              <wp:docPr id="522" name="Shape 522"/>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48" type="#_x0000_t202" style="position:absolute;margin-left:68.200000000000003pt;margin-top:49.649999999999999pt;width:466.80000000000001pt;height:18.pt;z-index:-188743689;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524" name="Shape 52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866140</wp:posOffset>
              </wp:positionH>
              <wp:positionV relativeFrom="page">
                <wp:posOffset>630555</wp:posOffset>
              </wp:positionV>
              <wp:extent cx="5928360" cy="228600"/>
              <wp:wrapNone/>
              <wp:docPr id="527" name="Shape 527"/>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53" type="#_x0000_t202" style="position:absolute;margin-left:68.200000000000003pt;margin-top:49.649999999999999pt;width:466.80000000000001pt;height:18.pt;z-index:-18874368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529" name="Shape 5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3893820</wp:posOffset>
              </wp:positionH>
              <wp:positionV relativeFrom="page">
                <wp:posOffset>716915</wp:posOffset>
              </wp:positionV>
              <wp:extent cx="2907665" cy="106680"/>
              <wp:wrapNone/>
              <wp:docPr id="532" name="Shape 53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58" type="#_x0000_t202" style="position:absolute;margin-left:306.60000000000002pt;margin-top:56.450000000000003pt;width:228.95000000000002pt;height:8.4000000000000004pt;z-index:-18874368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534" name="Shape 5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6" behindDoc="1" locked="0" layoutInCell="1" allowOverlap="1">
              <wp:simplePos x="0" y="0"/>
              <wp:positionH relativeFrom="page">
                <wp:posOffset>3893820</wp:posOffset>
              </wp:positionH>
              <wp:positionV relativeFrom="page">
                <wp:posOffset>716915</wp:posOffset>
              </wp:positionV>
              <wp:extent cx="2907665" cy="106680"/>
              <wp:wrapNone/>
              <wp:docPr id="537" name="Shape 53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63" type="#_x0000_t202" style="position:absolute;margin-left:306.60000000000002pt;margin-top:56.450000000000003pt;width:228.95000000000002pt;height:8.4000000000000004pt;z-index:-18874367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539" name="Shape 5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711200</wp:posOffset>
              </wp:positionH>
              <wp:positionV relativeFrom="page">
                <wp:posOffset>431800</wp:posOffset>
              </wp:positionV>
              <wp:extent cx="734695" cy="356870"/>
              <wp:wrapNone/>
              <wp:docPr id="544" name="Shape 544"/>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545" name="Picutre 545"/>
                                <a:graphic xmlns:a="http://schemas.openxmlformats.org/drawingml/2006/main">
                                  <a:graphicData uri="http://schemas.openxmlformats.org/drawingml/2006/picture">
                                    <pic:pic xmlns:pic="http://schemas.openxmlformats.org/drawingml/2006/picture">
                                      <pic:nvPicPr>
                                        <pic:cNvPr id="545" name="Picture 545"/>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571" type="#_x0000_t202" style="position:absolute;margin-left:56.pt;margin-top:34.pt;width:57.850000000000001pt;height:28.100000000000001pt;z-index:-188743673;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547" name="Picutre 547"/>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3883660</wp:posOffset>
              </wp:positionH>
              <wp:positionV relativeFrom="page">
                <wp:posOffset>697230</wp:posOffset>
              </wp:positionV>
              <wp:extent cx="2907665" cy="106680"/>
              <wp:wrapNone/>
              <wp:docPr id="548" name="Shape 54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74" type="#_x0000_t202" style="position:absolute;margin-left:305.80000000000001pt;margin-top:54.899999999999999pt;width:228.95000000000002pt;height:8.4000000000000004pt;z-index:-18874367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711200</wp:posOffset>
              </wp:positionH>
              <wp:positionV relativeFrom="page">
                <wp:posOffset>431800</wp:posOffset>
              </wp:positionV>
              <wp:extent cx="734695" cy="356870"/>
              <wp:wrapNone/>
              <wp:docPr id="552" name="Shape 552"/>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553" name="Picutre 553"/>
                                <a:graphic xmlns:a="http://schemas.openxmlformats.org/drawingml/2006/main">
                                  <a:graphicData uri="http://schemas.openxmlformats.org/drawingml/2006/picture">
                                    <pic:pic xmlns:pic="http://schemas.openxmlformats.org/drawingml/2006/picture">
                                      <pic:nvPicPr>
                                        <pic:cNvPr id="553" name="Picture 553"/>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579" type="#_x0000_t202" style="position:absolute;margin-left:56.pt;margin-top:34.pt;width:57.850000000000001pt;height:28.100000000000001pt;z-index:-188743667;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555" name="Picutre 555"/>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3883660</wp:posOffset>
              </wp:positionH>
              <wp:positionV relativeFrom="page">
                <wp:posOffset>697230</wp:posOffset>
              </wp:positionV>
              <wp:extent cx="2907665" cy="106680"/>
              <wp:wrapNone/>
              <wp:docPr id="556" name="Shape 556"/>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82" type="#_x0000_t202" style="position:absolute;margin-left:305.80000000000001pt;margin-top:54.899999999999999pt;width:228.95000000000002pt;height:8.4000000000000004pt;z-index:-18874366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711200</wp:posOffset>
              </wp:positionH>
              <wp:positionV relativeFrom="page">
                <wp:posOffset>431800</wp:posOffset>
              </wp:positionV>
              <wp:extent cx="734695" cy="356870"/>
              <wp:wrapNone/>
              <wp:docPr id="53" name="Shape 53"/>
              <a:graphic xmlns:a="http://schemas.openxmlformats.org/drawingml/2006/main">
                <a:graphicData uri="http://schemas.microsoft.com/office/word/2010/wordprocessingShape">
                  <wps:wsp>
                    <wps:cNvSpPr txBox="1"/>
                    <wps:spPr>
                      <a:xfrm>
                        <a:ext cx="734695" cy="356870"/>
                      </a:xfrm>
                      <a:prstGeom prst="rect"/>
                      <a:noFill/>
                    </wps:spPr>
                    <wps:txbx>
                      <w:txbxContent>
                        <w:p>
                          <w:pPr>
                            <w:widowControl w:val="0"/>
                            <w:rPr>
                              <w:sz w:val="2"/>
                              <w:szCs w:val="2"/>
                            </w:rPr>
                          </w:pPr>
                          <w:r>
                            <w:drawing>
                              <wp:inline>
                                <wp:extent cx="737870" cy="359410"/>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
                                        <a:stretch/>
                                      </pic:blipFill>
                                      <pic:spPr>
                                        <a:xfrm>
                                          <a:ext cx="737870" cy="359410"/>
                                        </a:xfrm>
                                        <a:prstGeom prst="rect"/>
                                      </pic:spPr>
                                    </pic:pic>
                                  </a:graphicData>
                                </a:graphic>
                              </wp:inline>
                            </w:drawing>
                          </w:r>
                        </w:p>
                      </w:txbxContent>
                    </wps:txbx>
                    <wps:bodyPr lIns="0" tIns="0" rIns="0" bIns="0">
                      <a:noAutoFit/>
                    </wps:bodyPr>
                  </wps:wsp>
                </a:graphicData>
              </a:graphic>
            </wp:anchor>
          </w:drawing>
        </mc:Choice>
        <mc:Fallback>
          <w:pict>
            <v:shape id="_x0000_s1080" type="#_x0000_t202" style="position:absolute;margin-left:56.pt;margin-top:34.pt;width:57.850000000000001pt;height:28.100000000000001pt;z-index:-188744025;mso-wrap-distance-left:0;mso-wrap-distance-right:0;mso-position-horizontal-relative:page;mso-position-vertical-relative:page" wrapcoords="0 0" filled="f" stroked="f">
              <v:textbox inset="0,0,0,0">
                <w:txbxContent>
                  <w:p>
                    <w:pPr>
                      <w:widowControl w:val="0"/>
                      <w:rPr>
                        <w:sz w:val="2"/>
                        <w:szCs w:val="2"/>
                      </w:rPr>
                    </w:pPr>
                    <w:r>
                      <w:drawing>
                        <wp:inline>
                          <wp:extent cx="737870" cy="359410"/>
                          <wp:docPr id="56" name="Picutre 56"/>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
                                  <a:stretch/>
                                </pic:blipFill>
                                <pic:spPr>
                                  <a:xfrm>
                                    <a:ext cx="737870" cy="35941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0" behindDoc="1" locked="0" layoutInCell="1" allowOverlap="1">
              <wp:simplePos x="0" y="0"/>
              <wp:positionH relativeFrom="page">
                <wp:posOffset>3883660</wp:posOffset>
              </wp:positionH>
              <wp:positionV relativeFrom="page">
                <wp:posOffset>697230</wp:posOffset>
              </wp:positionV>
              <wp:extent cx="2907665" cy="106680"/>
              <wp:wrapNone/>
              <wp:docPr id="57" name="Shape 57"/>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3" type="#_x0000_t202" style="position:absolute;margin-left:305.80000000000001pt;margin-top:54.899999999999999pt;width:228.95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4" behindDoc="1" locked="0" layoutInCell="1" allowOverlap="1">
              <wp:simplePos x="0" y="0"/>
              <wp:positionH relativeFrom="page">
                <wp:posOffset>3893820</wp:posOffset>
              </wp:positionH>
              <wp:positionV relativeFrom="page">
                <wp:posOffset>716915</wp:posOffset>
              </wp:positionV>
              <wp:extent cx="2907665" cy="106680"/>
              <wp:wrapNone/>
              <wp:docPr id="562" name="Shape 562"/>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588" type="#_x0000_t202" style="position:absolute;margin-left:306.60000000000002pt;margin-top:56.450000000000003pt;width:228.95000000000002pt;height:8.4000000000000004pt;z-index:-1887436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564" name="Shape 56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866140</wp:posOffset>
              </wp:positionH>
              <wp:positionV relativeFrom="page">
                <wp:posOffset>630555</wp:posOffset>
              </wp:positionV>
              <wp:extent cx="5928360" cy="228600"/>
              <wp:wrapNone/>
              <wp:docPr id="567" name="Shape 567"/>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93" type="#_x0000_t202" style="position:absolute;margin-left:68.200000000000003pt;margin-top:49.649999999999999pt;width:466.80000000000001pt;height:18.pt;z-index:-188743655;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569" name="Shape 5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2" behindDoc="1" locked="0" layoutInCell="1" allowOverlap="1">
              <wp:simplePos x="0" y="0"/>
              <wp:positionH relativeFrom="page">
                <wp:posOffset>866140</wp:posOffset>
              </wp:positionH>
              <wp:positionV relativeFrom="page">
                <wp:posOffset>630555</wp:posOffset>
              </wp:positionV>
              <wp:extent cx="5928360" cy="228600"/>
              <wp:wrapNone/>
              <wp:docPr id="572" name="Shape 572"/>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598" type="#_x0000_t202" style="position:absolute;margin-left:68.200000000000003pt;margin-top:49.649999999999999pt;width:466.80000000000001pt;height:18.pt;z-index:-188743651;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574" name="Shape 5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866140</wp:posOffset>
              </wp:positionH>
              <wp:positionV relativeFrom="page">
                <wp:posOffset>630555</wp:posOffset>
              </wp:positionV>
              <wp:extent cx="5928360" cy="228600"/>
              <wp:wrapNone/>
              <wp:docPr id="577" name="Shape 577"/>
              <a:graphic xmlns:a="http://schemas.openxmlformats.org/drawingml/2006/main">
                <a:graphicData uri="http://schemas.microsoft.com/office/word/2010/wordprocessingShape">
                  <wps:wsp>
                    <wps:cNvSpPr txBox="1"/>
                    <wps:spPr>
                      <a:xfrm>
                        <a:ext cx="5928360" cy="228600"/>
                      </a:xfrm>
                      <a:prstGeom prst="rect"/>
                      <a:noFill/>
                    </wps:spPr>
                    <wps:txbx>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lIns="0" tIns="0" rIns="0" bIns="0">
                      <a:spAutoFit/>
                    </wps:bodyPr>
                  </wps:wsp>
                </a:graphicData>
              </a:graphic>
            </wp:anchor>
          </w:drawing>
        </mc:Choice>
        <mc:Fallback>
          <w:pict>
            <v:shape id="_x0000_s1603" type="#_x0000_t202" style="position:absolute;margin-left:68.200000000000003pt;margin-top:49.649999999999999pt;width:466.80000000000001pt;height:18.pt;z-index:-188743647;mso-wrap-distance-left:0;mso-wrap-distance-right:0;mso-position-horizontal-relative:page;mso-position-vertical-relative:page" wrapcoords="0 0" filled="f" stroked="f">
              <v:textbox style="mso-fit-shape-to-text:t" inset="0,0,0,0">
                <w:txbxContent>
                  <w:p>
                    <w:pPr>
                      <w:pStyle w:val="Style53"/>
                      <w:keepNext w:val="0"/>
                      <w:keepLines w:val="0"/>
                      <w:widowControl w:val="0"/>
                      <w:shd w:val="clear" w:color="auto" w:fill="auto"/>
                      <w:tabs>
                        <w:tab w:pos="9336" w:val="right"/>
                      </w:tabs>
                      <w:bidi w:val="0"/>
                      <w:spacing w:before="0" w:after="0" w:line="240" w:lineRule="auto"/>
                      <w:ind w:left="0" w:right="0" w:firstLine="0"/>
                      <w:jc w:val="left"/>
                    </w:pPr>
                    <w:r>
                      <w:rPr>
                        <w:rFonts w:ascii="Arial" w:eastAsia="Arial" w:hAnsi="Arial" w:cs="Arial"/>
                        <w:b/>
                        <w:bCs/>
                        <w:color w:val="79A439"/>
                        <w:spacing w:val="0"/>
                        <w:w w:val="100"/>
                        <w:position w:val="0"/>
                        <w:sz w:val="38"/>
                        <w:szCs w:val="38"/>
                      </w:rPr>
                      <w:t>iBR</w:t>
                      <w:tab/>
                    </w:r>
                    <w:r>
                      <w:rPr>
                        <w:color w:val="000000"/>
                        <w:spacing w:val="0"/>
                        <w:w w:val="100"/>
                        <w:position w:val="0"/>
                      </w:rPr>
                      <w:t>深圳市建筑科学研究院股份有限公司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692785</wp:posOffset>
              </wp:positionH>
              <wp:positionV relativeFrom="page">
                <wp:posOffset>953135</wp:posOffset>
              </wp:positionV>
              <wp:extent cx="6163310" cy="0"/>
              <wp:wrapNone/>
              <wp:docPr id="579" name="Shape 5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50000000000004pt;margin-top:75.049999999999997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4" behindDoc="1" locked="0" layoutInCell="1" allowOverlap="1">
              <wp:simplePos x="0" y="0"/>
              <wp:positionH relativeFrom="page">
                <wp:posOffset>3893820</wp:posOffset>
              </wp:positionH>
              <wp:positionV relativeFrom="page">
                <wp:posOffset>716915</wp:posOffset>
              </wp:positionV>
              <wp:extent cx="2907665" cy="106680"/>
              <wp:wrapNone/>
              <wp:docPr id="588" name="Shape 588"/>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14" type="#_x0000_t202" style="position:absolute;margin-left:306.60000000000002pt;margin-top:56.450000000000003pt;width:228.95000000000002pt;height:8.4000000000000004pt;z-index:-1887436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590" name="Shape 5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3893820</wp:posOffset>
              </wp:positionH>
              <wp:positionV relativeFrom="page">
                <wp:posOffset>716915</wp:posOffset>
              </wp:positionV>
              <wp:extent cx="2907665" cy="106680"/>
              <wp:wrapNone/>
              <wp:docPr id="593" name="Shape 593"/>
              <a:graphic xmlns:a="http://schemas.openxmlformats.org/drawingml/2006/main">
                <a:graphicData uri="http://schemas.microsoft.com/office/word/2010/wordprocessingShape">
                  <wps:wsp>
                    <wps:cNvSpPr txBox="1"/>
                    <wps:spPr>
                      <a:xfrm>
                        <a:ext cx="29076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619" type="#_x0000_t202" style="position:absolute;margin-left:306.60000000000002pt;margin-top:56.450000000000003pt;width:228.95000000000002pt;height:8.4000000000000004pt;z-index:-1887436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深圳市建筑科学研究院股份有限公司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699135</wp:posOffset>
              </wp:positionH>
              <wp:positionV relativeFrom="page">
                <wp:posOffset>934720</wp:posOffset>
              </wp:positionV>
              <wp:extent cx="6163310" cy="0"/>
              <wp:wrapNone/>
              <wp:docPr id="595" name="Shape 5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050000000000004pt;margin-top:73.600000000000009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标题 #2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6)_"/>
    <w:basedOn w:val="DefaultParagraphFont"/>
    <w:link w:val="Style11"/>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4">
    <w:name w:val="正文文本 (5)_"/>
    <w:basedOn w:val="DefaultParagraphFont"/>
    <w:link w:val="Style13"/>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7">
    <w:name w:val="标题 #1_"/>
    <w:basedOn w:val="DefaultParagraphFont"/>
    <w:link w:val="Style16"/>
    <w:rPr>
      <w:rFonts w:ascii="Arial" w:eastAsia="Arial" w:hAnsi="Arial" w:cs="Arial"/>
      <w:b/>
      <w:bCs/>
      <w:i w:val="0"/>
      <w:iCs w:val="0"/>
      <w:smallCaps w:val="0"/>
      <w:strike w:val="0"/>
      <w:color w:val="79A439"/>
      <w:sz w:val="38"/>
      <w:szCs w:val="38"/>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2">
    <w:name w:val="正文文本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8">
    <w:name w:val="其他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2"/>
      <w:szCs w:val="22"/>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40">
    <w:name w:val="正文文本 (3)_"/>
    <w:basedOn w:val="DefaultParagraphFont"/>
    <w:link w:val="Style39"/>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4">
    <w:name w:val="页眉或页脚_"/>
    <w:basedOn w:val="DefaultParagraphFont"/>
    <w:link w:val="Style53"/>
    <w:rPr>
      <w:rFonts w:ascii="SimSun" w:eastAsia="SimSun" w:hAnsi="SimSun" w:cs="SimSun"/>
      <w:b w:val="0"/>
      <w:bCs w:val="0"/>
      <w:i w:val="0"/>
      <w:iCs w:val="0"/>
      <w:smallCaps w:val="0"/>
      <w:strike w:val="0"/>
      <w:sz w:val="17"/>
      <w:szCs w:val="17"/>
      <w:u w:val="none"/>
      <w:shd w:val="clear" w:color="auto" w:fill="auto"/>
    </w:rPr>
  </w:style>
  <w:style w:type="character" w:customStyle="1" w:styleId="CharStyle73">
    <w:name w:val="正文文本 (9)_"/>
    <w:basedOn w:val="DefaultParagraphFont"/>
    <w:link w:val="Style72"/>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正文文本 (4)"/>
    <w:basedOn w:val="Normal"/>
    <w:link w:val="CharStyle7"/>
    <w:pPr>
      <w:widowControl w:val="0"/>
      <w:shd w:val="clear" w:color="auto" w:fill="auto"/>
      <w:spacing w:before="690" w:after="970"/>
      <w:jc w:val="center"/>
    </w:pPr>
    <w:rPr>
      <w:rFonts w:ascii="SimSun" w:eastAsia="SimSun" w:hAnsi="SimSun" w:cs="SimSun"/>
      <w:b/>
      <w:bCs/>
      <w:i w:val="0"/>
      <w:iCs w:val="0"/>
      <w:smallCaps w:val="0"/>
      <w:strike w:val="0"/>
      <w:sz w:val="36"/>
      <w:szCs w:val="36"/>
      <w:u w:val="none"/>
      <w:shd w:val="clear" w:color="auto" w:fill="auto"/>
    </w:rPr>
  </w:style>
  <w:style w:type="paragraph" w:customStyle="1" w:styleId="Style8">
    <w:name w:val="标题 #2"/>
    <w:basedOn w:val="Normal"/>
    <w:link w:val="CharStyle9"/>
    <w:pPr>
      <w:widowControl w:val="0"/>
      <w:shd w:val="clear" w:color="auto" w:fill="auto"/>
      <w:spacing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6)"/>
    <w:basedOn w:val="Normal"/>
    <w:link w:val="CharStyle12"/>
    <w:pPr>
      <w:widowControl w:val="0"/>
      <w:shd w:val="clear" w:color="auto" w:fill="auto"/>
      <w:spacing w:after="676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13">
    <w:name w:val="正文文本 (5)"/>
    <w:basedOn w:val="Normal"/>
    <w:link w:val="CharStyle14"/>
    <w:pPr>
      <w:widowControl w:val="0"/>
      <w:shd w:val="clear" w:color="auto" w:fill="auto"/>
      <w:spacing w:after="42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6">
    <w:name w:val="标题 #1"/>
    <w:basedOn w:val="Normal"/>
    <w:link w:val="CharStyle17"/>
    <w:pPr>
      <w:widowControl w:val="0"/>
      <w:shd w:val="clear" w:color="auto" w:fill="auto"/>
      <w:spacing w:after="300"/>
      <w:ind w:firstLine="220"/>
      <w:outlineLvl w:val="0"/>
    </w:pPr>
    <w:rPr>
      <w:rFonts w:ascii="Arial" w:eastAsia="Arial" w:hAnsi="Arial" w:cs="Arial"/>
      <w:b/>
      <w:bCs/>
      <w:i w:val="0"/>
      <w:iCs w:val="0"/>
      <w:smallCaps w:val="0"/>
      <w:strike w:val="0"/>
      <w:color w:val="79A439"/>
      <w:sz w:val="38"/>
      <w:szCs w:val="38"/>
      <w:u w:val="none"/>
      <w:shd w:val="clear" w:color="auto" w:fill="auto"/>
    </w:rPr>
  </w:style>
  <w:style w:type="paragraph" w:customStyle="1" w:styleId="Style18">
    <w:name w:val="正文文本 (2)"/>
    <w:basedOn w:val="Normal"/>
    <w:link w:val="CharStyle19"/>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正文文本"/>
    <w:basedOn w:val="Normal"/>
    <w:link w:val="CharStyle22"/>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目录"/>
    <w:basedOn w:val="Normal"/>
    <w:link w:val="CharStyle25"/>
    <w:pPr>
      <w:widowControl w:val="0"/>
      <w:shd w:val="clear" w:color="auto" w:fill="auto"/>
      <w:spacing w:after="220"/>
    </w:pPr>
    <w:rPr>
      <w:rFonts w:ascii="SimSun" w:eastAsia="SimSun" w:hAnsi="SimSun" w:cs="SimSun"/>
      <w:b/>
      <w:bCs/>
      <w:i w:val="0"/>
      <w:iCs w:val="0"/>
      <w:smallCaps w:val="0"/>
      <w:strike w:val="0"/>
      <w:sz w:val="22"/>
      <w:szCs w:val="22"/>
      <w:u w:val="none"/>
      <w:shd w:val="clear" w:color="auto" w:fill="auto"/>
    </w:rPr>
  </w:style>
  <w:style w:type="paragraph" w:customStyle="1" w:styleId="Style27">
    <w:name w:val="其他"/>
    <w:basedOn w:val="Normal"/>
    <w:link w:val="CharStyle28"/>
    <w:pPr>
      <w:widowControl w:val="0"/>
      <w:shd w:val="clear" w:color="auto" w:fill="auto"/>
      <w:spacing w:line="38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34">
    <w:name w:val="标题 #4"/>
    <w:basedOn w:val="Normal"/>
    <w:link w:val="CharStyle35"/>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9">
    <w:name w:val="正文文本 (3)"/>
    <w:basedOn w:val="Normal"/>
    <w:link w:val="CharStyle40"/>
    <w:pPr>
      <w:widowControl w:val="0"/>
      <w:shd w:val="clear" w:color="auto" w:fill="auto"/>
      <w:spacing w:after="100"/>
      <w:ind w:left="234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3">
    <w:name w:val="页眉或页脚"/>
    <w:basedOn w:val="Normal"/>
    <w:link w:val="CharStyle54"/>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2">
    <w:name w:val="正文文本 (9)"/>
    <w:basedOn w:val="Normal"/>
    <w:link w:val="CharStyle73"/>
    <w:pPr>
      <w:widowControl w:val="0"/>
      <w:shd w:val="clear" w:color="auto" w:fill="auto"/>
      <w:spacing w:after="360"/>
      <w:ind w:firstLine="8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 Id="rId49" Type="http://schemas.openxmlformats.org/officeDocument/2006/relationships/header" Target="header22.xml"/><Relationship Id="rId50" Type="http://schemas.openxmlformats.org/officeDocument/2006/relationships/footer" Target="footer22.xml"/><Relationship Id="rId51" Type="http://schemas.openxmlformats.org/officeDocument/2006/relationships/image" Target="media/image4.jpeg"/><Relationship Id="rId52" Type="http://schemas.openxmlformats.org/officeDocument/2006/relationships/image" Target="media/image4.jpeg" TargetMode="Externa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image" Target="media/image5.jpeg"/><Relationship Id="rId64" Type="http://schemas.openxmlformats.org/officeDocument/2006/relationships/image" Target="media/image5.jpeg" TargetMode="External"/><Relationship Id="rId65" Type="http://schemas.openxmlformats.org/officeDocument/2006/relationships/header" Target="header28.xml"/><Relationship Id="rId66" Type="http://schemas.openxmlformats.org/officeDocument/2006/relationships/footer" Target="footer28.xml"/><Relationship Id="rId67" Type="http://schemas.openxmlformats.org/officeDocument/2006/relationships/header" Target="header29.xml"/><Relationship Id="rId68" Type="http://schemas.openxmlformats.org/officeDocument/2006/relationships/footer" Target="footer29.xml"/><Relationship Id="rId69" Type="http://schemas.openxmlformats.org/officeDocument/2006/relationships/header" Target="header30.xml"/><Relationship Id="rId70" Type="http://schemas.openxmlformats.org/officeDocument/2006/relationships/footer" Target="footer30.xml"/><Relationship Id="rId71" Type="http://schemas.openxmlformats.org/officeDocument/2006/relationships/header" Target="header31.xml"/><Relationship Id="rId72" Type="http://schemas.openxmlformats.org/officeDocument/2006/relationships/footer" Target="footer31.xml"/><Relationship Id="rId73" Type="http://schemas.openxmlformats.org/officeDocument/2006/relationships/header" Target="header32.xml"/><Relationship Id="rId74" Type="http://schemas.openxmlformats.org/officeDocument/2006/relationships/footer" Target="footer32.xml"/><Relationship Id="rId75" Type="http://schemas.openxmlformats.org/officeDocument/2006/relationships/header" Target="header33.xml"/><Relationship Id="rId76" Type="http://schemas.openxmlformats.org/officeDocument/2006/relationships/footer" Target="footer33.xml"/><Relationship Id="rId77" Type="http://schemas.openxmlformats.org/officeDocument/2006/relationships/header" Target="header34.xml"/><Relationship Id="rId78" Type="http://schemas.openxmlformats.org/officeDocument/2006/relationships/footer" Target="footer34.xml"/><Relationship Id="rId79" Type="http://schemas.openxmlformats.org/officeDocument/2006/relationships/header" Target="header35.xml"/><Relationship Id="rId80" Type="http://schemas.openxmlformats.org/officeDocument/2006/relationships/footer" Target="footer35.xml"/><Relationship Id="rId81" Type="http://schemas.openxmlformats.org/officeDocument/2006/relationships/header" Target="header36.xml"/><Relationship Id="rId82" Type="http://schemas.openxmlformats.org/officeDocument/2006/relationships/footer" Target="footer36.xml"/><Relationship Id="rId83" Type="http://schemas.openxmlformats.org/officeDocument/2006/relationships/image" Target="media/image6.jpeg"/><Relationship Id="rId84" Type="http://schemas.openxmlformats.org/officeDocument/2006/relationships/image" Target="media/image6.jpeg" TargetMode="External"/><Relationship Id="rId85" Type="http://schemas.openxmlformats.org/officeDocument/2006/relationships/header" Target="header37.xml"/><Relationship Id="rId86" Type="http://schemas.openxmlformats.org/officeDocument/2006/relationships/footer" Target="footer37.xml"/><Relationship Id="rId87" Type="http://schemas.openxmlformats.org/officeDocument/2006/relationships/header" Target="header38.xml"/><Relationship Id="rId88" Type="http://schemas.openxmlformats.org/officeDocument/2006/relationships/footer" Target="footer38.xml"/><Relationship Id="rId89" Type="http://schemas.openxmlformats.org/officeDocument/2006/relationships/header" Target="header39.xml"/><Relationship Id="rId90" Type="http://schemas.openxmlformats.org/officeDocument/2006/relationships/footer" Target="footer39.xml"/><Relationship Id="rId91" Type="http://schemas.openxmlformats.org/officeDocument/2006/relationships/header" Target="header40.xml"/><Relationship Id="rId92" Type="http://schemas.openxmlformats.org/officeDocument/2006/relationships/footer" Target="footer40.xml"/><Relationship Id="rId93" Type="http://schemas.openxmlformats.org/officeDocument/2006/relationships/header" Target="header41.xml"/><Relationship Id="rId94" Type="http://schemas.openxmlformats.org/officeDocument/2006/relationships/footer" Target="footer41.xml"/><Relationship Id="rId95" Type="http://schemas.openxmlformats.org/officeDocument/2006/relationships/header" Target="header42.xml"/><Relationship Id="rId96" Type="http://schemas.openxmlformats.org/officeDocument/2006/relationships/footer" Target="footer42.xml"/><Relationship Id="rId97" Type="http://schemas.openxmlformats.org/officeDocument/2006/relationships/image" Target="media/image7.jpeg"/><Relationship Id="rId98" Type="http://schemas.openxmlformats.org/officeDocument/2006/relationships/image" Target="media/image7.jpeg" TargetMode="External"/><Relationship Id="rId99" Type="http://schemas.openxmlformats.org/officeDocument/2006/relationships/header" Target="header43.xml"/><Relationship Id="rId100" Type="http://schemas.openxmlformats.org/officeDocument/2006/relationships/footer" Target="footer43.xml"/><Relationship Id="rId101" Type="http://schemas.openxmlformats.org/officeDocument/2006/relationships/header" Target="header44.xml"/><Relationship Id="rId102" Type="http://schemas.openxmlformats.org/officeDocument/2006/relationships/footer" Target="footer44.xml"/><Relationship Id="rId103" Type="http://schemas.openxmlformats.org/officeDocument/2006/relationships/header" Target="header45.xml"/><Relationship Id="rId104" Type="http://schemas.openxmlformats.org/officeDocument/2006/relationships/footer" Target="footer45.xml"/><Relationship Id="rId105" Type="http://schemas.openxmlformats.org/officeDocument/2006/relationships/image" Target="media/image8.jpeg"/><Relationship Id="rId106" Type="http://schemas.openxmlformats.org/officeDocument/2006/relationships/image" Target="media/image8.jpeg" TargetMode="External"/><Relationship Id="rId107" Type="http://schemas.openxmlformats.org/officeDocument/2006/relationships/image" Target="media/image9.jpeg"/><Relationship Id="rId108" Type="http://schemas.openxmlformats.org/officeDocument/2006/relationships/image" Target="media/image9.jpeg" TargetMode="External"/><Relationship Id="rId109" Type="http://schemas.openxmlformats.org/officeDocument/2006/relationships/header" Target="header46.xml"/><Relationship Id="rId110" Type="http://schemas.openxmlformats.org/officeDocument/2006/relationships/footer" Target="footer46.xml"/><Relationship Id="rId111" Type="http://schemas.openxmlformats.org/officeDocument/2006/relationships/header" Target="header47.xml"/><Relationship Id="rId112" Type="http://schemas.openxmlformats.org/officeDocument/2006/relationships/footer" Target="footer47.xml"/><Relationship Id="rId113" Type="http://schemas.openxmlformats.org/officeDocument/2006/relationships/header" Target="header48.xml"/><Relationship Id="rId114" Type="http://schemas.openxmlformats.org/officeDocument/2006/relationships/footer" Target="footer48.xml"/><Relationship Id="rId115" Type="http://schemas.openxmlformats.org/officeDocument/2006/relationships/header" Target="header49.xml"/><Relationship Id="rId116" Type="http://schemas.openxmlformats.org/officeDocument/2006/relationships/footer" Target="footer49.xml"/><Relationship Id="rId117" Type="http://schemas.openxmlformats.org/officeDocument/2006/relationships/header" Target="header50.xml"/><Relationship Id="rId118" Type="http://schemas.openxmlformats.org/officeDocument/2006/relationships/footer" Target="footer50.xml"/><Relationship Id="rId119" Type="http://schemas.openxmlformats.org/officeDocument/2006/relationships/header" Target="header51.xml"/><Relationship Id="rId120" Type="http://schemas.openxmlformats.org/officeDocument/2006/relationships/footer" Target="footer51.xml"/><Relationship Id="rId121" Type="http://schemas.openxmlformats.org/officeDocument/2006/relationships/image" Target="media/image10.jpeg"/><Relationship Id="rId122" Type="http://schemas.openxmlformats.org/officeDocument/2006/relationships/image" Target="media/image10.jpeg" TargetMode="External"/><Relationship Id="rId123" Type="http://schemas.openxmlformats.org/officeDocument/2006/relationships/image" Target="media/image11.jpeg"/><Relationship Id="rId124" Type="http://schemas.openxmlformats.org/officeDocument/2006/relationships/image" Target="media/image11.jpeg" TargetMode="External"/><Relationship Id="rId125" Type="http://schemas.openxmlformats.org/officeDocument/2006/relationships/header" Target="header52.xml"/><Relationship Id="rId126" Type="http://schemas.openxmlformats.org/officeDocument/2006/relationships/footer" Target="footer52.xml"/><Relationship Id="rId127" Type="http://schemas.openxmlformats.org/officeDocument/2006/relationships/header" Target="header53.xml"/><Relationship Id="rId128" Type="http://schemas.openxmlformats.org/officeDocument/2006/relationships/footer" Target="footer53.xml"/><Relationship Id="rId129" Type="http://schemas.openxmlformats.org/officeDocument/2006/relationships/header" Target="header54.xml"/><Relationship Id="rId130" Type="http://schemas.openxmlformats.org/officeDocument/2006/relationships/footer" Target="footer54.xml"/><Relationship Id="rId131" Type="http://schemas.openxmlformats.org/officeDocument/2006/relationships/header" Target="header55.xml"/><Relationship Id="rId132" Type="http://schemas.openxmlformats.org/officeDocument/2006/relationships/footer" Target="footer55.xml"/><Relationship Id="rId133" Type="http://schemas.openxmlformats.org/officeDocument/2006/relationships/image" Target="media/image12.jpeg"/><Relationship Id="rId134" Type="http://schemas.openxmlformats.org/officeDocument/2006/relationships/image" Target="media/image12.jpeg" TargetMode="External"/><Relationship Id="rId135" Type="http://schemas.openxmlformats.org/officeDocument/2006/relationships/header" Target="header56.xml"/><Relationship Id="rId136" Type="http://schemas.openxmlformats.org/officeDocument/2006/relationships/footer" Target="footer56.xml"/><Relationship Id="rId137" Type="http://schemas.openxmlformats.org/officeDocument/2006/relationships/header" Target="header57.xml"/><Relationship Id="rId138" Type="http://schemas.openxmlformats.org/officeDocument/2006/relationships/footer" Target="footer57.xml"/><Relationship Id="rId139" Type="http://schemas.openxmlformats.org/officeDocument/2006/relationships/header" Target="header58.xml"/><Relationship Id="rId140" Type="http://schemas.openxmlformats.org/officeDocument/2006/relationships/footer" Target="footer58.xml"/><Relationship Id="rId141" Type="http://schemas.openxmlformats.org/officeDocument/2006/relationships/header" Target="header59.xml"/><Relationship Id="rId142" Type="http://schemas.openxmlformats.org/officeDocument/2006/relationships/footer" Target="footer59.xml"/><Relationship Id="rId143" Type="http://schemas.openxmlformats.org/officeDocument/2006/relationships/header" Target="header60.xml"/><Relationship Id="rId144" Type="http://schemas.openxmlformats.org/officeDocument/2006/relationships/footer" Target="footer60.xml"/><Relationship Id="rId145" Type="http://schemas.openxmlformats.org/officeDocument/2006/relationships/header" Target="header61.xml"/><Relationship Id="rId146" Type="http://schemas.openxmlformats.org/officeDocument/2006/relationships/footer" Target="footer61.xml"/><Relationship Id="rId147" Type="http://schemas.openxmlformats.org/officeDocument/2006/relationships/header" Target="header62.xml"/><Relationship Id="rId148" Type="http://schemas.openxmlformats.org/officeDocument/2006/relationships/footer" Target="footer62.xml"/><Relationship Id="rId149" Type="http://schemas.openxmlformats.org/officeDocument/2006/relationships/header" Target="header63.xml"/><Relationship Id="rId150" Type="http://schemas.openxmlformats.org/officeDocument/2006/relationships/footer" Target="footer63.xml"/><Relationship Id="rId151" Type="http://schemas.openxmlformats.org/officeDocument/2006/relationships/header" Target="header64.xml"/><Relationship Id="rId152" Type="http://schemas.openxmlformats.org/officeDocument/2006/relationships/footer" Target="footer64.xml"/><Relationship Id="rId153" Type="http://schemas.openxmlformats.org/officeDocument/2006/relationships/header" Target="header65.xml"/><Relationship Id="rId154" Type="http://schemas.openxmlformats.org/officeDocument/2006/relationships/footer" Target="footer65.xml"/><Relationship Id="rId155" Type="http://schemas.openxmlformats.org/officeDocument/2006/relationships/header" Target="header66.xml"/><Relationship Id="rId156" Type="http://schemas.openxmlformats.org/officeDocument/2006/relationships/footer" Target="footer66.xml"/><Relationship Id="rId157" Type="http://schemas.openxmlformats.org/officeDocument/2006/relationships/header" Target="header67.xml"/><Relationship Id="rId158" Type="http://schemas.openxmlformats.org/officeDocument/2006/relationships/footer" Target="footer67.xml"/><Relationship Id="rId159" Type="http://schemas.openxmlformats.org/officeDocument/2006/relationships/image" Target="media/image13.jpeg"/><Relationship Id="rId160" Type="http://schemas.openxmlformats.org/officeDocument/2006/relationships/image" Target="media/image13.jpeg" TargetMode="External"/><Relationship Id="rId161" Type="http://schemas.openxmlformats.org/officeDocument/2006/relationships/image" Target="media/image14.jpeg"/><Relationship Id="rId162" Type="http://schemas.openxmlformats.org/officeDocument/2006/relationships/image" Target="media/image14.jpeg" TargetMode="External"/><Relationship Id="rId163" Type="http://schemas.openxmlformats.org/officeDocument/2006/relationships/header" Target="header68.xml"/><Relationship Id="rId164" Type="http://schemas.openxmlformats.org/officeDocument/2006/relationships/footer" Target="footer68.xml"/><Relationship Id="rId165" Type="http://schemas.openxmlformats.org/officeDocument/2006/relationships/header" Target="header69.xml"/><Relationship Id="rId166" Type="http://schemas.openxmlformats.org/officeDocument/2006/relationships/footer" Target="footer69.xml"/><Relationship Id="rId167" Type="http://schemas.openxmlformats.org/officeDocument/2006/relationships/header" Target="header70.xml"/><Relationship Id="rId168" Type="http://schemas.openxmlformats.org/officeDocument/2006/relationships/footer" Target="footer70.xml"/><Relationship Id="rId169" Type="http://schemas.openxmlformats.org/officeDocument/2006/relationships/header" Target="header71.xml"/><Relationship Id="rId170" Type="http://schemas.openxmlformats.org/officeDocument/2006/relationships/footer" Target="footer71.xml"/><Relationship Id="rId171" Type="http://schemas.openxmlformats.org/officeDocument/2006/relationships/header" Target="header72.xml"/><Relationship Id="rId172" Type="http://schemas.openxmlformats.org/officeDocument/2006/relationships/footer" Target="footer72.xml"/><Relationship Id="rId173" Type="http://schemas.openxmlformats.org/officeDocument/2006/relationships/header" Target="header73.xml"/><Relationship Id="rId174" Type="http://schemas.openxmlformats.org/officeDocument/2006/relationships/footer" Target="footer73.xml"/><Relationship Id="rId175" Type="http://schemas.openxmlformats.org/officeDocument/2006/relationships/header" Target="header74.xml"/><Relationship Id="rId176" Type="http://schemas.openxmlformats.org/officeDocument/2006/relationships/footer" Target="footer74.xml"/><Relationship Id="rId177" Type="http://schemas.openxmlformats.org/officeDocument/2006/relationships/header" Target="header75.xml"/><Relationship Id="rId178" Type="http://schemas.openxmlformats.org/officeDocument/2006/relationships/footer" Target="footer75.xml"/><Relationship Id="rId179" Type="http://schemas.openxmlformats.org/officeDocument/2006/relationships/header" Target="header76.xml"/><Relationship Id="rId180" Type="http://schemas.openxmlformats.org/officeDocument/2006/relationships/footer" Target="footer76.xml"/><Relationship Id="rId181" Type="http://schemas.openxmlformats.org/officeDocument/2006/relationships/header" Target="header77.xml"/><Relationship Id="rId182" Type="http://schemas.openxmlformats.org/officeDocument/2006/relationships/footer" Target="footer77.xml"/><Relationship Id="rId183" Type="http://schemas.openxmlformats.org/officeDocument/2006/relationships/header" Target="header78.xml"/><Relationship Id="rId184" Type="http://schemas.openxmlformats.org/officeDocument/2006/relationships/footer" Target="footer78.xml"/><Relationship Id="rId185" Type="http://schemas.openxmlformats.org/officeDocument/2006/relationships/header" Target="header79.xml"/><Relationship Id="rId186" Type="http://schemas.openxmlformats.org/officeDocument/2006/relationships/footer" Target="footer79.xml"/><Relationship Id="rId187" Type="http://schemas.openxmlformats.org/officeDocument/2006/relationships/header" Target="header80.xml"/><Relationship Id="rId188" Type="http://schemas.openxmlformats.org/officeDocument/2006/relationships/footer" Target="footer80.xml"/><Relationship Id="rId189" Type="http://schemas.openxmlformats.org/officeDocument/2006/relationships/header" Target="header81.xml"/><Relationship Id="rId190" Type="http://schemas.openxmlformats.org/officeDocument/2006/relationships/footer" Target="footer81.xml"/><Relationship Id="rId191" Type="http://schemas.openxmlformats.org/officeDocument/2006/relationships/header" Target="header82.xml"/><Relationship Id="rId192" Type="http://schemas.openxmlformats.org/officeDocument/2006/relationships/footer" Target="footer82.xml"/><Relationship Id="rId193" Type="http://schemas.openxmlformats.org/officeDocument/2006/relationships/header" Target="header83.xml"/><Relationship Id="rId194" Type="http://schemas.openxmlformats.org/officeDocument/2006/relationships/footer" Target="footer83.xml"/><Relationship Id="rId195" Type="http://schemas.openxmlformats.org/officeDocument/2006/relationships/header" Target="header84.xml"/><Relationship Id="rId196" Type="http://schemas.openxmlformats.org/officeDocument/2006/relationships/footer" Target="footer84.xml"/><Relationship Id="rId197" Type="http://schemas.openxmlformats.org/officeDocument/2006/relationships/header" Target="header85.xml"/><Relationship Id="rId198" Type="http://schemas.openxmlformats.org/officeDocument/2006/relationships/footer" Target="footer85.xml"/><Relationship Id="rId199" Type="http://schemas.openxmlformats.org/officeDocument/2006/relationships/header" Target="header86.xml"/><Relationship Id="rId200" Type="http://schemas.openxmlformats.org/officeDocument/2006/relationships/footer" Target="footer86.xml"/><Relationship Id="rId201" Type="http://schemas.openxmlformats.org/officeDocument/2006/relationships/image" Target="media/image16.jpeg"/><Relationship Id="rId202" Type="http://schemas.openxmlformats.org/officeDocument/2006/relationships/image" Target="media/image16.jpeg" TargetMode="External"/><Relationship Id="rId203" Type="http://schemas.openxmlformats.org/officeDocument/2006/relationships/header" Target="header87.xml"/><Relationship Id="rId204" Type="http://schemas.openxmlformats.org/officeDocument/2006/relationships/footer" Target="footer87.xml"/><Relationship Id="rId205" Type="http://schemas.openxmlformats.org/officeDocument/2006/relationships/header" Target="header88.xml"/><Relationship Id="rId206" Type="http://schemas.openxmlformats.org/officeDocument/2006/relationships/footer" Target="footer88.xml"/><Relationship Id="rId207" Type="http://schemas.openxmlformats.org/officeDocument/2006/relationships/header" Target="header89.xml"/><Relationship Id="rId208" Type="http://schemas.openxmlformats.org/officeDocument/2006/relationships/footer" Target="footer89.xml"/><Relationship Id="rId209" Type="http://schemas.openxmlformats.org/officeDocument/2006/relationships/header" Target="header90.xml"/><Relationship Id="rId210" Type="http://schemas.openxmlformats.org/officeDocument/2006/relationships/footer" Target="footer90.xml"/><Relationship Id="rId211" Type="http://schemas.openxmlformats.org/officeDocument/2006/relationships/header" Target="header91.xml"/><Relationship Id="rId212" Type="http://schemas.openxmlformats.org/officeDocument/2006/relationships/footer" Target="footer91.xml"/><Relationship Id="rId213" Type="http://schemas.openxmlformats.org/officeDocument/2006/relationships/header" Target="header92.xml"/><Relationship Id="rId214" Type="http://schemas.openxmlformats.org/officeDocument/2006/relationships/footer" Target="footer92.xml"/><Relationship Id="rId215" Type="http://schemas.openxmlformats.org/officeDocument/2006/relationships/header" Target="header93.xml"/><Relationship Id="rId216" Type="http://schemas.openxmlformats.org/officeDocument/2006/relationships/footer" Target="footer93.xml"/><Relationship Id="rId217" Type="http://schemas.openxmlformats.org/officeDocument/2006/relationships/image" Target="media/image17.jpeg"/><Relationship Id="rId218" Type="http://schemas.openxmlformats.org/officeDocument/2006/relationships/image" Target="media/image17.jpeg" TargetMode="External"/><Relationship Id="rId219" Type="http://schemas.openxmlformats.org/officeDocument/2006/relationships/header" Target="header94.xml"/><Relationship Id="rId220" Type="http://schemas.openxmlformats.org/officeDocument/2006/relationships/footer" Target="footer94.xml"/><Relationship Id="rId221" Type="http://schemas.openxmlformats.org/officeDocument/2006/relationships/header" Target="header95.xml"/><Relationship Id="rId222" Type="http://schemas.openxmlformats.org/officeDocument/2006/relationships/footer" Target="footer95.xml"/><Relationship Id="rId223" Type="http://schemas.openxmlformats.org/officeDocument/2006/relationships/header" Target="header96.xml"/><Relationship Id="rId224" Type="http://schemas.openxmlformats.org/officeDocument/2006/relationships/footer" Target="footer96.xml"/><Relationship Id="rId225" Type="http://schemas.openxmlformats.org/officeDocument/2006/relationships/header" Target="header97.xml"/><Relationship Id="rId226" Type="http://schemas.openxmlformats.org/officeDocument/2006/relationships/footer" Target="footer97.xml"/><Relationship Id="rId227" Type="http://schemas.openxmlformats.org/officeDocument/2006/relationships/image" Target="media/image18.jpeg"/><Relationship Id="rId228" Type="http://schemas.openxmlformats.org/officeDocument/2006/relationships/image" Target="media/image18.jpeg" TargetMode="External"/><Relationship Id="rId229" Type="http://schemas.openxmlformats.org/officeDocument/2006/relationships/image" Target="media/image19.jpeg"/><Relationship Id="rId230" Type="http://schemas.openxmlformats.org/officeDocument/2006/relationships/image" Target="media/image19.jpeg" TargetMode="External"/><Relationship Id="rId231" Type="http://schemas.openxmlformats.org/officeDocument/2006/relationships/header" Target="header98.xml"/><Relationship Id="rId232" Type="http://schemas.openxmlformats.org/officeDocument/2006/relationships/footer" Target="footer98.xml"/><Relationship Id="rId233" Type="http://schemas.openxmlformats.org/officeDocument/2006/relationships/header" Target="header99.xml"/><Relationship Id="rId234" Type="http://schemas.openxmlformats.org/officeDocument/2006/relationships/footer" Target="footer99.xml"/><Relationship Id="rId235" Type="http://schemas.openxmlformats.org/officeDocument/2006/relationships/header" Target="header100.xml"/><Relationship Id="rId236" Type="http://schemas.openxmlformats.org/officeDocument/2006/relationships/footer" Target="footer100.xml"/><Relationship Id="rId237" Type="http://schemas.openxmlformats.org/officeDocument/2006/relationships/header" Target="header101.xml"/><Relationship Id="rId238" Type="http://schemas.openxmlformats.org/officeDocument/2006/relationships/footer" Target="footer101.xml"/><Relationship Id="rId239" Type="http://schemas.openxmlformats.org/officeDocument/2006/relationships/header" Target="header102.xml"/><Relationship Id="rId240" Type="http://schemas.openxmlformats.org/officeDocument/2006/relationships/footer" Target="footer102.xml"/><Relationship Id="rId241" Type="http://schemas.openxmlformats.org/officeDocument/2006/relationships/header" Target="header103.xml"/><Relationship Id="rId242" Type="http://schemas.openxmlformats.org/officeDocument/2006/relationships/footer" Target="footer103.xml"/><Relationship Id="rId243" Type="http://schemas.openxmlformats.org/officeDocument/2006/relationships/header" Target="header104.xml"/><Relationship Id="rId244" Type="http://schemas.openxmlformats.org/officeDocument/2006/relationships/footer" Target="footer104.xml"/><Relationship Id="rId245" Type="http://schemas.openxmlformats.org/officeDocument/2006/relationships/header" Target="header105.xml"/><Relationship Id="rId246" Type="http://schemas.openxmlformats.org/officeDocument/2006/relationships/footer" Target="footer105.xml"/><Relationship Id="rId247" Type="http://schemas.openxmlformats.org/officeDocument/2006/relationships/header" Target="header106.xml"/><Relationship Id="rId248" Type="http://schemas.openxmlformats.org/officeDocument/2006/relationships/footer" Target="footer106.xml"/><Relationship Id="rId249" Type="http://schemas.openxmlformats.org/officeDocument/2006/relationships/header" Target="header107.xml"/><Relationship Id="rId250" Type="http://schemas.openxmlformats.org/officeDocument/2006/relationships/footer" Target="footer107.xml"/><Relationship Id="rId251" Type="http://schemas.openxmlformats.org/officeDocument/2006/relationships/header" Target="header108.xml"/><Relationship Id="rId252" Type="http://schemas.openxmlformats.org/officeDocument/2006/relationships/footer" Target="footer108.xml"/><Relationship Id="rId253" Type="http://schemas.openxmlformats.org/officeDocument/2006/relationships/header" Target="header109.xml"/><Relationship Id="rId254" Type="http://schemas.openxmlformats.org/officeDocument/2006/relationships/footer" Target="footer109.xml"/><Relationship Id="rId255" Type="http://schemas.openxmlformats.org/officeDocument/2006/relationships/header" Target="header110.xml"/><Relationship Id="rId256" Type="http://schemas.openxmlformats.org/officeDocument/2006/relationships/footer" Target="footer110.xml"/><Relationship Id="rId257" Type="http://schemas.openxmlformats.org/officeDocument/2006/relationships/header" Target="header111.xml"/><Relationship Id="rId258" Type="http://schemas.openxmlformats.org/officeDocument/2006/relationships/footer" Target="footer111.xml"/><Relationship Id="rId259" Type="http://schemas.openxmlformats.org/officeDocument/2006/relationships/header" Target="header112.xml"/><Relationship Id="rId260" Type="http://schemas.openxmlformats.org/officeDocument/2006/relationships/footer" Target="footer112.xml"/><Relationship Id="rId261" Type="http://schemas.openxmlformats.org/officeDocument/2006/relationships/header" Target="header113.xml"/><Relationship Id="rId262" Type="http://schemas.openxmlformats.org/officeDocument/2006/relationships/footer" Target="footer113.xml"/><Relationship Id="rId263" Type="http://schemas.openxmlformats.org/officeDocument/2006/relationships/header" Target="header114.xml"/><Relationship Id="rId264" Type="http://schemas.openxmlformats.org/officeDocument/2006/relationships/footer" Target="footer114.xml"/><Relationship Id="rId265" Type="http://schemas.openxmlformats.org/officeDocument/2006/relationships/header" Target="header115.xml"/><Relationship Id="rId266" Type="http://schemas.openxmlformats.org/officeDocument/2006/relationships/footer" Target="footer115.xml"/><Relationship Id="rId267" Type="http://schemas.openxmlformats.org/officeDocument/2006/relationships/header" Target="header116.xml"/><Relationship Id="rId268" Type="http://schemas.openxmlformats.org/officeDocument/2006/relationships/footer" Target="footer116.xml"/><Relationship Id="rId269" Type="http://schemas.openxmlformats.org/officeDocument/2006/relationships/header" Target="header117.xml"/><Relationship Id="rId270" Type="http://schemas.openxmlformats.org/officeDocument/2006/relationships/footer" Target="footer117.xml"/><Relationship Id="rId271" Type="http://schemas.openxmlformats.org/officeDocument/2006/relationships/header" Target="header118.xml"/><Relationship Id="rId272" Type="http://schemas.openxmlformats.org/officeDocument/2006/relationships/footer" Target="footer118.xml"/><Relationship Id="rId273" Type="http://schemas.openxmlformats.org/officeDocument/2006/relationships/header" Target="header119.xml"/><Relationship Id="rId274" Type="http://schemas.openxmlformats.org/officeDocument/2006/relationships/footer" Target="footer119.xml"/><Relationship Id="rId275" Type="http://schemas.openxmlformats.org/officeDocument/2006/relationships/header" Target="header120.xml"/><Relationship Id="rId276" Type="http://schemas.openxmlformats.org/officeDocument/2006/relationships/footer" Target="footer120.xml"/><Relationship Id="rId277" Type="http://schemas.openxmlformats.org/officeDocument/2006/relationships/header" Target="header121.xml"/><Relationship Id="rId278" Type="http://schemas.openxmlformats.org/officeDocument/2006/relationships/footer" Target="footer121.xml"/><Relationship Id="rId279" Type="http://schemas.openxmlformats.org/officeDocument/2006/relationships/header" Target="header122.xml"/><Relationship Id="rId280" Type="http://schemas.openxmlformats.org/officeDocument/2006/relationships/footer" Target="footer122.xml"/><Relationship Id="rId281" Type="http://schemas.openxmlformats.org/officeDocument/2006/relationships/header" Target="header123.xml"/><Relationship Id="rId282" Type="http://schemas.openxmlformats.org/officeDocument/2006/relationships/footer" Target="footer123.xml"/><Relationship Id="rId283" Type="http://schemas.openxmlformats.org/officeDocument/2006/relationships/header" Target="header124.xml"/><Relationship Id="rId284" Type="http://schemas.openxmlformats.org/officeDocument/2006/relationships/footer" Target="footer124.xml"/><Relationship Id="rId285" Type="http://schemas.openxmlformats.org/officeDocument/2006/relationships/header" Target="header125.xml"/><Relationship Id="rId286" Type="http://schemas.openxmlformats.org/officeDocument/2006/relationships/footer" Target="footer125.xml"/><Relationship Id="rId287" Type="http://schemas.openxmlformats.org/officeDocument/2006/relationships/header" Target="header126.xml"/><Relationship Id="rId288" Type="http://schemas.openxmlformats.org/officeDocument/2006/relationships/footer" Target="footer126.xml"/><Relationship Id="rId289" Type="http://schemas.openxmlformats.org/officeDocument/2006/relationships/header" Target="header127.xml"/><Relationship Id="rId290" Type="http://schemas.openxmlformats.org/officeDocument/2006/relationships/footer" Target="footer127.xml"/><Relationship Id="rId291" Type="http://schemas.openxmlformats.org/officeDocument/2006/relationships/header" Target="header128.xml"/><Relationship Id="rId292" Type="http://schemas.openxmlformats.org/officeDocument/2006/relationships/footer" Target="footer128.xml"/><Relationship Id="rId293" Type="http://schemas.openxmlformats.org/officeDocument/2006/relationships/header" Target="header129.xml"/><Relationship Id="rId294" Type="http://schemas.openxmlformats.org/officeDocument/2006/relationships/footer" Target="footer129.xml"/><Relationship Id="rId295" Type="http://schemas.openxmlformats.org/officeDocument/2006/relationships/header" Target="header130.xml"/><Relationship Id="rId296" Type="http://schemas.openxmlformats.org/officeDocument/2006/relationships/footer" Target="footer130.xml"/><Relationship Id="rId297" Type="http://schemas.openxmlformats.org/officeDocument/2006/relationships/header" Target="header131.xml"/><Relationship Id="rId298" Type="http://schemas.openxmlformats.org/officeDocument/2006/relationships/footer" Target="footer131.xml"/><Relationship Id="rId299" Type="http://schemas.openxmlformats.org/officeDocument/2006/relationships/header" Target="header132.xml"/><Relationship Id="rId300" Type="http://schemas.openxmlformats.org/officeDocument/2006/relationships/footer" Target="footer132.xml"/><Relationship Id="rId301" Type="http://schemas.openxmlformats.org/officeDocument/2006/relationships/header" Target="header133.xml"/><Relationship Id="rId302" Type="http://schemas.openxmlformats.org/officeDocument/2006/relationships/footer" Target="footer133.xml"/><Relationship Id="rId303" Type="http://schemas.openxmlformats.org/officeDocument/2006/relationships/header" Target="header134.xml"/><Relationship Id="rId304" Type="http://schemas.openxmlformats.org/officeDocument/2006/relationships/footer" Target="footer134.xml"/><Relationship Id="rId305" Type="http://schemas.openxmlformats.org/officeDocument/2006/relationships/header" Target="header135.xml"/><Relationship Id="rId306" Type="http://schemas.openxmlformats.org/officeDocument/2006/relationships/footer" Target="footer135.xml"/><Relationship Id="rId307" Type="http://schemas.openxmlformats.org/officeDocument/2006/relationships/header" Target="header136.xml"/><Relationship Id="rId308" Type="http://schemas.openxmlformats.org/officeDocument/2006/relationships/footer" Target="footer136.xml"/><Relationship Id="rId309" Type="http://schemas.openxmlformats.org/officeDocument/2006/relationships/header" Target="header137.xml"/><Relationship Id="rId310" Type="http://schemas.openxmlformats.org/officeDocument/2006/relationships/footer" Target="footer137.xml"/><Relationship Id="rId311" Type="http://schemas.openxmlformats.org/officeDocument/2006/relationships/header" Target="header138.xml"/><Relationship Id="rId312" Type="http://schemas.openxmlformats.org/officeDocument/2006/relationships/footer" Target="footer138.xml"/><Relationship Id="rId313" Type="http://schemas.openxmlformats.org/officeDocument/2006/relationships/header" Target="header139.xml"/><Relationship Id="rId314" Type="http://schemas.openxmlformats.org/officeDocument/2006/relationships/footer" Target="footer139.xml"/><Relationship Id="rId315" Type="http://schemas.openxmlformats.org/officeDocument/2006/relationships/header" Target="header140.xml"/><Relationship Id="rId316" Type="http://schemas.openxmlformats.org/officeDocument/2006/relationships/footer" Target="footer140.xml"/></Relationships>
</file>

<file path=word/_rels/header10.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03.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04.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05.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06.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08.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09.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1.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11.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12.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14.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18.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21.xml.rels>&#65279;<?xml version="1.0" encoding="UTF-8" standalone="yes"?>
<Relationships xmlns="http://schemas.openxmlformats.org/package/2006/relationships"><Relationship Id="rId1" Type="http://schemas.openxmlformats.org/officeDocument/2006/relationships/image" Target="media/image21.jpeg"/><Relationship Id="rId2" Type="http://schemas.openxmlformats.org/officeDocument/2006/relationships/image" Target="media/image21.jpeg" TargetMode="External"/></Relationships>
</file>

<file path=word/_rels/header122.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23.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24.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25.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27.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28.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30.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31.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33.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34.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36.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37.xml.rels>&#65279;<?xml version="1.0" encoding="UTF-8" standalone="yes"?>
<Relationships xmlns="http://schemas.openxmlformats.org/package/2006/relationships"><Relationship Id="rId1" Type="http://schemas.openxmlformats.org/officeDocument/2006/relationships/image" Target="media/image20.jpeg"/><Relationship Id="rId2" Type="http://schemas.openxmlformats.org/officeDocument/2006/relationships/image" Target="media/image20.jpeg" TargetMode="External"/></Relationships>
</file>

<file path=word/_rels/header15.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16.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3.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4.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28.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3.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31.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3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35.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36.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4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47.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49.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50.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54.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55.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56.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57.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6.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61.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62.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70.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71.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78.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8.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81.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header82.xml.rels>&#65279;<?xml version="1.0" encoding="UTF-8" standalone="yes"?>
<Relationships xmlns="http://schemas.openxmlformats.org/package/2006/relationships"><Relationship Id="rId1" Type="http://schemas.openxmlformats.org/officeDocument/2006/relationships/image" Target="media/image15.jpeg"/><Relationship Id="rId2" Type="http://schemas.openxmlformats.org/officeDocument/2006/relationships/image" Target="media/image15.jpeg" TargetMode="External"/></Relationships>
</file>

<file path=word/_rels/header87.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88.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word/_rels/header9.xml.rels>&#65279;<?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深圳市建筑科学研究院股份有限公司2020年年度报告全文</dc:title>
  <dc:subject/>
  <dc:creator>深圳市建筑科学研究院股份有限公司</dc:creator>
  <cp:keywords/>
</cp:coreProperties>
</file>