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header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9.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1.xml" ContentType="application/vnd.openxmlformats-officedocument.wordprocessingml.header+xml"/>
  <Override PartName="/word/footer25.xml" ContentType="application/vnd.openxmlformats-officedocument.wordprocessingml.footer+xml"/>
  <Override PartName="/word/header12.xml" ContentType="application/vnd.openxmlformats-officedocument.wordprocessingml.header+xml"/>
  <Override PartName="/word/footer26.xml" ContentType="application/vnd.openxmlformats-officedocument.wordprocessingml.footer+xml"/>
  <Override PartName="/word/header13.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14.xml" ContentType="application/vnd.openxmlformats-officedocument.wordprocessingml.header+xml"/>
  <Override PartName="/word/footer29.xml" ContentType="application/vnd.openxmlformats-officedocument.wordprocessingml.footer+xml"/>
  <Override PartName="/word/header15.xml" ContentType="application/vnd.openxmlformats-officedocument.wordprocessingml.header+xml"/>
  <Override PartName="/word/footer30.xml" ContentType="application/vnd.openxmlformats-officedocument.wordprocessingml.footer+xml"/>
  <Override PartName="/word/header16.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17.xml" ContentType="application/vnd.openxmlformats-officedocument.wordprocessingml.header+xml"/>
  <Override PartName="/word/footer33.xml" ContentType="application/vnd.openxmlformats-officedocument.wordprocessingml.footer+xml"/>
  <Override PartName="/word/header18.xml" ContentType="application/vnd.openxmlformats-officedocument.wordprocessingml.header+xml"/>
  <Override PartName="/word/footer3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p>
      <w:pPr>
        <w:spacing w:line="1356" w:lineRule="exact"/>
        <w:ind w:left="372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drawing>
          <wp:inline distT="0" distB="0" distL="0" distR="0">
            <wp:extent cx="1597744" cy="86105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597744" cy="861059"/>
                    </a:xfrm>
                    <a:prstGeom prst="rect">
                      <a:avLst/>
                    </a:prstGeom>
                  </pic:spPr>
                </pic:pic>
              </a:graphicData>
            </a:graphic>
          </wp:inline>
        </w:drawing>
      </w:r>
      <w:r>
        <w:rPr>
          <w:rFonts w:ascii="Times New Roman" w:hAnsi="Times New Roman" w:cs="Times New Roman" w:eastAsia="Times New Roman" w:hint="default"/>
          <w:position w:val="-26"/>
          <w:sz w:val="20"/>
          <w:szCs w:val="20"/>
        </w:rPr>
      </w:r>
    </w:p>
    <w:p>
      <w:pPr>
        <w:spacing w:line="240" w:lineRule="auto" w:before="0"/>
        <w:rPr>
          <w:rFonts w:ascii="Times New Roman" w:hAnsi="Times New Roman" w:cs="Times New Roman" w:eastAsia="Times New Roman" w:hint="default"/>
          <w:sz w:val="20"/>
          <w:szCs w:val="20"/>
        </w:rPr>
      </w:pPr>
    </w:p>
    <w:p>
      <w:pPr>
        <w:spacing w:before="94"/>
        <w:ind w:left="136" w:right="137" w:firstLine="0"/>
        <w:jc w:val="center"/>
        <w:rPr>
          <w:rFonts w:ascii="宋体" w:hAnsi="宋体" w:cs="宋体" w:eastAsia="宋体" w:hint="default"/>
          <w:sz w:val="44"/>
          <w:szCs w:val="44"/>
        </w:rPr>
      </w:pPr>
      <w:r>
        <w:rPr>
          <w:rFonts w:ascii="宋体" w:hAnsi="宋体" w:cs="宋体" w:eastAsia="宋体" w:hint="default"/>
          <w:b/>
          <w:bCs/>
          <w:spacing w:val="2"/>
          <w:sz w:val="44"/>
          <w:szCs w:val="44"/>
        </w:rPr>
        <w:t>深圳华大基因股份有限公司</w:t>
      </w:r>
      <w:r>
        <w:rPr>
          <w:rFonts w:ascii="宋体" w:hAnsi="宋体" w:cs="宋体" w:eastAsia="宋体" w:hint="default"/>
          <w:sz w:val="44"/>
          <w:szCs w:val="44"/>
        </w:rPr>
      </w:r>
    </w:p>
    <w:p>
      <w:pPr>
        <w:spacing w:before="394"/>
        <w:ind w:left="136" w:right="141"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2017</w:t>
      </w:r>
      <w:r>
        <w:rPr>
          <w:rFonts w:ascii="Times New Roman" w:hAnsi="Times New Roman" w:cs="Times New Roman" w:eastAsia="Times New Roman" w:hint="default"/>
          <w:b/>
          <w:bCs/>
          <w:spacing w:val="-8"/>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3"/>
        <w:rPr>
          <w:rFonts w:ascii="宋体" w:hAnsi="宋体" w:cs="宋体" w:eastAsia="宋体" w:hint="default"/>
          <w:b/>
          <w:bCs/>
          <w:sz w:val="43"/>
          <w:szCs w:val="43"/>
        </w:rPr>
      </w:pPr>
    </w:p>
    <w:p>
      <w:pPr>
        <w:spacing w:before="0"/>
        <w:ind w:left="136" w:right="13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74" w:top="1060" w:bottom="1160" w:left="980" w:right="980"/>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left="2802" w:right="141"/>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52" w:right="155"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6"/>
          <w:sz w:val="28"/>
          <w:szCs w:val="28"/>
        </w:rPr>
        <w:t>实、准确、完整，不存在虚假记载、误导性陈述或重大遗漏，并承担个别和连带</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的法律责任。</w:t>
      </w:r>
      <w:r>
        <w:rPr>
          <w:rFonts w:ascii="宋体" w:hAnsi="宋体" w:cs="宋体" w:eastAsia="宋体" w:hint="default"/>
          <w:sz w:val="28"/>
          <w:szCs w:val="28"/>
        </w:rPr>
      </w:r>
    </w:p>
    <w:p>
      <w:pPr>
        <w:spacing w:line="386" w:lineRule="auto" w:before="163"/>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公司负责人尹烨、主管会计工作负责人陈轶青及会计机构负责人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付恬娇声明：保证年度报告中财务报告的真实、准确、完整。</w:t>
      </w:r>
      <w:r>
        <w:rPr>
          <w:rFonts w:ascii="宋体" w:hAnsi="宋体" w:cs="宋体" w:eastAsia="宋体" w:hint="default"/>
          <w:sz w:val="28"/>
          <w:szCs w:val="28"/>
        </w:rPr>
      </w:r>
    </w:p>
    <w:p>
      <w:pPr>
        <w:spacing w:line="472" w:lineRule="auto" w:before="148"/>
        <w:ind w:left="714" w:right="141"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14"/>
          <w:w w:val="99"/>
          <w:sz w:val="28"/>
          <w:szCs w:val="28"/>
        </w:rPr>
        <w:t>公司在本报告第四节“经营情况讨论与分析”之“九、公司未来发展的展望”</w:t>
      </w:r>
      <w:r>
        <w:rPr>
          <w:rFonts w:ascii="宋体" w:hAnsi="宋体" w:cs="宋体" w:eastAsia="宋体" w:hint="default"/>
          <w:spacing w:val="-14"/>
          <w:sz w:val="28"/>
          <w:szCs w:val="28"/>
        </w:rPr>
      </w:r>
    </w:p>
    <w:p>
      <w:pPr>
        <w:spacing w:line="408" w:lineRule="auto" w:before="0"/>
        <w:ind w:left="152" w:right="149" w:firstLine="0"/>
        <w:jc w:val="left"/>
        <w:rPr>
          <w:rFonts w:ascii="宋体" w:hAnsi="宋体" w:cs="宋体" w:eastAsia="宋体" w:hint="default"/>
          <w:sz w:val="28"/>
          <w:szCs w:val="28"/>
        </w:rPr>
      </w:pPr>
      <w:r>
        <w:rPr>
          <w:rFonts w:ascii="宋体" w:hAnsi="宋体" w:cs="宋体" w:eastAsia="宋体" w:hint="default"/>
          <w:b/>
          <w:bCs/>
          <w:spacing w:val="2"/>
          <w:sz w:val="28"/>
          <w:szCs w:val="28"/>
        </w:rPr>
        <w:t>部分，详细描述了公司经营中可能存在的风险及应对措施，敬请投资者关注相</w:t>
      </w:r>
      <w:r>
        <w:rPr>
          <w:rFonts w:ascii="宋体" w:hAnsi="宋体" w:cs="宋体" w:eastAsia="宋体" w:hint="default"/>
          <w:b/>
          <w:bCs/>
          <w:w w:val="99"/>
          <w:sz w:val="28"/>
          <w:szCs w:val="28"/>
        </w:rPr>
        <w:t> </w:t>
      </w:r>
      <w:r>
        <w:rPr>
          <w:rFonts w:ascii="宋体" w:hAnsi="宋体" w:cs="宋体" w:eastAsia="宋体" w:hint="default"/>
          <w:b/>
          <w:bCs/>
          <w:sz w:val="28"/>
          <w:szCs w:val="28"/>
        </w:rPr>
        <w:t>关内容。</w:t>
      </w:r>
      <w:r>
        <w:rPr>
          <w:rFonts w:ascii="宋体" w:hAnsi="宋体" w:cs="宋体" w:eastAsia="宋体" w:hint="default"/>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400,100,000</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3.</w:t>
      </w:r>
      <w:r>
        <w:rPr>
          <w:rFonts w:ascii="Times New Roman" w:hAnsi="Times New Roman" w:cs="Times New Roman" w:eastAsia="Times New Roman" w:hint="default"/>
          <w:b/>
          <w:bCs/>
          <w:spacing w:val="-2"/>
          <w:w w:val="100"/>
          <w:sz w:val="28"/>
          <w:szCs w:val="28"/>
        </w:rPr>
        <w:t>0</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6"/>
        <w:ind w:left="152" w:right="141"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4" w:header="748" w:top="1060" w:bottom="1160" w:left="980" w:right="980"/>
          <w:pgNumType w:start="2"/>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p>
      <w:pPr>
        <w:spacing w:line="460" w:lineRule="exact" w:before="0"/>
        <w:ind w:left="136" w:right="136" w:firstLine="0"/>
        <w:jc w:val="center"/>
        <w:rPr>
          <w:rFonts w:ascii="宋体" w:hAnsi="宋体" w:cs="宋体" w:eastAsia="宋体" w:hint="default"/>
          <w:sz w:val="36"/>
          <w:szCs w:val="36"/>
        </w:rPr>
      </w:pPr>
      <w:r>
        <w:rPr>
          <w:rFonts w:ascii="宋体" w:hAnsi="宋体" w:cs="宋体" w:eastAsia="宋体" w:hint="default"/>
          <w:b/>
          <w:bCs/>
          <w:sz w:val="36"/>
          <w:szCs w:val="36"/>
        </w:rPr>
        <w:t>目</w:t>
      </w:r>
      <w:r>
        <w:rPr>
          <w:rFonts w:ascii="宋体" w:hAnsi="宋体" w:cs="宋体" w:eastAsia="宋体" w:hint="default"/>
          <w:b/>
          <w:bCs/>
          <w:spacing w:val="-2"/>
          <w:sz w:val="36"/>
          <w:szCs w:val="36"/>
        </w:rPr>
        <w:t> </w:t>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4" w:val="right" w:leader="dot"/>
            </w:tabs>
            <w:spacing w:line="240" w:lineRule="auto" w:before="817"/>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 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16"/>
              </w:rPr>
              <w:t>11</w:t>
            </w:r>
            <w:r>
              <w:rPr>
                <w:rFonts w:ascii="Times New Roman" w:hAnsi="Times New Roman" w:cs="Times New Roman" w:eastAsia="Times New Roman" w:hint="default"/>
                <w:b w:val="0"/>
                <w:bCs w:val="0"/>
              </w:rPr>
            </w:r>
          </w:hyperlink>
        </w:p>
        <w:p>
          <w:pPr>
            <w:pStyle w:val="TOC1"/>
            <w:tabs>
              <w:tab w:pos="9785" w:val="right" w:leader="dot"/>
            </w:tabs>
            <w:spacing w:line="240" w:lineRule="auto" w:before="278"/>
            <w:ind w:right="0"/>
            <w:jc w:val="left"/>
            <w:rPr>
              <w:rFonts w:ascii="Times New Roman" w:hAnsi="Times New Roman" w:cs="Times New Roman" w:eastAsia="Times New Roman" w:hint="default"/>
              <w:b w:val="0"/>
              <w:bCs w:val="0"/>
            </w:rPr>
          </w:pPr>
          <w:hyperlink w:history="true" w:anchor="_bookmark2">
            <w:r>
              <w:rPr/>
              <w:t>第三节 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15</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3">
            <w:r>
              <w:rPr/>
              <w:t>第四节 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27</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63</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98</w:t>
            </w:r>
            <w:r>
              <w:rPr>
                <w:rFonts w:ascii="Times New Roman" w:hAnsi="Times New Roman" w:cs="Times New Roman" w:eastAsia="Times New Roman" w:hint="default"/>
                <w:b w:val="0"/>
                <w:bCs w:val="0"/>
              </w:rPr>
            </w:r>
          </w:hyperlink>
        </w:p>
        <w:p>
          <w:pPr>
            <w:pStyle w:val="TOC1"/>
            <w:tabs>
              <w:tab w:pos="9784"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105</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106</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 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6"/>
              </w:rPr>
              <w:t>117</w:t>
            </w:r>
            <w:r>
              <w:rPr>
                <w:rFonts w:ascii="Times New Roman" w:hAnsi="Times New Roman" w:cs="Times New Roman" w:eastAsia="Times New Roman" w:hint="default"/>
                <w:b w:val="0"/>
                <w:bCs w:val="0"/>
                <w:spacing w:val="-6"/>
              </w:rPr>
            </w:r>
          </w:hyperlink>
        </w:p>
        <w:p>
          <w:pPr>
            <w:pStyle w:val="TOC1"/>
            <w:tabs>
              <w:tab w:pos="9784"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123</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124</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248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8" w:footer="974" w:top="1060" w:bottom="1160" w:left="980" w:right="980"/>
        </w:sectPr>
      </w:pPr>
    </w:p>
    <w:p>
      <w:pPr>
        <w:spacing w:before="942"/>
        <w:ind w:left="136" w:right="13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公司、本公司、华大基因</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深圳华大基因股份有限公司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华大控股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深圳华大基因科技有限公司，系华大基因控股股东</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深圳华大基因科技服务有限公司，系华大基因一级子公司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本溪医检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本溪华大医学检验所有限公司，系华大基因一级子公司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北京优康</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北京华大优康科技有限公司，系华大基因一级子公司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北京华大医学检验所有限公司，系华大基因一级子公司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天津华大</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天津华大基因科技有限公司，系华大基因一级子公司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潍坊基因科技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潍坊华大基因健康科技有限公司，系华大基因一级子公司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南京基因科技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南京华大基因科技有限公司，系华大基因一级子公司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武汉华大医学检验所有限公司，系华大基因一级子公司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广州华大基因医学检验所有限公司，系华大基因一级子公司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深圳临检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深圳华大临床检验中心，系华大基因一级子公司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云南医学</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云南华大基因医学有限公司，系华大基因一级子公司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华大建林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上海华大建林基因科技有限公司，系华大基因二级子公司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天津华大医学检验所有限公司，系华大基因一级子公司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南京华大医学检验所有限公司，系华大基因二级子公司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上海华大医学检验所有限公司，系华大基因二级子公司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长垣医检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长垣华大医学检验所有限公司，系华大基因二级子公司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重庆华大医学检验所有限公司，系华大基因二级子公司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安徽医检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安徽华大医学检验所有限公司，系华大基因二级子公司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昆华医检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云南华大昆华医学检验所有限公司，系华大基因二级子公司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武汉生物科技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华大生物科技（武汉）有限公司，系华大基因一级子公司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北京六合</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9"/>
              <w:jc w:val="left"/>
              <w:rPr>
                <w:rFonts w:ascii="宋体" w:hAnsi="宋体" w:cs="宋体" w:eastAsia="宋体" w:hint="default"/>
                <w:sz w:val="18"/>
                <w:szCs w:val="18"/>
              </w:rPr>
            </w:pPr>
            <w:r>
              <w:rPr>
                <w:rFonts w:ascii="宋体" w:hAnsi="宋体" w:cs="宋体" w:eastAsia="宋体" w:hint="default"/>
                <w:sz w:val="18"/>
                <w:szCs w:val="18"/>
              </w:rPr>
              <w:t>北京六合华大基因科技股份有限公司，后变更为北京六合华大基因 科技有限公司，系华大基因二级子公司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北京吉比爱</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9"/>
              <w:jc w:val="left"/>
              <w:rPr>
                <w:rFonts w:ascii="宋体" w:hAnsi="宋体" w:cs="宋体" w:eastAsia="宋体" w:hint="default"/>
                <w:sz w:val="18"/>
                <w:szCs w:val="18"/>
              </w:rPr>
            </w:pPr>
            <w:r>
              <w:rPr>
                <w:rFonts w:ascii="宋体" w:hAnsi="宋体" w:cs="宋体" w:eastAsia="宋体" w:hint="default"/>
                <w:sz w:val="18"/>
                <w:szCs w:val="18"/>
              </w:rPr>
              <w:t>吉比爱生物技术（北京）有限公司，后更名为北京华大吉比爱生物 技术有限公司，系华大基因二级子公司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贵州华大医学检验所有限公司，系华大基因二级子公司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秦皇岛华大</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秦皇岛华大基因科技有限公司，系华大基因一级子公司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美洲科技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BGI Americas</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，系华大基因三级子公司</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525"/>
        <w:gridCol w:w="620"/>
        <w:gridCol w:w="5425"/>
      </w:tblGrid>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香港科技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62"/>
              <w:jc w:val="left"/>
              <w:rPr>
                <w:rFonts w:ascii="宋体" w:hAnsi="宋体" w:cs="宋体" w:eastAsia="宋体" w:hint="default"/>
                <w:sz w:val="18"/>
                <w:szCs w:val="18"/>
              </w:rPr>
            </w:pPr>
            <w:r>
              <w:rPr>
                <w:rFonts w:ascii="宋体" w:hAnsi="宋体" w:cs="宋体" w:eastAsia="宋体" w:hint="default"/>
                <w:sz w:val="18"/>
                <w:szCs w:val="18"/>
              </w:rPr>
              <w:t>香港华大基因科技服务有限公司，英文名称为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BGI</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TECH</w:t>
            </w:r>
            <w:r>
              <w:rPr>
                <w:rFonts w:ascii="Times New Roman" w:hAnsi="Times New Roman" w:cs="Times New Roman" w:eastAsia="Times New Roman" w:hint="default"/>
                <w:sz w:val="18"/>
                <w:szCs w:val="18"/>
              </w:rPr>
              <w:t> SOLUTIONS  </w:t>
            </w:r>
            <w:r>
              <w:rPr>
                <w:rFonts w:ascii="宋体" w:hAnsi="宋体" w:cs="宋体" w:eastAsia="宋体" w:hint="default"/>
                <w:sz w:val="18"/>
                <w:szCs w:val="18"/>
              </w:rPr>
              <w:t>（</w:t>
            </w:r>
            <w:r>
              <w:rPr>
                <w:rFonts w:ascii="Times New Roman" w:hAnsi="Times New Roman" w:cs="Times New Roman" w:eastAsia="Times New Roman" w:hint="default"/>
                <w:sz w:val="18"/>
                <w:szCs w:val="18"/>
              </w:rPr>
              <w:t>HONGKONG</w:t>
            </w:r>
            <w:r>
              <w:rPr>
                <w:rFonts w:ascii="宋体" w:hAnsi="宋体" w:cs="宋体" w:eastAsia="宋体" w:hint="default"/>
                <w:sz w:val="18"/>
                <w:szCs w:val="18"/>
              </w:rPr>
              <w:t>） </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，系华大基因二级子</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香港医学</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华大基因健康科技（香港）有限公司，英文名称为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BGI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HEALTH</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COMPANY</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，系华大基因一级子公司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欧洲医学</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BGI EUROPE</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A/S</w:t>
            </w:r>
            <w:r>
              <w:rPr>
                <w:rFonts w:ascii="宋体" w:hAnsi="宋体" w:cs="宋体" w:eastAsia="宋体" w:hint="default"/>
                <w:sz w:val="18"/>
                <w:szCs w:val="18"/>
              </w:rPr>
              <w:t>，系华大基因一级子公司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华大智造</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深圳华大智造科技有限公司，系华大基因关联方</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华大三生园</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9"/>
              <w:jc w:val="both"/>
              <w:rPr>
                <w:rFonts w:ascii="宋体" w:hAnsi="宋体" w:cs="宋体" w:eastAsia="宋体" w:hint="default"/>
                <w:sz w:val="18"/>
                <w:szCs w:val="18"/>
              </w:rPr>
            </w:pPr>
            <w:r>
              <w:rPr>
                <w:rFonts w:ascii="宋体" w:hAnsi="宋体" w:cs="宋体" w:eastAsia="宋体" w:hint="default"/>
                <w:sz w:val="18"/>
                <w:szCs w:val="18"/>
              </w:rPr>
              <w:t>深圳华大生物能源科技有限公司，后更名为深圳华大农业与循环经 济科技有限公司，现更名为深圳华大三生园科技有限公司，系华大 基因股东及关联方</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华大投资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深圳前海华大基因投资企业（有限合伙）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和玉高林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深圳和玉高林股权投资合伙企业（有限合伙）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丰悦泰和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北京丰悦泰和股权投资合伙企业（有限合伙）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中国人寿</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中国人寿保险（集团）公司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上海珍尤</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上海珍尤医疗投资合伙企业（有限合伙）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乐华源城</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深圳乐华源城投资有限公司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有孚创业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深圳市有孚创业投资企业（有限合伙）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国华腾飞</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深圳国华腾飞创新投资基金企业（有限合伙）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金翼汇顺</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深圳市金翼汇顺健康产业投资合伙企业（有限合伙）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青岛金石</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青岛金石灏汭投资有限公司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北京国投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北京国投协力华大股权投资中心（有限合伙）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中金佳成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中金佳成（天津）医疗投资中心（有限合伙）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盛桥新领域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深圳市盛桥新领域投资合伙企业（有限合伙）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上海云锋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上海云锋股权投资中心（有限合伙）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中小企业基因投资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中小企业基因（深圳）投资合伙企业（有限合伙）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宁波博源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宁波博源卓越股权投资合伙企业（有限合伙）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国信弘盛</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深圳市国信弘盛股权投资基金（有限合伙）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南海成长</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深圳市南海成长创赢投资合伙企业（有限合伙）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盛桥新健康</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深圳市盛桥新健康投资合伙企业（有限合伙）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盛桥创鑫</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深圳市盛桥创鑫投资合伙企业（有限合伙）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天津高林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天津高林同创股权投资合伙企业（有限合伙）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华弘资本</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深圳市华弘资本管理有限公司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东土盛唐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深圳市东土盛唐投资管理合伙企业（有限合伙）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苏州松禾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苏州松禾成长二号创业投资中心（有限合伙）</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上海腾希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上海腾希投资合伙企业（有限合伙）</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红土生物</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深圳市红土生物创业投资有限公司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深创投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西安尔湾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西安尔湾投资有限合伙企业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华夏人寿</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华夏人寿保险股份有限公司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上海开物</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上海开物投资合伙企业（有限合伙）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深圳宸时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深圳宸时资本管理有限公司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常春藤</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深圳常春藤股权投资合伙企业（有限合伙）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锋茂投资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霍尔果斯锋茂股权投资管理合伙企业（有限合伙）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上海国和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上海国和现代服务业股权投资基金合伙企业（有限合伙）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汇晟资产</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萍乡市汇晟资产管理合伙企业（有限合伙）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宁波软银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宁波软银天维创业投资合伙企业（有限合伙）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荣之联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北京荣之联科技股份有限公司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创润投资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深圳市创润投资合伙企业（有限合伙）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苏州软银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苏州软银天维创业投资合伙企业（有限合伙）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海百合</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上海海百合投资发展中心（有限合伙）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深港产学研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成都光控</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成都光控西部创业投资有限公司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上海景林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上海景林景麒投资中心（有限合伙）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CFDA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国家食品药品监督管理总局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公司章程或章程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深圳华大基因股份有限公司章程</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深圳华大基因股份有限公司股东大会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深圳华大基因股份有限公司董事会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深圳华大基因股份有限公司监事会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本报告期末、期末</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上年度末、上年同期末、期初</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报告期、本报告期、本期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上年同期、上期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证监会指定创业板信息披露网站</w:t>
            </w:r>
            <w:r>
              <w:rPr>
                <w:rFonts w:ascii="宋体" w:hAnsi="宋体" w:cs="宋体" w:eastAsia="宋体" w:hint="default"/>
                <w:spacing w:val="-22"/>
                <w:sz w:val="18"/>
                <w:szCs w:val="18"/>
              </w:rPr>
              <w:t> </w:t>
            </w:r>
            <w:hyperlink r:id="rId9">
              <w:r>
                <w:rPr>
                  <w:rFonts w:ascii="Times New Roman" w:hAnsi="Times New Roman" w:cs="Times New Roman" w:eastAsia="Times New Roman" w:hint="default"/>
                  <w:sz w:val="18"/>
                  <w:szCs w:val="18"/>
                </w:rPr>
                <w:t>http://www.cninfo.com.cn</w:t>
              </w:r>
            </w:hyperlink>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DNA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49"/>
              <w:jc w:val="left"/>
              <w:rPr>
                <w:rFonts w:ascii="宋体" w:hAnsi="宋体" w:cs="宋体" w:eastAsia="宋体" w:hint="default"/>
                <w:sz w:val="18"/>
                <w:szCs w:val="18"/>
              </w:rPr>
            </w:pPr>
            <w:r>
              <w:rPr>
                <w:rFonts w:ascii="宋体" w:hAnsi="宋体" w:cs="宋体" w:eastAsia="宋体" w:hint="default"/>
                <w:sz w:val="18"/>
                <w:szCs w:val="18"/>
              </w:rPr>
              <w:t>是脱氧核糖核酸的英文缩写，是一种生物大分子，可组成遗传指 令，引导生物发育与生命机能运作。</w:t>
            </w:r>
          </w:p>
        </w:tc>
      </w:tr>
    </w:tbl>
    <w:p>
      <w:pPr>
        <w:spacing w:after="0" w:line="319"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525"/>
        <w:gridCol w:w="620"/>
        <w:gridCol w:w="5425"/>
      </w:tblGrid>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RNA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04"/>
              <w:jc w:val="left"/>
              <w:rPr>
                <w:rFonts w:ascii="宋体" w:hAnsi="宋体" w:cs="宋体" w:eastAsia="宋体" w:hint="default"/>
                <w:sz w:val="18"/>
                <w:szCs w:val="18"/>
              </w:rPr>
            </w:pPr>
            <w:r>
              <w:rPr>
                <w:rFonts w:ascii="宋体" w:hAnsi="宋体" w:cs="宋体" w:eastAsia="宋体" w:hint="default"/>
                <w:sz w:val="18"/>
                <w:szCs w:val="18"/>
              </w:rPr>
              <w:t>是核糖核酸的英文缩写，是存在于生物细胞以及部分病毒、类病毒 中的遗传信息载体。</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由核糖核苷酸经磷酸二酯键缩合而成长链 状分子。</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mRNA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298"/>
              <w:jc w:val="left"/>
              <w:rPr>
                <w:rFonts w:ascii="宋体" w:hAnsi="宋体" w:cs="宋体" w:eastAsia="宋体" w:hint="default"/>
                <w:sz w:val="18"/>
                <w:szCs w:val="18"/>
              </w:rPr>
            </w:pPr>
            <w:r>
              <w:rPr>
                <w:rFonts w:ascii="宋体" w:hAnsi="宋体" w:cs="宋体" w:eastAsia="宋体" w:hint="default"/>
                <w:sz w:val="18"/>
                <w:szCs w:val="18"/>
              </w:rPr>
              <w:t>是信使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的英文缩写，是由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的一条链作为模板转录而来 的、携带遗传信息的能指导蛋白质合成的一类单链核糖核酸。</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miRNA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99"/>
              <w:jc w:val="both"/>
              <w:rPr>
                <w:rFonts w:ascii="宋体" w:hAnsi="宋体" w:cs="宋体" w:eastAsia="宋体" w:hint="default"/>
                <w:sz w:val="18"/>
                <w:szCs w:val="18"/>
              </w:rPr>
            </w:pPr>
            <w:r>
              <w:rPr>
                <w:rFonts w:ascii="宋体" w:hAnsi="宋体" w:cs="宋体" w:eastAsia="宋体" w:hint="default"/>
                <w:sz w:val="18"/>
                <w:szCs w:val="18"/>
              </w:rPr>
              <w:t>是在真核生物中发现的一类内源性的具有调控功能的非编码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RNA</w:t>
            </w:r>
            <w:r>
              <w:rPr>
                <w:rFonts w:ascii="宋体" w:hAnsi="宋体" w:cs="宋体" w:eastAsia="宋体" w:hint="default"/>
                <w:sz w:val="18"/>
                <w:szCs w:val="18"/>
              </w:rPr>
              <w:t>， 其大小长约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个核苷酸，主要通过结合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mRNA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而选择性调控 基因的表达。</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TB</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数据存储单位，</w:t>
            </w:r>
            <w:r>
              <w:rPr>
                <w:rFonts w:ascii="Times New Roman" w:hAnsi="Times New Roman" w:cs="Times New Roman" w:eastAsia="Times New Roman" w:hint="default"/>
                <w:sz w:val="18"/>
                <w:szCs w:val="18"/>
              </w:rPr>
              <w:t>1TB</w:t>
            </w:r>
            <w:r>
              <w:rPr>
                <w:rFonts w:ascii="宋体" w:hAnsi="宋体" w:cs="宋体" w:eastAsia="宋体" w:hint="default"/>
                <w:sz w:val="18"/>
                <w:szCs w:val="18"/>
              </w:rPr>
              <w:t>（</w:t>
            </w:r>
            <w:r>
              <w:rPr>
                <w:rFonts w:ascii="Times New Roman" w:hAnsi="Times New Roman" w:cs="Times New Roman" w:eastAsia="Times New Roman" w:hint="default"/>
                <w:sz w:val="18"/>
                <w:szCs w:val="18"/>
              </w:rPr>
              <w:t>Terabyte</w:t>
            </w:r>
            <w:r>
              <w:rPr>
                <w:rFonts w:ascii="宋体" w:hAnsi="宋体" w:cs="宋体" w:eastAsia="宋体" w:hint="default"/>
                <w:sz w:val="18"/>
                <w:szCs w:val="18"/>
              </w:rPr>
              <w:t>，太字节，或百万兆字节）</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pacing w:val="1"/>
                <w:w w:val="100"/>
                <w:sz w:val="18"/>
                <w:szCs w:val="18"/>
              </w:rPr>
              <w:t>1</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1"/>
                <w:w w:val="100"/>
                <w:sz w:val="18"/>
                <w:szCs w:val="18"/>
              </w:rPr>
              <w:t>0</w:t>
            </w:r>
            <w:r>
              <w:rPr>
                <w:rFonts w:ascii="Times New Roman" w:hAnsi="Times New Roman" w:cs="Times New Roman" w:eastAsia="Times New Roman" w:hint="default"/>
                <w:spacing w:val="-2"/>
                <w:w w:val="100"/>
                <w:sz w:val="18"/>
                <w:szCs w:val="18"/>
              </w:rPr>
              <w:t>2</w:t>
            </w:r>
            <w:r>
              <w:rPr>
                <w:rFonts w:ascii="Times New Roman" w:hAnsi="Times New Roman" w:cs="Times New Roman" w:eastAsia="Times New Roman" w:hint="default"/>
                <w:spacing w:val="1"/>
                <w:w w:val="100"/>
                <w:sz w:val="18"/>
                <w:szCs w:val="18"/>
              </w:rPr>
              <w:t>4</w:t>
            </w: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w w:val="100"/>
                <w:sz w:val="18"/>
                <w:szCs w:val="18"/>
              </w:rPr>
              <w:t>B</w:t>
            </w:r>
            <w:r>
              <w:rPr>
                <w:rFonts w:ascii="宋体" w:hAnsi="宋体" w:cs="宋体" w:eastAsia="宋体" w:hint="default"/>
                <w:w w:val="100"/>
                <w:sz w:val="18"/>
                <w:szCs w:val="18"/>
              </w:rPr>
              <w:t>，其中</w:t>
            </w:r>
            <w:r>
              <w:rPr>
                <w:rFonts w:ascii="宋体" w:hAnsi="宋体" w:cs="宋体" w:eastAsia="宋体" w:hint="default"/>
                <w:spacing w:val="-44"/>
                <w:w w:val="100"/>
                <w:sz w:val="18"/>
                <w:szCs w:val="18"/>
              </w:rPr>
              <w:t> </w:t>
            </w:r>
            <w:r>
              <w:rPr>
                <w:rFonts w:ascii="Times New Roman" w:hAnsi="Times New Roman" w:cs="Times New Roman" w:eastAsia="Times New Roman" w:hint="default"/>
                <w:spacing w:val="1"/>
                <w:w w:val="100"/>
                <w:sz w:val="18"/>
                <w:szCs w:val="18"/>
              </w:rPr>
              <w:t>1</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2"/>
                <w:w w:val="100"/>
                <w:sz w:val="18"/>
                <w:szCs w:val="18"/>
              </w:rPr>
              <w:t>0</w:t>
            </w:r>
            <w:r>
              <w:rPr>
                <w:rFonts w:ascii="Times New Roman" w:hAnsi="Times New Roman" w:cs="Times New Roman" w:eastAsia="Times New Roman" w:hint="default"/>
                <w:spacing w:val="1"/>
                <w:w w:val="100"/>
                <w:sz w:val="18"/>
                <w:szCs w:val="18"/>
              </w:rPr>
              <w:t>24</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pacing w:val="1"/>
                <w:w w:val="100"/>
                <w:sz w:val="18"/>
                <w:szCs w:val="18"/>
              </w:rPr>
              <w:t>2</w:t>
            </w:r>
            <w:r>
              <w:rPr>
                <w:rFonts w:ascii="Times New Roman" w:hAnsi="Times New Roman" w:cs="Times New Roman" w:eastAsia="Times New Roman" w:hint="default"/>
                <w:spacing w:val="-3"/>
                <w:w w:val="99"/>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次方</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基因</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69"/>
              <w:jc w:val="left"/>
              <w:rPr>
                <w:rFonts w:ascii="宋体" w:hAnsi="宋体" w:cs="宋体" w:eastAsia="宋体" w:hint="default"/>
                <w:sz w:val="18"/>
                <w:szCs w:val="18"/>
              </w:rPr>
            </w:pPr>
            <w:r>
              <w:rPr>
                <w:rFonts w:ascii="宋体" w:hAnsi="宋体" w:cs="宋体" w:eastAsia="宋体" w:hint="default"/>
                <w:sz w:val="18"/>
                <w:szCs w:val="18"/>
              </w:rPr>
              <w:t>能够编码蛋白质或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的核酸序列，包括基因的编码序列（外显 子）和编码区前后具有基因表达调控作用的序列和单个编码序列间 </w:t>
            </w:r>
            <w:r>
              <w:rPr>
                <w:rFonts w:ascii="宋体" w:hAnsi="宋体" w:cs="宋体" w:eastAsia="宋体" w:hint="default"/>
                <w:spacing w:val="-9"/>
                <w:sz w:val="18"/>
                <w:szCs w:val="18"/>
              </w:rPr>
              <w:t>的间隔序列（内含子）。</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基因组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69"/>
              <w:jc w:val="both"/>
              <w:rPr>
                <w:rFonts w:ascii="宋体" w:hAnsi="宋体" w:cs="宋体" w:eastAsia="宋体" w:hint="default"/>
                <w:sz w:val="18"/>
                <w:szCs w:val="18"/>
              </w:rPr>
            </w:pPr>
            <w:r>
              <w:rPr>
                <w:rFonts w:ascii="宋体" w:hAnsi="宋体" w:cs="宋体" w:eastAsia="宋体" w:hint="default"/>
                <w:sz w:val="18"/>
                <w:szCs w:val="18"/>
              </w:rPr>
              <w:t>是一个细胞或者生物体所携带的一套完整的单倍体序列，包括全套 基因和间隔序列，它指单倍体细胞中包括编码序列和非编码序列在 内的全部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分子。</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基因组学</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69"/>
              <w:jc w:val="both"/>
              <w:rPr>
                <w:rFonts w:ascii="宋体" w:hAnsi="宋体" w:cs="宋体" w:eastAsia="宋体" w:hint="default"/>
                <w:sz w:val="18"/>
                <w:szCs w:val="18"/>
              </w:rPr>
            </w:pPr>
            <w:r>
              <w:rPr>
                <w:rFonts w:ascii="宋体" w:hAnsi="宋体" w:cs="宋体" w:eastAsia="宋体" w:hint="default"/>
                <w:sz w:val="18"/>
                <w:szCs w:val="18"/>
              </w:rPr>
              <w:t>是研究生物基因组和如何利用基因的一门学问，用于概括涉及基因 作图、测序和整个基因组功能分析的遗传学分支。该学科提供基因 组信息以及相关数据系统利用，试图解决生物，医学，和工业领域 的重大问题。</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组学</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69"/>
              <w:jc w:val="both"/>
              <w:rPr>
                <w:rFonts w:ascii="宋体" w:hAnsi="宋体" w:cs="宋体" w:eastAsia="宋体" w:hint="default"/>
                <w:sz w:val="18"/>
                <w:szCs w:val="18"/>
              </w:rPr>
            </w:pPr>
            <w:r>
              <w:rPr>
                <w:rFonts w:ascii="宋体" w:hAnsi="宋体" w:cs="宋体" w:eastAsia="宋体" w:hint="default"/>
                <w:sz w:val="18"/>
                <w:szCs w:val="18"/>
              </w:rPr>
              <w:t>指生物学中对各类研究对象（一般为生物分子）的集合所进行的系 统性研究，主要包括基因组学，蛋白组学，代谢组学，转录组学， 脂类组学，免疫组学，糖组学和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组学等。</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表观基因组学</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49"/>
              <w:jc w:val="left"/>
              <w:rPr>
                <w:rFonts w:ascii="宋体" w:hAnsi="宋体" w:cs="宋体" w:eastAsia="宋体" w:hint="default"/>
                <w:sz w:val="18"/>
                <w:szCs w:val="18"/>
              </w:rPr>
            </w:pP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一直被认为是决定生命遗传信息的核心物质，但是近些年新的 研究表明，生命遗传信息从来就不是基因所能完全决定的，比如科 学家们发现，可以在不影响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序列的情况下改变基因组的修饰， 这种改变不仅可以影响个体的发育，而且还可以遗传下去。这种在 基因组的水平上研究表观遗传修饰的领域被称为</w:t>
            </w:r>
            <w:r>
              <w:rPr>
                <w:rFonts w:ascii="Times New Roman" w:hAnsi="Times New Roman" w:cs="Times New Roman" w:eastAsia="Times New Roman" w:hint="default"/>
                <w:sz w:val="18"/>
                <w:szCs w:val="18"/>
              </w:rPr>
              <w:t>"</w:t>
            </w:r>
            <w:r>
              <w:rPr>
                <w:rFonts w:ascii="宋体" w:hAnsi="宋体" w:cs="宋体" w:eastAsia="宋体" w:hint="default"/>
                <w:sz w:val="18"/>
                <w:szCs w:val="18"/>
              </w:rPr>
              <w:t>表观基因组学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宏基因组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是生境中全部微小生物遗传物质的总和。它包含了可培养的和未可 培养的微生物的基因，目前主要指环境样品中的细菌和真菌的基因 组总和。</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PCR</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是聚合酶链式反应的英文缩写，是在体外快速扩增目的基因或特定</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片段的一种十分有效的技术。</w:t>
            </w:r>
          </w:p>
        </w:tc>
      </w:tr>
      <w:tr>
        <w:trPr>
          <w:trHeight w:val="196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结构基因</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58"/>
              <w:jc w:val="left"/>
              <w:rPr>
                <w:rFonts w:ascii="宋体" w:hAnsi="宋体" w:cs="宋体" w:eastAsia="宋体" w:hint="default"/>
                <w:sz w:val="18"/>
                <w:szCs w:val="18"/>
              </w:rPr>
            </w:pPr>
            <w:r>
              <w:rPr>
                <w:rFonts w:ascii="宋体" w:hAnsi="宋体" w:cs="宋体" w:eastAsia="宋体" w:hint="default"/>
                <w:sz w:val="18"/>
                <w:szCs w:val="18"/>
              </w:rPr>
              <w:t>是指编码任何</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或除了调节因子以外的蛋白质的基因。它编码的 内容呈现广泛的功能和结构，包括结构蛋白、酶类（如催化酶）或 不执行调控功能的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分子。这些基因是细胞表现形态和功能特征 所必需的。在真核细胞中，结构基因被内含子和外显子所分隔；而 在原核细胞中则是连续的。与调控基因、编码启动子的基因不同， 结构基因在蛋白质的翻译中起到实质性的作用。</w:t>
            </w:r>
          </w:p>
        </w:tc>
      </w:tr>
      <w:tr>
        <w:trPr>
          <w:trHeight w:val="67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染色体</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9"/>
              <w:jc w:val="left"/>
              <w:rPr>
                <w:rFonts w:ascii="宋体" w:hAnsi="宋体" w:cs="宋体" w:eastAsia="宋体" w:hint="default"/>
                <w:sz w:val="18"/>
                <w:szCs w:val="18"/>
              </w:rPr>
            </w:pPr>
            <w:r>
              <w:rPr>
                <w:rFonts w:ascii="宋体" w:hAnsi="宋体" w:cs="宋体" w:eastAsia="宋体" w:hint="default"/>
                <w:sz w:val="18"/>
                <w:szCs w:val="18"/>
              </w:rPr>
              <w:t>是细胞内具有遗传性质的遗传物质深度压缩形成的聚合体，易被碱 性染料染成深色，所以叫染色体；其本质是脱氧核糖核酸（</w:t>
            </w:r>
            <w:r>
              <w:rPr>
                <w:rFonts w:ascii="Times New Roman" w:hAnsi="Times New Roman" w:cs="Times New Roman" w:eastAsia="Times New Roman" w:hint="default"/>
                <w:sz w:val="18"/>
                <w:szCs w:val="18"/>
              </w:rPr>
              <w:t>DNA</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525"/>
        <w:gridCol w:w="620"/>
        <w:gridCol w:w="5425"/>
      </w:tblGrid>
      <w:tr>
        <w:trPr>
          <w:trHeight w:val="987"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78"/>
              <w:jc w:val="left"/>
              <w:rPr>
                <w:rFonts w:ascii="宋体" w:hAnsi="宋体" w:cs="宋体" w:eastAsia="宋体" w:hint="default"/>
                <w:sz w:val="18"/>
                <w:szCs w:val="18"/>
              </w:rPr>
            </w:pPr>
            <w:r>
              <w:rPr>
                <w:rFonts w:ascii="宋体" w:hAnsi="宋体" w:cs="宋体" w:eastAsia="宋体" w:hint="default"/>
                <w:spacing w:val="-3"/>
                <w:sz w:val="18"/>
                <w:szCs w:val="18"/>
              </w:rPr>
              <w:t>和蛋白质的组合（即核蛋白组成的），不均匀地分布于细胞核中，是</w:t>
            </w:r>
            <w:r>
              <w:rPr>
                <w:rFonts w:ascii="宋体" w:hAnsi="宋体" w:cs="宋体" w:eastAsia="宋体" w:hint="default"/>
                <w:sz w:val="18"/>
                <w:szCs w:val="18"/>
              </w:rPr>
              <w:t> 遗传信息（基因）的主要载体，但不是唯一载体（如细胞质内的线 </w:t>
            </w:r>
            <w:r>
              <w:rPr>
                <w:rFonts w:ascii="宋体" w:hAnsi="宋体" w:cs="宋体" w:eastAsia="宋体" w:hint="default"/>
                <w:spacing w:val="-23"/>
                <w:sz w:val="18"/>
                <w:szCs w:val="18"/>
              </w:rPr>
              <w:t>粒体）。</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转录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是遗传信息由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转换到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聚合）酶促反应过程。作 为蛋白质生物合成的第一步，转录是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mRNA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以及非编码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RNA</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tRNA</w:t>
            </w:r>
            <w:r>
              <w:rPr>
                <w:rFonts w:ascii="宋体" w:hAnsi="宋体" w:cs="宋体" w:eastAsia="宋体" w:hint="default"/>
                <w:sz w:val="18"/>
                <w:szCs w:val="18"/>
              </w:rPr>
              <w:t>、</w:t>
            </w:r>
            <w:r>
              <w:rPr>
                <w:rFonts w:ascii="Times New Roman" w:hAnsi="Times New Roman" w:cs="Times New Roman" w:eastAsia="Times New Roman" w:hint="default"/>
                <w:sz w:val="18"/>
                <w:szCs w:val="18"/>
              </w:rPr>
              <w:t>rRNA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等）的合成步骤。</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转录本</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是由一条基因通过转录形成的一种或多种可供编码蛋白质的成熟的</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mRNA</w:t>
            </w:r>
            <w:r>
              <w:rPr>
                <w:rFonts w:ascii="宋体" w:hAnsi="宋体" w:cs="宋体" w:eastAsia="宋体" w:hint="default"/>
                <w:sz w:val="18"/>
                <w:szCs w:val="18"/>
              </w:rPr>
              <w:t>。</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转录组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69"/>
              <w:jc w:val="left"/>
              <w:rPr>
                <w:rFonts w:ascii="宋体" w:hAnsi="宋体" w:cs="宋体" w:eastAsia="宋体" w:hint="default"/>
                <w:sz w:val="18"/>
                <w:szCs w:val="18"/>
              </w:rPr>
            </w:pPr>
            <w:r>
              <w:rPr>
                <w:rFonts w:ascii="宋体" w:hAnsi="宋体" w:cs="宋体" w:eastAsia="宋体" w:hint="default"/>
                <w:sz w:val="18"/>
                <w:szCs w:val="18"/>
              </w:rPr>
              <w:t>广义上指某一生理条件下，细胞内所有转录产物的集合，包括信使 </w:t>
            </w:r>
            <w:r>
              <w:rPr>
                <w:rFonts w:ascii="Times New Roman" w:hAnsi="Times New Roman" w:cs="Times New Roman" w:eastAsia="Times New Roman" w:hint="default"/>
                <w:sz w:val="18"/>
                <w:szCs w:val="18"/>
              </w:rPr>
              <w:t>RNA</w:t>
            </w:r>
            <w:r>
              <w:rPr>
                <w:rFonts w:ascii="宋体" w:hAnsi="宋体" w:cs="宋体" w:eastAsia="宋体" w:hint="default"/>
                <w:sz w:val="18"/>
                <w:szCs w:val="18"/>
              </w:rPr>
              <w:t>、核糖体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RNA</w:t>
            </w:r>
            <w:r>
              <w:rPr>
                <w:rFonts w:ascii="宋体" w:hAnsi="宋体" w:cs="宋体" w:eastAsia="宋体" w:hint="default"/>
                <w:sz w:val="18"/>
                <w:szCs w:val="18"/>
              </w:rPr>
              <w:t>、转运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及非编码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RNA</w:t>
            </w:r>
            <w:r>
              <w:rPr>
                <w:rFonts w:ascii="宋体" w:hAnsi="宋体" w:cs="宋体" w:eastAsia="宋体" w:hint="default"/>
                <w:sz w:val="18"/>
                <w:szCs w:val="18"/>
              </w:rPr>
              <w:t>；狭义上指所有 </w:t>
            </w:r>
            <w:r>
              <w:rPr>
                <w:rFonts w:ascii="Times New Roman" w:hAnsi="Times New Roman" w:cs="Times New Roman" w:eastAsia="Times New Roman" w:hint="default"/>
                <w:sz w:val="18"/>
                <w:szCs w:val="18"/>
              </w:rPr>
              <w:t>mRNA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的集合。</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表观遗传</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是指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序列不发生变化，但基因表达却发生了可遗传的改变。这 种改变是细胞内除了遗传信息以外的其它可遗传物质发生的改变， 且这种改变在发育和细胞增殖过程中能稳定传递。</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单基因遗传病</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是指受一对等位基因控制的遗传病，有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多种，并且每年在以</w:t>
            </w:r>
          </w:p>
          <w:p>
            <w:pPr>
              <w:pStyle w:val="TableParagraph"/>
              <w:spacing w:line="300" w:lineRule="auto" w:before="63"/>
              <w:ind w:left="24"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10-50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种的速度递增，单基因遗传病已经对人类健康构成了较大的威 胁。较常见的有红绿色盲、血友病、白化病等。</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基因表达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是指细胞在生命过程中，把储存在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顺序中遗传信息经过转录和 翻译，转变成具有生物活性的蛋白质分子。</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生物芯片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杂交探针技术与半导体工业技术相结合的结晶。该技术系指 将大量探针分子固定于支持物上后，与带荧光标记的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或其它样 品分子（例如蛋白，因子或小分子）进行杂交，通过检测每个探针 分子的杂交信号强度进而获取样品分子的数量和序列信息。</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产前筛查</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9"/>
              <w:jc w:val="left"/>
              <w:rPr>
                <w:rFonts w:ascii="宋体" w:hAnsi="宋体" w:cs="宋体" w:eastAsia="宋体" w:hint="default"/>
                <w:sz w:val="18"/>
                <w:szCs w:val="18"/>
              </w:rPr>
            </w:pPr>
            <w:r>
              <w:rPr>
                <w:rFonts w:ascii="宋体" w:hAnsi="宋体" w:cs="宋体" w:eastAsia="宋体" w:hint="default"/>
                <w:sz w:val="18"/>
                <w:szCs w:val="18"/>
              </w:rPr>
              <w:t>是一种通过抽取孕妇血清，检测母体血清中甲型胎儿蛋白、绒毛促 性腺激素和游离雌三醇的浓度，并结合孕妇的预产期、体重、年龄 和采血时的孕周等，计算生出先天缺陷胎儿的危险系数的检测方 法。</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表型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0"/>
              <w:jc w:val="left"/>
              <w:rPr>
                <w:rFonts w:ascii="宋体" w:hAnsi="宋体" w:cs="宋体" w:eastAsia="宋体" w:hint="default"/>
                <w:sz w:val="18"/>
                <w:szCs w:val="18"/>
              </w:rPr>
            </w:pPr>
            <w:r>
              <w:rPr>
                <w:rFonts w:ascii="宋体" w:hAnsi="宋体" w:cs="宋体" w:eastAsia="宋体" w:hint="default"/>
                <w:sz w:val="18"/>
                <w:szCs w:val="18"/>
              </w:rPr>
              <w:t>指个体形态、功能等各方面的表现，如身高、肤色、血型、酶活 力、药物耐受力乃至性格等等。就是说个体外表行为表现和具有的 行为模式。</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质谱</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9"/>
              <w:jc w:val="both"/>
              <w:rPr>
                <w:rFonts w:ascii="宋体" w:hAnsi="宋体" w:cs="宋体" w:eastAsia="宋体" w:hint="default"/>
                <w:sz w:val="18"/>
                <w:szCs w:val="18"/>
              </w:rPr>
            </w:pPr>
            <w:r>
              <w:rPr>
                <w:rFonts w:ascii="宋体" w:hAnsi="宋体" w:cs="宋体" w:eastAsia="宋体" w:hint="default"/>
                <w:sz w:val="18"/>
                <w:szCs w:val="18"/>
              </w:rPr>
              <w:t>是一种与光谱并列的谱学方法，通常意义上是指广泛应用于各个学 科领域中通过制备、分离、检测气相离子来鉴定化合物的一种专门 技术。</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核苷酸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9"/>
              <w:jc w:val="both"/>
              <w:rPr>
                <w:rFonts w:ascii="宋体" w:hAnsi="宋体" w:cs="宋体" w:eastAsia="宋体" w:hint="default"/>
                <w:sz w:val="18"/>
                <w:szCs w:val="18"/>
              </w:rPr>
            </w:pPr>
            <w:r>
              <w:rPr>
                <w:rFonts w:ascii="宋体" w:hAnsi="宋体" w:cs="宋体" w:eastAsia="宋体" w:hint="default"/>
                <w:sz w:val="18"/>
                <w:szCs w:val="18"/>
              </w:rPr>
              <w:t>是一类由嘌呤碱或嘧啶碱、核糖或脱氧核糖以及磷酸三种物质组成 的化合物，又称核甙酸。核苷酸主要参与构成核酸，许多单核苷酸 也具有多种重要的生物学功能，如与能量代谢有关的三磷酸腺苷</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20"/>
                <w:w w:val="99"/>
                <w:sz w:val="18"/>
                <w:szCs w:val="18"/>
              </w:rPr>
              <w:t>A</w:t>
            </w:r>
            <w:r>
              <w:rPr>
                <w:rFonts w:ascii="Times New Roman" w:hAnsi="Times New Roman" w:cs="Times New Roman" w:eastAsia="Times New Roman" w:hint="default"/>
                <w:spacing w:val="-2"/>
                <w:w w:val="100"/>
                <w:sz w:val="18"/>
                <w:szCs w:val="18"/>
              </w:rPr>
              <w:t>T</w:t>
            </w:r>
            <w:r>
              <w:rPr>
                <w:rFonts w:ascii="Times New Roman" w:hAnsi="Times New Roman" w:cs="Times New Roman" w:eastAsia="Times New Roman" w:hint="default"/>
                <w:spacing w:val="3"/>
                <w:w w:val="99"/>
                <w:sz w:val="18"/>
                <w:szCs w:val="18"/>
              </w:rPr>
              <w:t>P</w:t>
            </w:r>
            <w:r>
              <w:rPr>
                <w:rFonts w:ascii="宋体" w:hAnsi="宋体" w:cs="宋体" w:eastAsia="宋体" w:hint="default"/>
                <w:spacing w:val="-92"/>
                <w:sz w:val="18"/>
                <w:szCs w:val="18"/>
              </w:rPr>
              <w:t>）</w:t>
            </w:r>
            <w:r>
              <w:rPr>
                <w:rFonts w:ascii="宋体" w:hAnsi="宋体" w:cs="宋体" w:eastAsia="宋体" w:hint="default"/>
                <w:sz w:val="18"/>
                <w:szCs w:val="18"/>
              </w:rPr>
              <w:t>、脱氢辅酶等。</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寡核苷酸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3"/>
              <w:jc w:val="both"/>
              <w:rPr>
                <w:rFonts w:ascii="宋体" w:hAnsi="宋体" w:cs="宋体" w:eastAsia="宋体" w:hint="default"/>
                <w:sz w:val="18"/>
                <w:szCs w:val="18"/>
              </w:rPr>
            </w:pPr>
            <w:r>
              <w:rPr>
                <w:rFonts w:ascii="宋体" w:hAnsi="宋体" w:cs="宋体" w:eastAsia="宋体" w:hint="default"/>
                <w:sz w:val="18"/>
                <w:szCs w:val="18"/>
              </w:rPr>
              <w:t>是一类只有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个以下碱基的短链核苷酸的总称（包括脱氧核糖核酸 </w:t>
            </w:r>
            <w:r>
              <w:rPr>
                <w:rFonts w:ascii="Times New Roman" w:hAnsi="Times New Roman" w:cs="Times New Roman" w:eastAsia="Times New Roman" w:hint="default"/>
                <w:spacing w:val="-1"/>
                <w:w w:val="99"/>
                <w:sz w:val="18"/>
                <w:szCs w:val="18"/>
              </w:rPr>
              <w:t>DNA</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或核糖核酸</w:t>
            </w:r>
            <w:r>
              <w:rPr>
                <w:rFonts w:ascii="宋体" w:hAnsi="宋体" w:cs="宋体" w:eastAsia="宋体" w:hint="default"/>
                <w:spacing w:val="-40"/>
                <w:sz w:val="18"/>
                <w:szCs w:val="18"/>
              </w:rPr>
              <w:t> </w:t>
            </w:r>
            <w:r>
              <w:rPr>
                <w:rFonts w:ascii="Times New Roman" w:hAnsi="Times New Roman" w:cs="Times New Roman" w:eastAsia="Times New Roman" w:hint="default"/>
                <w:w w:val="99"/>
                <w:sz w:val="18"/>
                <w:szCs w:val="18"/>
              </w:rPr>
              <w:t>RNA</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5"/>
                <w:sz w:val="18"/>
                <w:szCs w:val="18"/>
              </w:rPr>
              <w:t>内的核苷酸），寡核苷酸可以很容易地和它们</w:t>
            </w:r>
            <w:r>
              <w:rPr>
                <w:rFonts w:ascii="宋体" w:hAnsi="宋体" w:cs="宋体" w:eastAsia="宋体" w:hint="default"/>
                <w:sz w:val="18"/>
                <w:szCs w:val="18"/>
              </w:rPr>
              <w:t> 的互补对链接，所以常用来作为探针确定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的结构，经 常用于基因芯片、电泳、荧光原位杂交等过程中。</w:t>
            </w:r>
          </w:p>
        </w:tc>
      </w:tr>
    </w:tbl>
    <w:p>
      <w:pPr>
        <w:spacing w:after="0" w:line="300" w:lineRule="auto"/>
        <w:jc w:val="both"/>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525"/>
        <w:gridCol w:w="620"/>
        <w:gridCol w:w="5425"/>
      </w:tblGrid>
      <w:tr>
        <w:trPr>
          <w:trHeight w:val="196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焦磷酸测序</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9"/>
              <w:jc w:val="both"/>
              <w:rPr>
                <w:rFonts w:ascii="宋体" w:hAnsi="宋体" w:cs="宋体" w:eastAsia="宋体" w:hint="default"/>
                <w:sz w:val="18"/>
                <w:szCs w:val="18"/>
              </w:rPr>
            </w:pPr>
            <w:r>
              <w:rPr>
                <w:rFonts w:ascii="宋体" w:hAnsi="宋体" w:cs="宋体" w:eastAsia="宋体" w:hint="default"/>
                <w:sz w:val="18"/>
                <w:szCs w:val="18"/>
              </w:rPr>
              <w:t>是一种新型的酶联级联测序技术，焦磷酸测序法适于对已知的短序 列的测序分析，其可重复性和精确性能与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Sanger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测序法相媲 美，而速度却大大的提高。焦磷酸测序技术产品具备同时对大量样 品进行测序分析的能力，为大通量、低成本、适时、快速、直观地 进行单核苷酸多态性研究和临床检验提供了非常理想的技术操作平 台。</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全基因组测序</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是对未知基因组序列的物种进行个体的基因组测序。</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全基因组重测序</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69"/>
              <w:jc w:val="both"/>
              <w:rPr>
                <w:rFonts w:ascii="宋体" w:hAnsi="宋体" w:cs="宋体" w:eastAsia="宋体" w:hint="default"/>
                <w:sz w:val="18"/>
                <w:szCs w:val="18"/>
              </w:rPr>
            </w:pPr>
            <w:r>
              <w:rPr>
                <w:rFonts w:ascii="宋体" w:hAnsi="宋体" w:cs="宋体" w:eastAsia="宋体" w:hint="default"/>
                <w:sz w:val="18"/>
                <w:szCs w:val="18"/>
              </w:rPr>
              <w:t>是对已知基因组序列的物种进行不同个体的基因组测序，并在此基 础上对个体或群体进行差异性分析。它将不同梯度插入片段的测序 文库结合短序列、双末端进行测序，帮助客户在全基因组水平上扫 描并检测与重要性状相关的基因序列差异和结构变异，实现遗传进 化分析及重要性状候选基因预测。</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碱基</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67"/>
              <w:jc w:val="left"/>
              <w:rPr>
                <w:rFonts w:ascii="宋体" w:hAnsi="宋体" w:cs="宋体" w:eastAsia="宋体" w:hint="default"/>
                <w:sz w:val="18"/>
                <w:szCs w:val="18"/>
              </w:rPr>
            </w:pPr>
            <w:r>
              <w:rPr>
                <w:rFonts w:ascii="宋体" w:hAnsi="宋体" w:cs="宋体" w:eastAsia="宋体" w:hint="default"/>
                <w:sz w:val="18"/>
                <w:szCs w:val="18"/>
              </w:rPr>
              <w:t>是嘌呤和嘧啶的衍生物，是核酸、核苷、核苷酸的成分。</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和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的主要碱基略有不同，其重要区别是：胸腺嘧啶是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的主 要嘧啶碱，在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中极少见；相反，尿嘧啶是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的主要嘧啶 碱，在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中则是稀有的。</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多态性</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是指以适当频率在一个群体的某个特定遗传位点（基因序列或非基 因序列）发生两种或两种以上变异的现象，可通过直接分析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或 基因产物来确定。</w:t>
            </w:r>
          </w:p>
        </w:tc>
      </w:tr>
      <w:tr>
        <w:trPr>
          <w:trHeight w:val="19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外显子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58"/>
              <w:jc w:val="left"/>
              <w:rPr>
                <w:rFonts w:ascii="宋体" w:hAnsi="宋体" w:cs="宋体" w:eastAsia="宋体" w:hint="default"/>
                <w:sz w:val="18"/>
                <w:szCs w:val="18"/>
              </w:rPr>
            </w:pPr>
            <w:r>
              <w:rPr>
                <w:rFonts w:ascii="宋体" w:hAnsi="宋体" w:cs="宋体" w:eastAsia="宋体" w:hint="default"/>
                <w:sz w:val="18"/>
                <w:szCs w:val="18"/>
              </w:rPr>
              <w:t>是断裂基因中的编码序列，它是真核生物基因的一部分，在剪接后 仍会被保存下来，并可在蛋白质生物合成过程中被表达为蛋白质。 外显子是最后出现在成熟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中的基因序列，又称表达序列。既存 在于最初的转录产物中，也存在于成熟的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分子中的核苷酸序 列。术语外显子也指编码相应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外显子的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中的区域。所有 的外显子一同组成了遗传信息，该信息会体现在蛋白质上。</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内含子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是断裂基因的非编码区，可被转录，但在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mRNA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加工过程中会被剪 切掉，故成熟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mRNA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上无内含子编码序列。内含子可能含有</w:t>
            </w:r>
            <w:r>
              <w:rPr>
                <w:rFonts w:ascii="Times New Roman" w:hAnsi="Times New Roman" w:cs="Times New Roman" w:eastAsia="Times New Roman" w:hint="default"/>
                <w:sz w:val="18"/>
                <w:szCs w:val="18"/>
              </w:rPr>
              <w:t>"</w:t>
            </w:r>
            <w:r>
              <w:rPr>
                <w:rFonts w:ascii="宋体" w:hAnsi="宋体" w:cs="宋体" w:eastAsia="宋体" w:hint="default"/>
                <w:sz w:val="18"/>
                <w:szCs w:val="18"/>
              </w:rPr>
              <w:t>旧码 </w:t>
            </w:r>
            <w:r>
              <w:rPr>
                <w:rFonts w:ascii="Times New Roman" w:hAnsi="Times New Roman" w:cs="Times New Roman" w:eastAsia="Times New Roman" w:hint="default"/>
                <w:sz w:val="18"/>
                <w:szCs w:val="18"/>
              </w:rPr>
              <w:t>"</w:t>
            </w:r>
            <w:r>
              <w:rPr>
                <w:rFonts w:ascii="宋体" w:hAnsi="宋体" w:cs="宋体" w:eastAsia="宋体" w:hint="default"/>
                <w:sz w:val="18"/>
                <w:szCs w:val="18"/>
              </w:rPr>
              <w:t>，就是在进化过程中丧失功能的基因部分。正因为内含子对翻译产 物的结构无意义，不受自然选择的压力，所以它比外显子累积有更 多的突变。</w:t>
            </w:r>
          </w:p>
        </w:tc>
      </w:tr>
      <w:tr>
        <w:trPr>
          <w:trHeight w:val="165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甲基化</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42"/>
              <w:jc w:val="both"/>
              <w:rPr>
                <w:rFonts w:ascii="宋体" w:hAnsi="宋体" w:cs="宋体" w:eastAsia="宋体" w:hint="default"/>
                <w:sz w:val="18"/>
                <w:szCs w:val="18"/>
              </w:rPr>
            </w:pPr>
            <w:r>
              <w:rPr>
                <w:rFonts w:ascii="宋体" w:hAnsi="宋体" w:cs="宋体" w:eastAsia="宋体" w:hint="default"/>
                <w:sz w:val="18"/>
                <w:szCs w:val="18"/>
              </w:rPr>
              <w:t>是指从活性甲基化合物（如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w:t>
            </w:r>
            <w:r>
              <w:rPr>
                <w:rFonts w:ascii="宋体" w:hAnsi="宋体" w:cs="宋体" w:eastAsia="宋体" w:hint="default"/>
                <w:sz w:val="18"/>
                <w:szCs w:val="18"/>
              </w:rPr>
              <w:t>腺苷基甲硫氨酸）上将甲基催化转移</w:t>
            </w:r>
            <w:r>
              <w:rPr>
                <w:rFonts w:ascii="宋体" w:hAnsi="宋体" w:cs="宋体" w:eastAsia="宋体" w:hint="default"/>
                <w:w w:val="99"/>
                <w:sz w:val="18"/>
                <w:szCs w:val="18"/>
              </w:rPr>
              <w:t> </w:t>
            </w:r>
            <w:r>
              <w:rPr>
                <w:rFonts w:ascii="宋体" w:hAnsi="宋体" w:cs="宋体" w:eastAsia="宋体" w:hint="default"/>
                <w:sz w:val="18"/>
                <w:szCs w:val="18"/>
              </w:rPr>
              <w:t>到其他化合物的过程。可形成各种甲基化合物，或是对某些蛋白质</w:t>
            </w:r>
            <w:r>
              <w:rPr>
                <w:rFonts w:ascii="宋体" w:hAnsi="宋体" w:cs="宋体" w:eastAsia="宋体" w:hint="default"/>
                <w:w w:val="99"/>
                <w:sz w:val="18"/>
                <w:szCs w:val="18"/>
              </w:rPr>
              <w:t> </w:t>
            </w:r>
            <w:r>
              <w:rPr>
                <w:rFonts w:ascii="宋体" w:hAnsi="宋体" w:cs="宋体" w:eastAsia="宋体" w:hint="default"/>
                <w:sz w:val="18"/>
                <w:szCs w:val="18"/>
              </w:rPr>
              <w:t>或核酸等进行化学修饰形成甲基化产物。在生物系统内，甲基化是</w:t>
            </w:r>
            <w:r>
              <w:rPr>
                <w:rFonts w:ascii="宋体" w:hAnsi="宋体" w:cs="宋体" w:eastAsia="宋体" w:hint="default"/>
                <w:w w:val="99"/>
                <w:sz w:val="18"/>
                <w:szCs w:val="18"/>
              </w:rPr>
              <w:t> </w:t>
            </w:r>
            <w:r>
              <w:rPr>
                <w:rFonts w:ascii="宋体" w:hAnsi="宋体" w:cs="宋体" w:eastAsia="宋体" w:hint="default"/>
                <w:sz w:val="18"/>
                <w:szCs w:val="18"/>
              </w:rPr>
              <w:t>经酶催化的，这种甲基化涉及重金属修饰、基因表达的调控、蛋白</w:t>
            </w:r>
            <w:r>
              <w:rPr>
                <w:rFonts w:ascii="宋体" w:hAnsi="宋体" w:cs="宋体" w:eastAsia="宋体" w:hint="default"/>
                <w:w w:val="99"/>
                <w:sz w:val="18"/>
                <w:szCs w:val="18"/>
              </w:rPr>
              <w:t> </w:t>
            </w:r>
            <w:r>
              <w:rPr>
                <w:rFonts w:ascii="宋体" w:hAnsi="宋体" w:cs="宋体" w:eastAsia="宋体" w:hint="default"/>
                <w:sz w:val="18"/>
                <w:szCs w:val="18"/>
              </w:rPr>
              <w:t>质功能的调节以及核糖核酸（</w:t>
            </w:r>
            <w:r>
              <w:rPr>
                <w:rFonts w:ascii="Times New Roman" w:hAnsi="Times New Roman" w:cs="Times New Roman" w:eastAsia="Times New Roman" w:hint="default"/>
                <w:sz w:val="18"/>
                <w:szCs w:val="18"/>
              </w:rPr>
              <w:t>RNA</w:t>
            </w:r>
            <w:r>
              <w:rPr>
                <w:rFonts w:ascii="宋体" w:hAnsi="宋体" w:cs="宋体" w:eastAsia="宋体" w:hint="default"/>
                <w:sz w:val="18"/>
                <w:szCs w:val="18"/>
              </w:rPr>
              <w:t>）加工。</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基因分型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是利用生物学检测方法测定个体基因型的技术，又称为基因型分 </w:t>
            </w:r>
            <w:r>
              <w:rPr>
                <w:rFonts w:ascii="宋体" w:hAnsi="宋体" w:cs="宋体" w:eastAsia="宋体" w:hint="default"/>
                <w:spacing w:val="-4"/>
                <w:w w:val="99"/>
                <w:sz w:val="18"/>
                <w:szCs w:val="18"/>
              </w:rPr>
              <w:t>析。使用技术包括聚合酶链反应（</w:t>
            </w:r>
            <w:r>
              <w:rPr>
                <w:rFonts w:ascii="Times New Roman" w:hAnsi="Times New Roman" w:cs="Times New Roman" w:eastAsia="Times New Roman" w:hint="default"/>
                <w:spacing w:val="-4"/>
                <w:w w:val="99"/>
                <w:sz w:val="18"/>
                <w:szCs w:val="18"/>
              </w:rPr>
              <w:t>PCR</w:t>
            </w:r>
            <w:r>
              <w:rPr>
                <w:rFonts w:ascii="宋体" w:hAnsi="宋体" w:cs="宋体" w:eastAsia="宋体" w:hint="default"/>
                <w:spacing w:val="-4"/>
                <w:w w:val="99"/>
                <w:sz w:val="18"/>
                <w:szCs w:val="18"/>
              </w:rPr>
              <w:t>）、</w:t>
            </w:r>
            <w:r>
              <w:rPr>
                <w:rFonts w:ascii="Times New Roman" w:hAnsi="Times New Roman" w:cs="Times New Roman" w:eastAsia="Times New Roman" w:hint="default"/>
                <w:spacing w:val="-4"/>
                <w:w w:val="99"/>
                <w:sz w:val="18"/>
                <w:szCs w:val="18"/>
              </w:rPr>
              <w:t>DNA</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片段分析、寡核苷酸 探针、基因测序、核酸杂交、基因芯片技术等。</w:t>
            </w:r>
          </w:p>
        </w:tc>
      </w:tr>
      <w:tr>
        <w:trPr>
          <w:trHeight w:val="98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单核苷酸多态性（</w:t>
            </w:r>
            <w:r>
              <w:rPr>
                <w:rFonts w:ascii="Times New Roman" w:hAnsi="Times New Roman" w:cs="Times New Roman" w:eastAsia="Times New Roman" w:hint="default"/>
                <w:sz w:val="18"/>
                <w:szCs w:val="18"/>
              </w:rPr>
              <w:t>SNP</w:t>
            </w:r>
            <w:r>
              <w:rPr>
                <w:rFonts w:ascii="宋体" w:hAnsi="宋体" w:cs="宋体" w:eastAsia="宋体"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134"/>
              <w:jc w:val="left"/>
              <w:rPr>
                <w:rFonts w:ascii="宋体" w:hAnsi="宋体" w:cs="宋体" w:eastAsia="宋体" w:hint="default"/>
                <w:sz w:val="18"/>
                <w:szCs w:val="18"/>
              </w:rPr>
            </w:pPr>
            <w:r>
              <w:rPr>
                <w:rFonts w:ascii="宋体" w:hAnsi="宋体" w:cs="宋体" w:eastAsia="宋体" w:hint="default"/>
                <w:sz w:val="18"/>
                <w:szCs w:val="18"/>
              </w:rPr>
              <w:t>是指在基因组水平上由单个核苷酸的变异所引起的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序列多态 性。它是人类可遗传的变异中最常见的一种。占所有已知多态性的 </w:t>
            </w:r>
            <w:r>
              <w:rPr>
                <w:rFonts w:ascii="Times New Roman" w:hAnsi="Times New Roman" w:cs="Times New Roman" w:eastAsia="Times New Roman" w:hint="default"/>
                <w:sz w:val="18"/>
                <w:szCs w:val="18"/>
              </w:rPr>
              <w:t>90%</w:t>
            </w:r>
            <w:r>
              <w:rPr>
                <w:rFonts w:ascii="宋体" w:hAnsi="宋体" w:cs="宋体" w:eastAsia="宋体" w:hint="default"/>
                <w:sz w:val="18"/>
                <w:szCs w:val="18"/>
              </w:rPr>
              <w:t>以上。</w:t>
            </w:r>
            <w:r>
              <w:rPr>
                <w:rFonts w:ascii="Times New Roman" w:hAnsi="Times New Roman" w:cs="Times New Roman" w:eastAsia="Times New Roman" w:hint="default"/>
                <w:sz w:val="18"/>
                <w:szCs w:val="18"/>
              </w:rPr>
              <w:t>SNP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在人类基因组中广泛存在，平均每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个碱</w:t>
            </w:r>
          </w:p>
        </w:tc>
      </w:tr>
    </w:tbl>
    <w:p>
      <w:pPr>
        <w:spacing w:after="0" w:line="307"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525"/>
        <w:gridCol w:w="620"/>
        <w:gridCol w:w="5425"/>
      </w:tblGrid>
      <w:tr>
        <w:trPr>
          <w:trHeight w:val="363"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基对中就有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个，估计其总数可达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万个甚至更多。</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突变（</w:t>
            </w:r>
            <w:r>
              <w:rPr>
                <w:rFonts w:ascii="Times New Roman" w:hAnsi="Times New Roman" w:cs="Times New Roman" w:eastAsia="Times New Roman" w:hint="default"/>
                <w:sz w:val="18"/>
                <w:szCs w:val="18"/>
              </w:rPr>
              <w:t>Mutation</w:t>
            </w:r>
            <w:r>
              <w:rPr>
                <w:rFonts w:ascii="宋体" w:hAnsi="宋体" w:cs="宋体" w:eastAsia="宋体"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9"/>
              <w:jc w:val="both"/>
              <w:rPr>
                <w:rFonts w:ascii="宋体" w:hAnsi="宋体" w:cs="宋体" w:eastAsia="宋体" w:hint="default"/>
                <w:sz w:val="18"/>
                <w:szCs w:val="18"/>
              </w:rPr>
            </w:pPr>
            <w:r>
              <w:rPr>
                <w:rFonts w:ascii="宋体" w:hAnsi="宋体" w:cs="宋体" w:eastAsia="宋体" w:hint="default"/>
                <w:sz w:val="18"/>
                <w:szCs w:val="18"/>
              </w:rPr>
              <w:t>在生物学上是指细胞中的遗传基因（通常指存在于细胞核中的脱氧 核糖核酸）发生的改变。它包括单个碱基改变所引起的点突变，或 多个碱基的缺失、重复和插入。原因可以是细胞分裂时遗传基因的 复制发生错误、或受化学物质、辐射或病毒的影响。</w:t>
            </w:r>
          </w:p>
        </w:tc>
      </w:tr>
      <w:tr>
        <w:trPr>
          <w:trHeight w:val="165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DNA </w:t>
            </w:r>
            <w:r>
              <w:rPr>
                <w:rFonts w:ascii="宋体" w:hAnsi="宋体" w:cs="宋体" w:eastAsia="宋体" w:hint="default"/>
                <w:sz w:val="18"/>
                <w:szCs w:val="18"/>
              </w:rPr>
              <w:t>测序（</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sequencing</w:t>
            </w:r>
            <w:r>
              <w:rPr>
                <w:rFonts w:ascii="宋体" w:hAnsi="宋体" w:cs="宋体" w:eastAsia="宋体"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60"/>
              <w:jc w:val="left"/>
              <w:rPr>
                <w:rFonts w:ascii="宋体" w:hAnsi="宋体" w:cs="宋体" w:eastAsia="宋体" w:hint="default"/>
                <w:sz w:val="18"/>
                <w:szCs w:val="18"/>
              </w:rPr>
            </w:pPr>
            <w:r>
              <w:rPr>
                <w:rFonts w:ascii="宋体" w:hAnsi="宋体" w:cs="宋体" w:eastAsia="宋体" w:hint="default"/>
                <w:sz w:val="18"/>
                <w:szCs w:val="18"/>
              </w:rPr>
              <w:t>是指分析特定</w:t>
            </w:r>
            <w:r>
              <w:rPr>
                <w:rFonts w:ascii="宋体" w:hAnsi="宋体" w:cs="宋体" w:eastAsia="宋体" w:hint="default"/>
                <w:spacing w:val="-41"/>
                <w:sz w:val="18"/>
                <w:szCs w:val="18"/>
              </w:rPr>
              <w:t> </w:t>
            </w:r>
            <w:r>
              <w:rPr>
                <w:rFonts w:ascii="Times New Roman" w:hAnsi="Times New Roman" w:cs="Times New Roman" w:eastAsia="Times New Roman" w:hint="default"/>
                <w:spacing w:val="-1"/>
                <w:w w:val="99"/>
                <w:sz w:val="18"/>
                <w:szCs w:val="18"/>
              </w:rPr>
              <w:t>DNA</w:t>
            </w:r>
            <w:r>
              <w:rPr>
                <w:rFonts w:ascii="Times New Roman" w:hAnsi="Times New Roman" w:cs="Times New Roman" w:eastAsia="Times New Roman" w:hint="default"/>
                <w:w w:val="99"/>
                <w:sz w:val="18"/>
                <w:szCs w:val="18"/>
              </w:rPr>
              <w:t> </w:t>
            </w:r>
            <w:r>
              <w:rPr>
                <w:rFonts w:ascii="宋体" w:hAnsi="宋体" w:cs="宋体" w:eastAsia="宋体" w:hint="default"/>
                <w:spacing w:val="-5"/>
                <w:w w:val="99"/>
                <w:sz w:val="18"/>
                <w:szCs w:val="18"/>
              </w:rPr>
              <w:t>片段的碱基序列，也就是腺嘌呤（</w:t>
            </w:r>
            <w:r>
              <w:rPr>
                <w:rFonts w:ascii="Times New Roman" w:hAnsi="Times New Roman" w:cs="Times New Roman" w:eastAsia="Times New Roman" w:hint="default"/>
                <w:spacing w:val="-5"/>
                <w:w w:val="99"/>
                <w:sz w:val="18"/>
                <w:szCs w:val="18"/>
              </w:rPr>
              <w:t>A</w:t>
            </w:r>
            <w:r>
              <w:rPr>
                <w:rFonts w:ascii="宋体" w:hAnsi="宋体" w:cs="宋体" w:eastAsia="宋体" w:hint="default"/>
                <w:spacing w:val="-5"/>
                <w:w w:val="99"/>
                <w:sz w:val="18"/>
                <w:szCs w:val="18"/>
              </w:rPr>
              <w:t>）、胸腺嘧</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pacing w:val="-4"/>
                <w:sz w:val="18"/>
                <w:szCs w:val="18"/>
              </w:rPr>
              <w:t>啶（</w:t>
            </w:r>
            <w:r>
              <w:rPr>
                <w:rFonts w:ascii="Times New Roman" w:hAnsi="Times New Roman" w:cs="Times New Roman" w:eastAsia="Times New Roman" w:hint="default"/>
                <w:spacing w:val="-4"/>
                <w:sz w:val="18"/>
                <w:szCs w:val="18"/>
              </w:rPr>
              <w:t>T</w:t>
            </w:r>
            <w:r>
              <w:rPr>
                <w:rFonts w:ascii="宋体" w:hAnsi="宋体" w:cs="宋体" w:eastAsia="宋体" w:hint="default"/>
                <w:spacing w:val="-4"/>
                <w:sz w:val="18"/>
                <w:szCs w:val="18"/>
              </w:rPr>
              <w:t>）、胞嘧啶（</w:t>
            </w:r>
            <w:r>
              <w:rPr>
                <w:rFonts w:ascii="Times New Roman" w:hAnsi="Times New Roman" w:cs="Times New Roman" w:eastAsia="Times New Roman" w:hint="default"/>
                <w:spacing w:val="-4"/>
                <w:sz w:val="18"/>
                <w:szCs w:val="18"/>
              </w:rPr>
              <w:t>C</w:t>
            </w:r>
            <w:r>
              <w:rPr>
                <w:rFonts w:ascii="宋体" w:hAnsi="宋体" w:cs="宋体" w:eastAsia="宋体" w:hint="default"/>
                <w:spacing w:val="-4"/>
                <w:sz w:val="18"/>
                <w:szCs w:val="18"/>
              </w:rPr>
              <w:t>）与鸟嘌呤的（</w:t>
            </w:r>
            <w:r>
              <w:rPr>
                <w:rFonts w:ascii="Times New Roman" w:hAnsi="Times New Roman" w:cs="Times New Roman" w:eastAsia="Times New Roman" w:hint="default"/>
                <w:spacing w:val="-4"/>
                <w:sz w:val="18"/>
                <w:szCs w:val="18"/>
              </w:rPr>
              <w:t>G</w:t>
            </w:r>
            <w:r>
              <w:rPr>
                <w:rFonts w:ascii="宋体" w:hAnsi="宋体" w:cs="宋体" w:eastAsia="宋体" w:hint="default"/>
                <w:spacing w:val="-4"/>
                <w:sz w:val="18"/>
                <w:szCs w:val="18"/>
              </w:rPr>
              <w:t>）排列方式。目前应用最广泛</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的是由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Frederick</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Sanger </w:t>
            </w:r>
            <w:r>
              <w:rPr>
                <w:rFonts w:ascii="宋体" w:hAnsi="宋体" w:cs="宋体" w:eastAsia="宋体" w:hint="default"/>
                <w:sz w:val="18"/>
                <w:szCs w:val="18"/>
              </w:rPr>
              <w:t>发明的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Sanger </w:t>
            </w:r>
            <w:r>
              <w:rPr>
                <w:rFonts w:ascii="宋体" w:hAnsi="宋体" w:cs="宋体" w:eastAsia="宋体" w:hint="default"/>
                <w:sz w:val="18"/>
                <w:szCs w:val="18"/>
              </w:rPr>
              <w:t>双脱氧链终止法，</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sequencing technology</w:t>
            </w:r>
            <w:r>
              <w:rPr>
                <w:rFonts w:ascii="宋体" w:hAnsi="宋体" w:cs="宋体" w:eastAsia="宋体" w:hint="default"/>
                <w:sz w:val="18"/>
                <w:szCs w:val="18"/>
              </w:rPr>
              <w:t>，在分子生物学研究中，</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的序列分析是进 一步研究和改造目的基因的基础。</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二代测序（</w:t>
            </w:r>
            <w:r>
              <w:rPr>
                <w:rFonts w:ascii="Times New Roman" w:hAnsi="Times New Roman" w:cs="Times New Roman" w:eastAsia="Times New Roman" w:hint="default"/>
                <w:sz w:val="18"/>
                <w:szCs w:val="18"/>
              </w:rPr>
              <w:t>NGS/</w:t>
            </w:r>
            <w:r>
              <w:rPr>
                <w:rFonts w:ascii="宋体" w:hAnsi="宋体" w:cs="宋体" w:eastAsia="宋体" w:hint="default"/>
                <w:sz w:val="18"/>
                <w:szCs w:val="18"/>
              </w:rPr>
              <w:t>高通量测序）</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4" w:right="152"/>
              <w:jc w:val="left"/>
              <w:rPr>
                <w:rFonts w:ascii="宋体" w:hAnsi="宋体" w:cs="宋体" w:eastAsia="宋体" w:hint="default"/>
                <w:sz w:val="18"/>
                <w:szCs w:val="18"/>
              </w:rPr>
            </w:pPr>
            <w:r>
              <w:rPr>
                <w:rFonts w:ascii="宋体" w:hAnsi="宋体" w:cs="宋体" w:eastAsia="宋体" w:hint="default"/>
                <w:sz w:val="18"/>
                <w:szCs w:val="18"/>
              </w:rPr>
              <w:t>相对于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Sanger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测序，也称</w:t>
            </w:r>
            <w:r>
              <w:rPr>
                <w:rFonts w:ascii="Times New Roman" w:hAnsi="Times New Roman" w:cs="Times New Roman" w:eastAsia="Times New Roman" w:hint="default"/>
                <w:sz w:val="18"/>
                <w:szCs w:val="18"/>
              </w:rPr>
              <w:t>"</w:t>
            </w:r>
            <w:r>
              <w:rPr>
                <w:rFonts w:ascii="宋体" w:hAnsi="宋体" w:cs="宋体" w:eastAsia="宋体" w:hint="default"/>
                <w:sz w:val="18"/>
                <w:szCs w:val="18"/>
              </w:rPr>
              <w:t>下一代</w:t>
            </w:r>
            <w:r>
              <w:rPr>
                <w:rFonts w:ascii="Times New Roman" w:hAnsi="Times New Roman" w:cs="Times New Roman" w:eastAsia="Times New Roman" w:hint="default"/>
                <w:sz w:val="18"/>
                <w:szCs w:val="18"/>
              </w:rPr>
              <w:t>"</w:t>
            </w:r>
            <w:r>
              <w:rPr>
                <w:rFonts w:ascii="宋体" w:hAnsi="宋体" w:cs="宋体" w:eastAsia="宋体" w:hint="default"/>
                <w:sz w:val="18"/>
                <w:szCs w:val="18"/>
              </w:rPr>
              <w:t>测序技术，以能一次并行对几十 万到几百万条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分子进行序列测定和一般读长较短等为标志。</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InDel</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57"/>
              <w:jc w:val="left"/>
              <w:rPr>
                <w:rFonts w:ascii="宋体" w:hAnsi="宋体" w:cs="宋体" w:eastAsia="宋体" w:hint="default"/>
                <w:sz w:val="18"/>
                <w:szCs w:val="18"/>
              </w:rPr>
            </w:pPr>
            <w:r>
              <w:rPr>
                <w:rFonts w:ascii="宋体" w:hAnsi="宋体" w:cs="宋体" w:eastAsia="宋体" w:hint="default"/>
                <w:spacing w:val="-3"/>
                <w:w w:val="100"/>
                <w:sz w:val="18"/>
                <w:szCs w:val="18"/>
              </w:rPr>
              <w:t>插入</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缺失突变的英文简写（</w:t>
            </w:r>
            <w:r>
              <w:rPr>
                <w:rFonts w:ascii="Times New Roman" w:hAnsi="Times New Roman" w:cs="Times New Roman" w:eastAsia="Times New Roman" w:hint="default"/>
                <w:spacing w:val="-3"/>
                <w:w w:val="100"/>
                <w:sz w:val="18"/>
                <w:szCs w:val="18"/>
              </w:rPr>
              <w:t>Insertion/Deletion</w:t>
            </w:r>
            <w:r>
              <w:rPr>
                <w:rFonts w:ascii="宋体" w:hAnsi="宋体" w:cs="宋体" w:eastAsia="宋体" w:hint="default"/>
                <w:spacing w:val="-3"/>
                <w:w w:val="100"/>
                <w:sz w:val="18"/>
                <w:szCs w:val="18"/>
              </w:rPr>
              <w:t>），是指由于碱基插入</w:t>
            </w:r>
            <w:r>
              <w:rPr>
                <w:rFonts w:ascii="宋体" w:hAnsi="宋体" w:cs="宋体" w:eastAsia="宋体" w:hint="default"/>
                <w:spacing w:val="-60"/>
                <w:w w:val="100"/>
                <w:sz w:val="18"/>
                <w:szCs w:val="18"/>
              </w:rPr>
              <w:t> </w:t>
            </w:r>
            <w:r>
              <w:rPr>
                <w:rFonts w:ascii="宋体" w:hAnsi="宋体" w:cs="宋体" w:eastAsia="宋体" w:hint="default"/>
                <w:spacing w:val="-60"/>
                <w:w w:val="100"/>
                <w:sz w:val="18"/>
                <w:szCs w:val="18"/>
              </w:rPr>
            </w:r>
            <w:r>
              <w:rPr>
                <w:rFonts w:ascii="宋体" w:hAnsi="宋体" w:cs="宋体" w:eastAsia="宋体" w:hint="default"/>
                <w:sz w:val="18"/>
                <w:szCs w:val="18"/>
              </w:rPr>
              <w:t>或者缺失造成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序列的变化。基因组的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InDel </w:t>
            </w:r>
            <w:r>
              <w:rPr>
                <w:rFonts w:ascii="宋体" w:hAnsi="宋体" w:cs="宋体" w:eastAsia="宋体" w:hint="default"/>
                <w:sz w:val="18"/>
                <w:szCs w:val="18"/>
              </w:rPr>
              <w:t>突变可产生多态 性，也可能导致遗传性疾病。</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HLA</w:t>
            </w:r>
            <w:r>
              <w:rPr>
                <w:rFonts w:ascii="宋体" w:hAnsi="宋体" w:cs="宋体" w:eastAsia="宋体" w:hint="default"/>
                <w:sz w:val="18"/>
                <w:szCs w:val="18"/>
              </w:rPr>
              <w:t>（</w:t>
            </w:r>
            <w:r>
              <w:rPr>
                <w:rFonts w:ascii="Times New Roman" w:hAnsi="Times New Roman" w:cs="Times New Roman" w:eastAsia="Times New Roman" w:hint="default"/>
                <w:sz w:val="18"/>
                <w:szCs w:val="18"/>
              </w:rPr>
              <w:t>human leukocyte</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antigen</w:t>
            </w:r>
            <w:r>
              <w:rPr>
                <w:rFonts w:ascii="宋体" w:hAnsi="宋体" w:cs="宋体" w:eastAsia="宋体"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是人类白细胞抗原的英文，是具有高度多态性的同种异体抗原，其 化学本质为一类糖蛋白，由一条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α</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重链（被糖基化的）和一条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β </w:t>
            </w:r>
            <w:r>
              <w:rPr>
                <w:rFonts w:ascii="宋体" w:hAnsi="宋体" w:cs="宋体" w:eastAsia="宋体" w:hint="default"/>
                <w:sz w:val="18"/>
                <w:szCs w:val="18"/>
              </w:rPr>
              <w:t>轻 链非共价结合而成。其肽链的氨基端向外（约占整个分子的</w:t>
            </w:r>
            <w:r>
              <w:rPr>
                <w:rFonts w:ascii="宋体" w:hAnsi="宋体" w:cs="宋体" w:eastAsia="宋体" w:hint="default"/>
                <w:spacing w:val="-44"/>
                <w:sz w:val="18"/>
                <w:szCs w:val="18"/>
              </w:rPr>
              <w:t> </w:t>
            </w:r>
            <w:r>
              <w:rPr>
                <w:rFonts w:ascii="Times New Roman" w:hAnsi="Times New Roman" w:cs="Times New Roman" w:eastAsia="Times New Roman" w:hint="default"/>
                <w:spacing w:val="-37"/>
                <w:w w:val="100"/>
                <w:sz w:val="18"/>
                <w:szCs w:val="18"/>
              </w:rPr>
              <w:t>3/4</w:t>
            </w:r>
            <w:r>
              <w:rPr>
                <w:rFonts w:ascii="宋体" w:hAnsi="宋体" w:cs="宋体" w:eastAsia="宋体" w:hint="default"/>
                <w:spacing w:val="-37"/>
                <w:w w:val="100"/>
                <w:sz w:val="18"/>
                <w:szCs w:val="18"/>
              </w:rPr>
              <w:t>），</w:t>
            </w:r>
            <w:r>
              <w:rPr>
                <w:rFonts w:ascii="宋体" w:hAnsi="宋体" w:cs="宋体" w:eastAsia="宋体" w:hint="default"/>
                <w:spacing w:val="-88"/>
                <w:w w:val="100"/>
                <w:sz w:val="18"/>
                <w:szCs w:val="18"/>
              </w:rPr>
              <w:t> </w:t>
            </w:r>
            <w:r>
              <w:rPr>
                <w:rFonts w:ascii="宋体" w:hAnsi="宋体" w:cs="宋体" w:eastAsia="宋体" w:hint="default"/>
                <w:sz w:val="18"/>
                <w:szCs w:val="18"/>
              </w:rPr>
              <w:t>羧基端穿入细胞质，中间疏水部分在胞膜中。</w:t>
            </w:r>
            <w:r>
              <w:rPr>
                <w:rFonts w:ascii="Times New Roman" w:hAnsi="Times New Roman" w:cs="Times New Roman" w:eastAsia="Times New Roman" w:hint="default"/>
                <w:sz w:val="18"/>
                <w:szCs w:val="18"/>
              </w:rPr>
              <w:t>HLA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按其分布和功能 分为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 </w:t>
            </w:r>
            <w:r>
              <w:rPr>
                <w:rFonts w:ascii="宋体" w:hAnsi="宋体" w:cs="宋体" w:eastAsia="宋体" w:hint="default"/>
                <w:sz w:val="18"/>
                <w:szCs w:val="18"/>
              </w:rPr>
              <w:t>类抗原和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II </w:t>
            </w:r>
            <w:r>
              <w:rPr>
                <w:rFonts w:ascii="宋体" w:hAnsi="宋体" w:cs="宋体" w:eastAsia="宋体" w:hint="default"/>
                <w:sz w:val="18"/>
                <w:szCs w:val="18"/>
              </w:rPr>
              <w:t>类抗原。</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HiSeq</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IIIumina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HiSeq</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系列测序仪，是二代测序技术的经典测序仪器型 号。</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00"/>
              <w:jc w:val="left"/>
              <w:rPr>
                <w:rFonts w:ascii="宋体" w:hAnsi="宋体" w:cs="宋体" w:eastAsia="宋体" w:hint="default"/>
                <w:sz w:val="18"/>
                <w:szCs w:val="18"/>
              </w:rPr>
            </w:pPr>
            <w:r>
              <w:rPr>
                <w:rFonts w:ascii="宋体" w:hAnsi="宋体" w:cs="宋体" w:eastAsia="宋体" w:hint="default"/>
                <w:sz w:val="18"/>
                <w:szCs w:val="18"/>
              </w:rPr>
              <w:t>无创产前基因检测</w:t>
            </w:r>
            <w:r>
              <w:rPr>
                <w:rFonts w:ascii="Times New Roman" w:hAnsi="Times New Roman" w:cs="Times New Roman" w:eastAsia="Times New Roman" w:hint="default"/>
                <w:sz w:val="18"/>
                <w:szCs w:val="18"/>
              </w:rPr>
              <w:t>/</w:t>
            </w:r>
            <w:r>
              <w:rPr>
                <w:rFonts w:ascii="宋体" w:hAnsi="宋体" w:cs="宋体" w:eastAsia="宋体" w:hint="default"/>
                <w:sz w:val="18"/>
                <w:szCs w:val="18"/>
              </w:rPr>
              <w:t>胎儿染色体非整倍体检 测（</w:t>
            </w:r>
            <w:r>
              <w:rPr>
                <w:rFonts w:ascii="Times New Roman" w:hAnsi="Times New Roman" w:cs="Times New Roman" w:eastAsia="Times New Roman" w:hint="default"/>
                <w:sz w:val="18"/>
                <w:szCs w:val="18"/>
              </w:rPr>
              <w:t>NIFTY</w:t>
            </w:r>
            <w:r>
              <w:rPr>
                <w:rFonts w:ascii="宋体" w:hAnsi="宋体" w:cs="宋体" w:eastAsia="宋体"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30"/>
              <w:jc w:val="left"/>
              <w:rPr>
                <w:rFonts w:ascii="宋体" w:hAnsi="宋体" w:cs="宋体" w:eastAsia="宋体" w:hint="default"/>
                <w:sz w:val="18"/>
                <w:szCs w:val="18"/>
              </w:rPr>
            </w:pPr>
            <w:r>
              <w:rPr>
                <w:rFonts w:ascii="宋体" w:hAnsi="宋体" w:cs="宋体" w:eastAsia="宋体" w:hint="default"/>
                <w:sz w:val="18"/>
                <w:szCs w:val="18"/>
              </w:rPr>
              <w:t>又称非侵入式检测，即通过采集孕妇外周血、提取游离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的方 法，获得胎儿患病风险的信息。</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人乳头瘤病毒（</w:t>
            </w:r>
            <w:r>
              <w:rPr>
                <w:rFonts w:ascii="Times New Roman" w:hAnsi="Times New Roman" w:cs="Times New Roman" w:eastAsia="Times New Roman" w:hint="default"/>
                <w:sz w:val="18"/>
                <w:szCs w:val="18"/>
              </w:rPr>
              <w:t>HPV</w:t>
            </w:r>
            <w:r>
              <w:rPr>
                <w:rFonts w:ascii="宋体" w:hAnsi="宋体" w:cs="宋体" w:eastAsia="宋体"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1"/>
              <w:jc w:val="left"/>
              <w:rPr>
                <w:rFonts w:ascii="宋体" w:hAnsi="宋体" w:cs="宋体" w:eastAsia="宋体" w:hint="default"/>
                <w:sz w:val="18"/>
                <w:szCs w:val="18"/>
              </w:rPr>
            </w:pPr>
            <w:r>
              <w:rPr>
                <w:rFonts w:ascii="宋体" w:hAnsi="宋体" w:cs="宋体" w:eastAsia="宋体" w:hint="default"/>
                <w:sz w:val="18"/>
                <w:szCs w:val="18"/>
              </w:rPr>
              <w:t>是一种属于乳多空病毒科的乳头瘤空泡病毒</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属，是球形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病 毒，能引起人体皮肤黏膜的鳞状上皮增殖。</w:t>
            </w:r>
          </w:p>
        </w:tc>
      </w:tr>
    </w:tbl>
    <w:p>
      <w:pPr>
        <w:spacing w:after="0" w:line="30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141"/>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1"/>
        <w:jc w:val="left"/>
        <w:rPr>
          <w:b w:val="0"/>
          <w:bCs w:val="0"/>
        </w:rPr>
      </w:pP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2283"/>
        <w:gridCol w:w="2955"/>
        <w:gridCol w:w="2155"/>
        <w:gridCol w:w="2177"/>
      </w:tblGrid>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华大基因</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300676</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深圳华大基因股份有限公司</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华大基因</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 w:right="0"/>
              <w:jc w:val="left"/>
              <w:rPr>
                <w:rFonts w:ascii="Times New Roman" w:hAnsi="Times New Roman" w:cs="Times New Roman" w:eastAsia="Times New Roman" w:hint="default"/>
                <w:sz w:val="18"/>
                <w:szCs w:val="18"/>
              </w:rPr>
            </w:pPr>
            <w:r>
              <w:rPr>
                <w:rFonts w:ascii="Times New Roman"/>
                <w:sz w:val="18"/>
              </w:rPr>
              <w:t>BGI Genomics</w:t>
            </w:r>
            <w:r>
              <w:rPr>
                <w:rFonts w:ascii="Times New Roman"/>
                <w:spacing w:val="-7"/>
                <w:sz w:val="18"/>
              </w:rPr>
              <w:t> </w:t>
            </w:r>
            <w:r>
              <w:rPr>
                <w:rFonts w:ascii="Times New Roman"/>
                <w:sz w:val="18"/>
              </w:rPr>
              <w:t>Co.,Ltd.</w:t>
            </w:r>
          </w:p>
        </w:tc>
      </w:tr>
      <w:tr>
        <w:trPr>
          <w:trHeight w:val="715"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67"/>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BGI</w:t>
            </w:r>
            <w:r>
              <w:rPr>
                <w:rFonts w:ascii="Times New Roman"/>
                <w:spacing w:val="-5"/>
                <w:sz w:val="18"/>
              </w:rPr>
              <w:t> </w:t>
            </w:r>
            <w:r>
              <w:rPr>
                <w:rFonts w:ascii="Times New Roman"/>
                <w:sz w:val="18"/>
              </w:rPr>
              <w:t>Genomics</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尹烨</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深圳市盐田区洪安三街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号华大综合园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层</w:t>
            </w:r>
            <w:r>
              <w:rPr>
                <w:rFonts w:ascii="Times New Roman" w:hAnsi="Times New Roman" w:cs="Times New Roman" w:eastAsia="Times New Roman" w:hint="default"/>
                <w:sz w:val="18"/>
                <w:szCs w:val="18"/>
              </w:rPr>
              <w:t>-14 </w:t>
            </w:r>
            <w:r>
              <w:rPr>
                <w:rFonts w:ascii="宋体" w:hAnsi="宋体" w:cs="宋体" w:eastAsia="宋体" w:hint="default"/>
                <w:sz w:val="18"/>
                <w:szCs w:val="18"/>
              </w:rPr>
              <w:t>层</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518083</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深圳市盐田区洪安三街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号华大综合园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层</w:t>
            </w:r>
            <w:r>
              <w:rPr>
                <w:rFonts w:ascii="Times New Roman" w:hAnsi="Times New Roman" w:cs="Times New Roman" w:eastAsia="Times New Roman" w:hint="default"/>
                <w:sz w:val="18"/>
                <w:szCs w:val="18"/>
              </w:rPr>
              <w:t>-14 </w:t>
            </w:r>
            <w:r>
              <w:rPr>
                <w:rFonts w:ascii="宋体" w:hAnsi="宋体" w:cs="宋体" w:eastAsia="宋体" w:hint="default"/>
                <w:sz w:val="18"/>
                <w:szCs w:val="18"/>
              </w:rPr>
              <w:t>层</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518083</w:t>
            </w:r>
          </w:p>
        </w:tc>
      </w:tr>
      <w:tr>
        <w:trPr>
          <w:trHeight w:val="404"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hyperlink r:id="rId10">
              <w:r>
                <w:rPr>
                  <w:rFonts w:ascii="Times New Roman"/>
                  <w:sz w:val="18"/>
                </w:rPr>
                <w:t>http://www.bgi.com</w:t>
              </w:r>
            </w:hyperlink>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hyperlink r:id="rId11">
              <w:r>
                <w:rPr>
                  <w:rFonts w:ascii="Times New Roman"/>
                  <w:sz w:val="18"/>
                </w:rPr>
                <w:t>ir@bgi.com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141"/>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徐茜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敖莉萍</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深圳市盐田区洪安三街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号华大综合</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层</w:t>
            </w:r>
            <w:r>
              <w:rPr>
                <w:rFonts w:ascii="Times New Roman" w:hAnsi="Times New Roman" w:cs="Times New Roman" w:eastAsia="Times New Roman" w:hint="default"/>
                <w:sz w:val="18"/>
                <w:szCs w:val="18"/>
              </w:rPr>
              <w:t>-14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深圳市盐田区洪安三街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号华大综合</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层</w:t>
            </w:r>
            <w:r>
              <w:rPr>
                <w:rFonts w:ascii="Times New Roman" w:hAnsi="Times New Roman" w:cs="Times New Roman" w:eastAsia="Times New Roman" w:hint="default"/>
                <w:sz w:val="18"/>
                <w:szCs w:val="18"/>
              </w:rPr>
              <w:t>-14 </w:t>
            </w:r>
            <w:r>
              <w:rPr>
                <w:rFonts w:ascii="宋体" w:hAnsi="宋体" w:cs="宋体" w:eastAsia="宋体" w:hint="default"/>
                <w:sz w:val="18"/>
                <w:szCs w:val="18"/>
              </w:rPr>
              <w:t>层</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0755-36307065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0755-36307065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0755-36307035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0755-36307035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ir@bgi.com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ir@bgi.com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141"/>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992"/>
        <w:gridCol w:w="5576"/>
      </w:tblGrid>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3"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2"/>
                <w:sz w:val="18"/>
                <w:szCs w:val="18"/>
              </w:rPr>
              <w:t> </w:t>
            </w:r>
            <w:hyperlink r:id="rId9">
              <w:r>
                <w:rPr>
                  <w:rFonts w:ascii="Times New Roman" w:hAnsi="Times New Roman" w:cs="Times New Roman" w:eastAsia="Times New Roman" w:hint="default"/>
                  <w:sz w:val="18"/>
                  <w:szCs w:val="18"/>
                </w:rPr>
                <w:t>http://www.cninfo.com.cn</w:t>
              </w:r>
            </w:hyperlink>
          </w:p>
        </w:tc>
      </w:tr>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公司证券部办公室</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41"/>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1"/>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663"/>
        <w:gridCol w:w="6906"/>
      </w:tblGrid>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北京市东城区东长安街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号东方广场安永大楼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01-12 </w:t>
            </w:r>
            <w:r>
              <w:rPr>
                <w:rFonts w:ascii="宋体" w:hAnsi="宋体" w:cs="宋体" w:eastAsia="宋体" w:hint="default"/>
                <w:sz w:val="18"/>
                <w:szCs w:val="18"/>
              </w:rPr>
              <w:t>室</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李剑光、邓冬梅</w:t>
            </w:r>
          </w:p>
        </w:tc>
      </w:tr>
    </w:tbl>
    <w:p>
      <w:pPr>
        <w:pStyle w:val="BodyText"/>
        <w:spacing w:line="240" w:lineRule="auto" w:before="51"/>
        <w:ind w:right="141"/>
        <w:jc w:val="left"/>
      </w:pPr>
      <w:r>
        <w:rPr/>
        <w:t>公司聘请的报告期内履行持续督导职责的保荐机构</w:t>
      </w:r>
    </w:p>
    <w:p>
      <w:pPr>
        <w:pStyle w:val="BodyText"/>
        <w:spacing w:line="240" w:lineRule="auto" w:before="115"/>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6" w:right="195"/>
              <w:jc w:val="left"/>
              <w:rPr>
                <w:rFonts w:ascii="宋体" w:hAnsi="宋体" w:cs="宋体" w:eastAsia="宋体" w:hint="default"/>
                <w:sz w:val="18"/>
                <w:szCs w:val="18"/>
              </w:rPr>
            </w:pPr>
            <w:r>
              <w:rPr>
                <w:rFonts w:ascii="宋体" w:hAnsi="宋体" w:cs="宋体" w:eastAsia="宋体" w:hint="default"/>
                <w:sz w:val="18"/>
                <w:szCs w:val="18"/>
              </w:rPr>
              <w:t>广东省深圳市福田区中心三 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号中信证券大厦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路明、焦延延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141"/>
        <w:jc w:val="left"/>
      </w:pPr>
      <w:r>
        <w:rPr/>
        <w:t>公司聘请的报告期内履行持续督导职责的财务顾问</w:t>
      </w:r>
    </w:p>
    <w:p>
      <w:pPr>
        <w:pStyle w:val="BodyText"/>
        <w:spacing w:line="240" w:lineRule="auto" w:before="115"/>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1"/>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1"/>
        <w:jc w:val="left"/>
      </w:pPr>
      <w:r>
        <w:rPr/>
        <w:t>公司是否需追溯调整或重述以前年度会计数据</w:t>
      </w:r>
    </w:p>
    <w:p>
      <w:pPr>
        <w:pStyle w:val="BodyText"/>
        <w:spacing w:line="240" w:lineRule="auto" w:before="117"/>
        <w:ind w:right="1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2,095,544,271.44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1,711,498,253.66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1,318,703,623.66</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398,091,510.29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332,690,944.77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262,099,904.34</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319,933,545.42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237,357,092.83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184,797,930.56</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226,570,847.98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234,073,624.17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328,682,815.42</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0.77</w:t>
            </w:r>
          </w:p>
        </w:tc>
      </w:tr>
      <w:tr>
        <w:trPr>
          <w:trHeight w:val="40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0.77</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9.20%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5,111,813,147.52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4,230,094,229.85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3,910,856,831.59</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4,148,624,622.62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3,359,761,999.47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3,095,017,772.66</w:t>
            </w:r>
          </w:p>
        </w:tc>
      </w:tr>
    </w:tbl>
    <w:p>
      <w:pPr>
        <w:spacing w:line="240" w:lineRule="auto" w:before="3"/>
        <w:rPr>
          <w:rFonts w:ascii="宋体" w:hAnsi="宋体" w:cs="宋体" w:eastAsia="宋体" w:hint="default"/>
          <w:sz w:val="18"/>
          <w:szCs w:val="18"/>
        </w:rPr>
      </w:pPr>
    </w:p>
    <w:p>
      <w:pPr>
        <w:pStyle w:val="Heading2"/>
        <w:spacing w:line="240" w:lineRule="auto" w:before="26"/>
        <w:ind w:right="141"/>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621"/>
        <w:gridCol w:w="1741"/>
        <w:gridCol w:w="1738"/>
        <w:gridCol w:w="1741"/>
        <w:gridCol w:w="1730"/>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2621"/>
        <w:gridCol w:w="1741"/>
        <w:gridCol w:w="1738"/>
        <w:gridCol w:w="1741"/>
        <w:gridCol w:w="1730"/>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387,841,682.06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500,388,693.26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558,460,020.50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648,853,875.62</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94,416,310.37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96,644,225.60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121,365,273.07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85,665,701.25</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76,503,466.68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86,763,899.86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101,526,140.74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55,140,038.14</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-59,389,554.96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94,964,754.89</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44,256,457.66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146,739,190.39</w:t>
            </w:r>
          </w:p>
        </w:tc>
      </w:tr>
    </w:tbl>
    <w:p>
      <w:pPr>
        <w:pStyle w:val="BodyText"/>
        <w:spacing w:line="240" w:lineRule="auto" w:before="51"/>
        <w:ind w:right="141"/>
        <w:jc w:val="left"/>
      </w:pPr>
      <w:r>
        <w:rPr/>
        <w:t>上述财务指标或其加总数是否与公司已披露季度报告、半年度报告相关财务指标存在重大差异</w:t>
      </w:r>
    </w:p>
    <w:p>
      <w:pPr>
        <w:pStyle w:val="BodyText"/>
        <w:spacing w:line="240" w:lineRule="auto" w:before="115"/>
        <w:ind w:right="1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41"/>
        <w:jc w:val="left"/>
        <w:rPr>
          <w:b w:val="0"/>
          <w:bCs w:val="0"/>
        </w:rPr>
      </w:pPr>
      <w:r>
        <w:rPr/>
        <w:t>七、境内外会计准则下会计数据差异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141"/>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141"/>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296"/>
        <w:gridCol w:w="1519"/>
        <w:gridCol w:w="1522"/>
        <w:gridCol w:w="1522"/>
        <w:gridCol w:w="1709"/>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-1,274,044.68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12,648,799.07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-2,238,838.99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32,043,629.59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34,412,524.63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20,454,988.79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68,654,207.02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72,475,891.23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66,223,812.49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19" w:type="dxa"/>
            <w:tcBorders>
              <w:top w:val="single" w:sz="4" w:space="0" w:color="000000"/>
              <w:left w:val="single" w:sz="9" w:space="0" w:color="D2D2D2"/>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5,387,098.83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1,587,462.97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3,934,451.66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594,830.36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-9,837,215.53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-5,398,306.17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2,214,190.65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12,002,806.82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20,081,316.51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12,299,221.23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1,013,267.68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2,658,191.97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3,034,887.12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78,157,964.87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95,333,851.94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77,301,973.78</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1"/>
        <w:jc w:val="left"/>
      </w:pPr>
      <w:r>
        <w:rPr/>
        <w:t>对公司根据《公开发行证券的公司信息披露解释性公告第</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非经常性损益》定义界定的非经常性损益项目，以及把</w:t>
      </w:r>
    </w:p>
    <w:p>
      <w:pPr>
        <w:spacing w:after="0" w:line="240" w:lineRule="auto"/>
        <w:jc w:val="left"/>
        <w:sectPr>
          <w:pgSz w:w="11910" w:h="16840"/>
          <w:pgMar w:header="748" w:footer="974" w:top="1060" w:bottom="1160" w:left="980" w:right="980"/>
        </w:sectPr>
      </w:pPr>
    </w:p>
    <w:p>
      <w:pPr>
        <w:spacing w:line="240" w:lineRule="auto" w:before="10"/>
        <w:rPr>
          <w:rFonts w:ascii="宋体" w:hAnsi="宋体" w:cs="宋体" w:eastAsia="宋体" w:hint="default"/>
          <w:sz w:val="25"/>
          <w:szCs w:val="25"/>
        </w:rPr>
      </w:pPr>
    </w:p>
    <w:p>
      <w:pPr>
        <w:pStyle w:val="BodyText"/>
        <w:spacing w:line="300" w:lineRule="auto" w:before="44"/>
        <w:ind w:right="236"/>
        <w:jc w:val="left"/>
      </w:pPr>
      <w:r>
        <w:rPr/>
        <w:t>《公开发行证券的公司信息披露解释性公告第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非经常性损益》中列举的非经常性损益项目界定为经常性损益的项 目，应说明原因</w:t>
      </w:r>
    </w:p>
    <w:p>
      <w:pPr>
        <w:pStyle w:val="BodyText"/>
        <w:spacing w:line="240" w:lineRule="auto" w:before="72"/>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236"/>
        <w:jc w:val="left"/>
      </w:pPr>
      <w:r>
        <w:rPr/>
        <w:t>公司报告期不存在将根据《公开发行证券的公司信息披露解释性公告第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非经常性损益》定义、列举的非经常性损 益项目界定为经常性损益的项目的情形。</w:t>
      </w:r>
    </w:p>
    <w:p>
      <w:pPr>
        <w:spacing w:after="0" w:line="300" w:lineRule="auto"/>
        <w:jc w:val="left"/>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2866" w:right="254"/>
        <w:jc w:val="left"/>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142"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142" w:right="5564"/>
        <w:jc w:val="left"/>
      </w:pPr>
      <w:r>
        <w:rPr/>
        <w:t>公司是否需要遵守特殊行业的披露要求 是</w:t>
      </w:r>
    </w:p>
    <w:p>
      <w:pPr>
        <w:pStyle w:val="BodyText"/>
        <w:spacing w:line="240" w:lineRule="auto" w:before="25"/>
        <w:ind w:left="142" w:right="0"/>
        <w:jc w:val="both"/>
      </w:pPr>
      <w:r>
        <w:rPr/>
        <w:t>医疗器械业</w:t>
      </w:r>
    </w:p>
    <w:p>
      <w:pPr>
        <w:pStyle w:val="BodyText"/>
        <w:spacing w:line="300" w:lineRule="auto" w:before="117"/>
        <w:ind w:left="142" w:right="254"/>
        <w:jc w:val="left"/>
      </w:pPr>
      <w:r>
        <w:rPr/>
        <w:t>公司需遵守《深圳证券交易所创业板行业信息披露指引第</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 求</w:t>
      </w:r>
    </w:p>
    <w:p>
      <w:pPr>
        <w:pStyle w:val="BodyText"/>
        <w:spacing w:line="430" w:lineRule="exact" w:before="20"/>
        <w:ind w:left="501" w:right="128" w:hanging="89"/>
        <w:jc w:val="left"/>
      </w:pPr>
      <w:r>
        <w:rPr>
          <w:rFonts w:ascii="宋体" w:hAnsi="宋体" w:cs="宋体" w:eastAsia="宋体" w:hint="default"/>
          <w:b/>
          <w:bCs/>
        </w:rPr>
        <w:t>（一）主要业务</w:t>
      </w:r>
      <w:r>
        <w:rPr>
          <w:rFonts w:ascii="宋体" w:hAnsi="宋体" w:cs="宋体" w:eastAsia="宋体" w:hint="default"/>
          <w:b/>
          <w:bCs/>
          <w:w w:val="99"/>
        </w:rPr>
        <w:t> </w:t>
      </w:r>
      <w:r>
        <w:rPr/>
        <w:t>公司主营业务为通过基因检测与分析等手段，为医疗机构、科研机构、企事业单位等提供基因组学类的</w:t>
      </w:r>
    </w:p>
    <w:p>
      <w:pPr>
        <w:pStyle w:val="BodyText"/>
        <w:spacing w:line="314" w:lineRule="auto" w:before="15"/>
        <w:ind w:left="142" w:right="135"/>
        <w:jc w:val="both"/>
      </w:pPr>
      <w:r>
        <w:rPr/>
        <w:t>诊断和研究服务。华大基因秉承</w:t>
      </w:r>
      <w:r>
        <w:rPr>
          <w:rFonts w:ascii="Times New Roman" w:hAnsi="Times New Roman" w:cs="Times New Roman" w:eastAsia="Times New Roman" w:hint="default"/>
        </w:rPr>
        <w:t>“</w:t>
      </w:r>
      <w:r>
        <w:rPr/>
        <w:t>基因科技造福人类</w:t>
      </w:r>
      <w:r>
        <w:rPr>
          <w:rFonts w:ascii="Times New Roman" w:hAnsi="Times New Roman" w:cs="Times New Roman" w:eastAsia="Times New Roman" w:hint="default"/>
        </w:rPr>
        <w:t>”</w:t>
      </w:r>
      <w:r>
        <w:rPr/>
        <w:t>的愿景，以推动生命科学研究进展和提高全球医疗健康</w:t>
      </w:r>
      <w:r>
        <w:rPr>
          <w:spacing w:val="-34"/>
        </w:rPr>
        <w:t> </w:t>
      </w:r>
      <w:r>
        <w:rPr>
          <w:spacing w:val="-34"/>
        </w:rPr>
      </w:r>
      <w:r>
        <w:rPr/>
        <w:t>水平为出发点，基于基因领域研究成果及生物技术在民生健康方面的应用，进行科研和产业布局，致力于加</w:t>
      </w:r>
      <w:r>
        <w:rPr>
          <w:spacing w:val="-57"/>
        </w:rPr>
        <w:t> </w:t>
      </w:r>
      <w:r>
        <w:rPr>
          <w:spacing w:val="-57"/>
        </w:rPr>
      </w:r>
      <w:r>
        <w:rPr/>
        <w:t>速科学创新，减少出生缺陷，加强肿瘤防控，抑制重大疾病对人类的危害，实现精准治愈感染，助力精准医</w:t>
      </w:r>
      <w:r>
        <w:rPr>
          <w:spacing w:val="-57"/>
        </w:rPr>
        <w:t> </w:t>
      </w:r>
      <w:r>
        <w:rPr>
          <w:spacing w:val="-57"/>
        </w:rPr>
      </w:r>
      <w:r>
        <w:rPr>
          <w:spacing w:val="-3"/>
        </w:rPr>
        <w:t>学。公司依托世界领先的生物信息研发、转化和应用平台，上百台高性能的测序仪、质谱仪和大型计算机，为</w:t>
      </w:r>
      <w:r>
        <w:rPr>
          <w:spacing w:val="-83"/>
        </w:rPr>
        <w:t> </w:t>
      </w:r>
      <w:r>
        <w:rPr>
          <w:spacing w:val="-83"/>
        </w:rPr>
      </w:r>
      <w:r>
        <w:rPr>
          <w:spacing w:val="-3"/>
        </w:rPr>
        <w:t>数据的输出、存储、分析提供有力保障。公司总部位于中国深圳，在北京、</w:t>
      </w:r>
      <w:r>
        <w:rPr>
          <w:spacing w:val="3"/>
        </w:rPr>
        <w:t> </w:t>
      </w:r>
      <w:r>
        <w:rPr/>
        <w:t>天津、</w:t>
      </w:r>
      <w:r>
        <w:rPr>
          <w:spacing w:val="1"/>
        </w:rPr>
        <w:t> </w:t>
      </w:r>
      <w:r>
        <w:rPr>
          <w:spacing w:val="-4"/>
        </w:rPr>
        <w:t>武汉、上海、广州等国内</w:t>
      </w:r>
      <w:r>
        <w:rPr>
          <w:spacing w:val="-88"/>
        </w:rPr>
        <w:t> </w:t>
      </w:r>
      <w:r>
        <w:rPr>
          <w:spacing w:val="-88"/>
        </w:rPr>
      </w:r>
      <w:r>
        <w:rPr>
          <w:spacing w:val="-3"/>
        </w:rPr>
        <w:t>主要城市设有分支机构和医学检验所，并在香港、欧洲、美洲、亚太等地区设有海外中心和核心实验室，已形</w:t>
      </w:r>
      <w:r>
        <w:rPr>
          <w:spacing w:val="-83"/>
        </w:rPr>
        <w:t> </w:t>
      </w:r>
      <w:r>
        <w:rPr>
          <w:spacing w:val="-83"/>
        </w:rPr>
      </w:r>
      <w:r>
        <w:rPr/>
        <w:t>成</w:t>
      </w:r>
      <w:r>
        <w:rPr>
          <w:rFonts w:ascii="Times New Roman" w:hAnsi="Times New Roman" w:cs="Times New Roman" w:eastAsia="Times New Roman" w:hint="default"/>
        </w:rPr>
        <w:t>“</w:t>
      </w:r>
      <w:r>
        <w:rPr/>
        <w:t>覆盖全国、辐射全球</w:t>
      </w:r>
      <w:r>
        <w:rPr>
          <w:rFonts w:ascii="Times New Roman" w:hAnsi="Times New Roman" w:cs="Times New Roman" w:eastAsia="Times New Roman" w:hint="default"/>
        </w:rPr>
        <w:t>”</w:t>
      </w:r>
      <w:r>
        <w:rPr/>
        <w:t>的网络布局。</w:t>
      </w:r>
    </w:p>
    <w:p>
      <w:pPr>
        <w:pStyle w:val="Heading4"/>
        <w:spacing w:line="240" w:lineRule="auto" w:before="124"/>
        <w:ind w:left="413" w:right="254"/>
        <w:jc w:val="left"/>
        <w:rPr>
          <w:b w:val="0"/>
          <w:bCs w:val="0"/>
        </w:rPr>
      </w:pPr>
      <w:r>
        <w:rPr/>
        <w:t>（二）主要产品</w:t>
      </w:r>
      <w:r>
        <w:rPr>
          <w:b w:val="0"/>
          <w:bCs w:val="0"/>
        </w:rPr>
      </w:r>
    </w:p>
    <w:p>
      <w:pPr>
        <w:spacing w:line="240" w:lineRule="auto" w:before="11"/>
        <w:rPr>
          <w:rFonts w:ascii="宋体" w:hAnsi="宋体" w:cs="宋体" w:eastAsia="宋体" w:hint="default"/>
          <w:b/>
          <w:bCs/>
          <w:sz w:val="14"/>
          <w:szCs w:val="14"/>
        </w:rPr>
      </w:pPr>
    </w:p>
    <w:p>
      <w:pPr>
        <w:pStyle w:val="Heading4"/>
        <w:spacing w:line="240" w:lineRule="auto" w:before="0"/>
        <w:ind w:left="501" w:right="254"/>
        <w:jc w:val="left"/>
        <w:rPr>
          <w:b w:val="0"/>
          <w:bCs w:val="0"/>
        </w:rPr>
      </w:pPr>
      <w:r>
        <w:rPr>
          <w:rFonts w:ascii="Times New Roman" w:hAnsi="Times New Roman" w:cs="Times New Roman" w:eastAsia="Times New Roman" w:hint="default"/>
        </w:rPr>
        <w:t>1</w:t>
      </w:r>
      <w:r>
        <w:rPr/>
        <w:t>、生育健康基础研究和临床应用服务</w:t>
      </w:r>
      <w:r>
        <w:rPr>
          <w:b w:val="0"/>
          <w:bCs w:val="0"/>
        </w:rPr>
      </w:r>
    </w:p>
    <w:p>
      <w:pPr>
        <w:pStyle w:val="BodyText"/>
        <w:spacing w:line="430" w:lineRule="atLeast" w:before="4"/>
        <w:ind w:left="501" w:right="128"/>
        <w:jc w:val="left"/>
      </w:pPr>
      <w:r>
        <w:rPr/>
        <w:t>（</w:t>
      </w:r>
      <w:r>
        <w:rPr>
          <w:rFonts w:ascii="Times New Roman" w:hAnsi="Times New Roman" w:cs="Times New Roman" w:eastAsia="Times New Roman" w:hint="default"/>
        </w:rPr>
        <w:t>1</w:t>
      </w:r>
      <w:r>
        <w:rPr/>
        <w:t>）业务概述 我国目前的出生缺陷发生率高达</w:t>
      </w:r>
      <w:r>
        <w:rPr>
          <w:rFonts w:ascii="Times New Roman" w:hAnsi="Times New Roman" w:cs="Times New Roman" w:eastAsia="Times New Roman" w:hint="default"/>
        </w:rPr>
        <w:t>5.6%</w:t>
      </w:r>
      <w:r>
        <w:rPr/>
        <w:t>，其中遗传性疾病是导致出生缺陷的重要原因，其种类包括染色体</w:t>
      </w:r>
    </w:p>
    <w:p>
      <w:pPr>
        <w:pStyle w:val="BodyText"/>
        <w:spacing w:line="314" w:lineRule="auto" w:before="63"/>
        <w:ind w:left="142" w:right="136"/>
        <w:jc w:val="both"/>
      </w:pPr>
      <w:r>
        <w:rPr>
          <w:spacing w:val="-1"/>
        </w:rPr>
        <w:t>结构和数目异常、微缺失</w:t>
      </w:r>
      <w:r>
        <w:rPr>
          <w:rFonts w:ascii="Times New Roman" w:hAnsi="Times New Roman" w:cs="Times New Roman" w:eastAsia="Times New Roman" w:hint="default"/>
          <w:spacing w:val="-1"/>
        </w:rPr>
        <w:t>/</w:t>
      </w:r>
      <w:r>
        <w:rPr>
          <w:spacing w:val="-1"/>
        </w:rPr>
        <w:t>微重复综合征、单基因遗传病等。华大基因生育健康基础研究和临床应用业务，致</w:t>
      </w:r>
      <w:r>
        <w:rPr>
          <w:spacing w:val="-52"/>
        </w:rPr>
        <w:t> </w:t>
      </w:r>
      <w:r>
        <w:rPr>
          <w:spacing w:val="-52"/>
        </w:rPr>
      </w:r>
      <w:r>
        <w:rPr/>
        <w:t>力于研究遗传缺陷的致病机理，并希望可以快速、准确的检测遗传病，减少出生缺陷的发生。华大基因利用</w:t>
      </w:r>
      <w:r>
        <w:rPr>
          <w:spacing w:val="-57"/>
        </w:rPr>
        <w:t> </w:t>
      </w:r>
      <w:r>
        <w:rPr>
          <w:spacing w:val="-57"/>
        </w:rPr>
      </w:r>
      <w:r>
        <w:rPr/>
        <w:t>先进的多组学和生物信息学技术对胎儿及其父母进行检测和分析，建立了基于孕妇外周血进行无创胎儿染色</w:t>
      </w:r>
      <w:r>
        <w:rPr>
          <w:spacing w:val="-57"/>
        </w:rPr>
        <w:t> </w:t>
      </w:r>
      <w:r>
        <w:rPr>
          <w:spacing w:val="-57"/>
        </w:rPr>
      </w:r>
      <w:r>
        <w:rPr/>
        <w:t>体异常检测的技术体系，并延伸至孕前夫妇遗传病携带者筛查、孕中流产查因、胎儿宫内异常查因、新生儿</w:t>
      </w:r>
      <w:r>
        <w:rPr>
          <w:spacing w:val="-57"/>
        </w:rPr>
        <w:t> </w:t>
      </w:r>
      <w:r>
        <w:rPr>
          <w:spacing w:val="-57"/>
        </w:rPr>
      </w:r>
      <w:r>
        <w:rPr>
          <w:spacing w:val="-3"/>
        </w:rPr>
        <w:t>耳聋基因检测、新生儿遗传代谢病筛查、单基因病诊断等领域，形成了贯穿婚前、孕前、产前、新生儿等整个</w:t>
      </w:r>
      <w:r>
        <w:rPr>
          <w:spacing w:val="-84"/>
        </w:rPr>
        <w:t> </w:t>
      </w:r>
      <w:r>
        <w:rPr>
          <w:spacing w:val="-84"/>
        </w:rPr>
      </w:r>
      <w:r>
        <w:rPr/>
        <w:t>生育过程的检测系列产品。</w:t>
      </w:r>
    </w:p>
    <w:p>
      <w:pPr>
        <w:pStyle w:val="BodyText"/>
        <w:spacing w:line="240" w:lineRule="auto" w:before="143"/>
        <w:ind w:left="501" w:right="254"/>
        <w:jc w:val="left"/>
      </w:pPr>
      <w:r>
        <w:rPr/>
        <w:t>（</w:t>
      </w:r>
      <w:r>
        <w:rPr>
          <w:rFonts w:ascii="Times New Roman" w:hAnsi="Times New Roman" w:cs="Times New Roman" w:eastAsia="Times New Roman" w:hint="default"/>
        </w:rPr>
        <w:t>2</w:t>
      </w:r>
      <w:r>
        <w:rPr/>
        <w:t>）具体产品介绍</w:t>
      </w:r>
    </w:p>
    <w:p>
      <w:pPr>
        <w:spacing w:line="240" w:lineRule="auto" w:before="13"/>
        <w:rPr>
          <w:rFonts w:ascii="宋体" w:hAnsi="宋体" w:cs="宋体" w:eastAsia="宋体" w:hint="default"/>
          <w:sz w:val="12"/>
          <w:szCs w:val="12"/>
        </w:rPr>
      </w:pPr>
    </w:p>
    <w:tbl>
      <w:tblPr>
        <w:tblW w:w="0" w:type="auto"/>
        <w:jc w:val="left"/>
        <w:tblInd w:w="142" w:type="dxa"/>
        <w:tblLayout w:type="fixed"/>
        <w:tblCellMar>
          <w:top w:w="0" w:type="dxa"/>
          <w:left w:w="0" w:type="dxa"/>
          <w:bottom w:w="0" w:type="dxa"/>
          <w:right w:w="0" w:type="dxa"/>
        </w:tblCellMar>
        <w:tblLook w:val="01E0"/>
      </w:tblPr>
      <w:tblGrid>
        <w:gridCol w:w="490"/>
        <w:gridCol w:w="1428"/>
        <w:gridCol w:w="3431"/>
        <w:gridCol w:w="3128"/>
      </w:tblGrid>
      <w:tr>
        <w:trPr>
          <w:trHeight w:val="360" w:hRule="exact"/>
        </w:trPr>
        <w:tc>
          <w:tcPr>
            <w:tcW w:w="49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4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345"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4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312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1025" w:hRule="exact"/>
        </w:trPr>
        <w:tc>
          <w:tcPr>
            <w:tcW w:w="4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52" w:right="53" w:hanging="5"/>
              <w:jc w:val="center"/>
              <w:rPr>
                <w:rFonts w:ascii="宋体" w:hAnsi="宋体" w:cs="宋体" w:eastAsia="宋体" w:hint="default"/>
                <w:sz w:val="18"/>
                <w:szCs w:val="18"/>
              </w:rPr>
            </w:pPr>
            <w:r>
              <w:rPr>
                <w:rFonts w:ascii="Times New Roman" w:hAnsi="Times New Roman" w:cs="Times New Roman" w:eastAsia="Times New Roman" w:hint="default"/>
                <w:sz w:val="18"/>
                <w:szCs w:val="18"/>
              </w:rPr>
              <w:t>NIFTY</w:t>
            </w:r>
            <w:r>
              <w:rPr>
                <w:rFonts w:ascii="宋体" w:hAnsi="宋体" w:cs="宋体" w:eastAsia="宋体" w:hint="default"/>
                <w:sz w:val="18"/>
                <w:szCs w:val="18"/>
              </w:rPr>
              <w:t>（无创产 前基因检测</w:t>
            </w:r>
            <w:r>
              <w:rPr>
                <w:rFonts w:ascii="Times New Roman" w:hAnsi="Times New Roman" w:cs="Times New Roman" w:eastAsia="Times New Roman" w:hint="default"/>
                <w:sz w:val="18"/>
                <w:szCs w:val="18"/>
              </w:rPr>
              <w:t>/</w:t>
            </w:r>
            <w:r>
              <w:rPr>
                <w:rFonts w:ascii="宋体" w:hAnsi="宋体" w:cs="宋体" w:eastAsia="宋体" w:hint="default"/>
                <w:sz w:val="18"/>
                <w:szCs w:val="18"/>
              </w:rPr>
              <w:t>胎儿 染色体非整倍体 检测）</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4"/>
              <w:ind w:right="107"/>
              <w:jc w:val="left"/>
              <w:rPr>
                <w:rFonts w:ascii="宋体" w:hAnsi="宋体" w:cs="宋体" w:eastAsia="宋体" w:hint="default"/>
                <w:sz w:val="18"/>
                <w:szCs w:val="18"/>
              </w:rPr>
            </w:pPr>
            <w:r>
              <w:rPr>
                <w:rFonts w:ascii="宋体" w:hAnsi="宋体" w:cs="宋体" w:eastAsia="宋体" w:hint="default"/>
                <w:sz w:val="18"/>
                <w:szCs w:val="18"/>
              </w:rPr>
              <w:t>通过采集孕妇外周血，提取游离</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DNA</w:t>
            </w:r>
            <w:r>
              <w:rPr>
                <w:rFonts w:ascii="宋体" w:hAnsi="宋体" w:cs="宋体" w:eastAsia="宋体" w:hint="default"/>
                <w:sz w:val="18"/>
                <w:szCs w:val="18"/>
              </w:rPr>
              <w:t>，采 用新一代高通量测序技术，并结合生物信 息分析，评估胎儿发生染色体非整倍体的 风险。</w:t>
            </w:r>
          </w:p>
        </w:tc>
        <w:tc>
          <w:tcPr>
            <w:tcW w:w="3128" w:type="dxa"/>
            <w:tcBorders>
              <w:top w:val="single" w:sz="4" w:space="0" w:color="000000"/>
              <w:left w:val="single" w:sz="4" w:space="0" w:color="000000"/>
              <w:bottom w:val="single" w:sz="4" w:space="0" w:color="000000"/>
              <w:right w:val="single" w:sz="12" w:space="0" w:color="000000"/>
            </w:tcBorders>
          </w:tcPr>
          <w:p>
            <w:pPr>
              <w:pStyle w:val="TableParagraph"/>
              <w:spacing w:line="232" w:lineRule="exact" w:before="35"/>
              <w:ind w:left="-1" w:right="166"/>
              <w:jc w:val="left"/>
              <w:rPr>
                <w:rFonts w:ascii="宋体" w:hAnsi="宋体" w:cs="宋体" w:eastAsia="宋体" w:hint="default"/>
                <w:sz w:val="18"/>
                <w:szCs w:val="18"/>
              </w:rPr>
            </w:pPr>
            <w:r>
              <w:rPr>
                <w:rFonts w:ascii="宋体" w:hAnsi="宋体" w:cs="宋体" w:eastAsia="宋体" w:hint="default"/>
                <w:sz w:val="18"/>
                <w:szCs w:val="18"/>
              </w:rPr>
              <w:t>检测</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21-</w:t>
            </w:r>
            <w:r>
              <w:rPr>
                <w:rFonts w:ascii="宋体" w:hAnsi="宋体" w:cs="宋体" w:eastAsia="宋体" w:hint="default"/>
                <w:spacing w:val="-6"/>
                <w:sz w:val="18"/>
                <w:szCs w:val="18"/>
              </w:rPr>
              <w:t>三体综合征（唐氏综合征），</w:t>
            </w:r>
            <w:r>
              <w:rPr>
                <w:rFonts w:ascii="宋体" w:hAnsi="宋体" w:cs="宋体" w:eastAsia="宋体" w:hint="default"/>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三体综合征（爱德华氏综合征）和</w:t>
            </w:r>
          </w:p>
          <w:p>
            <w:pPr>
              <w:pStyle w:val="TableParagraph"/>
              <w:spacing w:line="236" w:lineRule="exact"/>
              <w:ind w:left="-1" w:right="166"/>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三体综合征（帕陶氏综合征）及其 他染色体异常疾病。</w:t>
            </w:r>
          </w:p>
        </w:tc>
      </w:tr>
      <w:tr>
        <w:trPr>
          <w:trHeight w:val="1498" w:hRule="exact"/>
        </w:trPr>
        <w:tc>
          <w:tcPr>
            <w:tcW w:w="49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w:t>
            </w:r>
          </w:p>
        </w:tc>
        <w:tc>
          <w:tcPr>
            <w:tcW w:w="1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auto" w:before="131"/>
              <w:ind w:left="67"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PGS/PGD</w:t>
            </w:r>
            <w:r>
              <w:rPr>
                <w:rFonts w:ascii="宋体" w:hAnsi="宋体" w:cs="宋体" w:eastAsia="宋体" w:hint="default"/>
                <w:sz w:val="18"/>
                <w:szCs w:val="18"/>
              </w:rPr>
              <w:t>（胚胎 植入前遗传学筛 查与诊断）</w:t>
            </w:r>
          </w:p>
        </w:tc>
        <w:tc>
          <w:tcPr>
            <w:tcW w:w="3431" w:type="dxa"/>
            <w:tcBorders>
              <w:top w:val="single" w:sz="4" w:space="0" w:color="000000"/>
              <w:left w:val="single" w:sz="4" w:space="0" w:color="000000"/>
              <w:bottom w:val="single" w:sz="12" w:space="0" w:color="000000"/>
              <w:right w:val="single" w:sz="4" w:space="0" w:color="000000"/>
            </w:tcBorders>
          </w:tcPr>
          <w:p>
            <w:pPr>
              <w:pStyle w:val="TableParagraph"/>
              <w:spacing w:line="237" w:lineRule="auto" w:before="12"/>
              <w:ind w:right="180"/>
              <w:jc w:val="both"/>
              <w:rPr>
                <w:rFonts w:ascii="宋体" w:hAnsi="宋体" w:cs="宋体" w:eastAsia="宋体" w:hint="default"/>
                <w:sz w:val="18"/>
                <w:szCs w:val="18"/>
              </w:rPr>
            </w:pPr>
            <w:r>
              <w:rPr>
                <w:rFonts w:ascii="宋体" w:hAnsi="宋体" w:cs="宋体" w:eastAsia="宋体" w:hint="default"/>
                <w:sz w:val="18"/>
                <w:szCs w:val="18"/>
              </w:rPr>
              <w:t>采用单细胞全基因组扩增技术和全基因组 低覆盖度高通量测序技术，通过采集胚胎 活检细胞以及家系的外周血样本，对样本 进行检测和生物信息学软件分析，可准确 分析胚胎染色体数目及结构异常情况以及 判断是否遗传了父母的致病突变。</w:t>
            </w:r>
          </w:p>
        </w:tc>
        <w:tc>
          <w:tcPr>
            <w:tcW w:w="3128" w:type="dxa"/>
            <w:tcBorders>
              <w:top w:val="single" w:sz="4" w:space="0" w:color="000000"/>
              <w:left w:val="single" w:sz="4" w:space="0" w:color="000000"/>
              <w:bottom w:val="single" w:sz="12" w:space="0" w:color="000000"/>
              <w:right w:val="single" w:sz="12" w:space="0" w:color="000000"/>
            </w:tcBorders>
          </w:tcPr>
          <w:p>
            <w:pPr>
              <w:pStyle w:val="TableParagraph"/>
              <w:spacing w:line="230" w:lineRule="auto" w:before="136"/>
              <w:ind w:left="-1"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PGS-</w:t>
            </w:r>
            <w:r>
              <w:rPr>
                <w:rFonts w:ascii="宋体" w:hAnsi="宋体" w:cs="宋体" w:eastAsia="宋体" w:hint="default"/>
                <w:sz w:val="18"/>
                <w:szCs w:val="18"/>
              </w:rPr>
              <w:t>染色体异常检测用于挑选健康胚</w:t>
            </w:r>
            <w:r>
              <w:rPr>
                <w:rFonts w:ascii="宋体" w:hAnsi="宋体" w:cs="宋体" w:eastAsia="宋体" w:hint="default"/>
                <w:w w:val="99"/>
                <w:sz w:val="18"/>
                <w:szCs w:val="18"/>
              </w:rPr>
              <w:t> </w:t>
            </w:r>
            <w:r>
              <w:rPr>
                <w:rFonts w:ascii="宋体" w:hAnsi="宋体" w:cs="宋体" w:eastAsia="宋体" w:hint="default"/>
                <w:sz w:val="18"/>
                <w:szCs w:val="18"/>
              </w:rPr>
              <w:t>胎，</w:t>
            </w:r>
            <w:r>
              <w:rPr>
                <w:rFonts w:ascii="Times New Roman" w:hAnsi="Times New Roman" w:cs="Times New Roman" w:eastAsia="Times New Roman" w:hint="default"/>
                <w:sz w:val="18"/>
                <w:szCs w:val="18"/>
              </w:rPr>
              <w:t>PGD-</w:t>
            </w:r>
            <w:r>
              <w:rPr>
                <w:rFonts w:ascii="宋体" w:hAnsi="宋体" w:cs="宋体" w:eastAsia="宋体" w:hint="default"/>
                <w:sz w:val="18"/>
                <w:szCs w:val="18"/>
              </w:rPr>
              <w:t>单病检测用于排查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多种单</w:t>
            </w:r>
            <w:r>
              <w:rPr>
                <w:rFonts w:ascii="宋体" w:hAnsi="宋体" w:cs="宋体" w:eastAsia="宋体" w:hint="default"/>
                <w:w w:val="99"/>
                <w:sz w:val="18"/>
                <w:szCs w:val="18"/>
              </w:rPr>
              <w:t> </w:t>
            </w:r>
            <w:r>
              <w:rPr>
                <w:rFonts w:ascii="宋体" w:hAnsi="宋体" w:cs="宋体" w:eastAsia="宋体" w:hint="default"/>
                <w:sz w:val="18"/>
                <w:szCs w:val="18"/>
              </w:rPr>
              <w:t>基因病，根据致病突变及父母单体型信</w:t>
            </w:r>
            <w:r>
              <w:rPr>
                <w:rFonts w:ascii="宋体" w:hAnsi="宋体" w:cs="宋体" w:eastAsia="宋体" w:hint="default"/>
                <w:w w:val="99"/>
                <w:sz w:val="18"/>
                <w:szCs w:val="18"/>
              </w:rPr>
              <w:t> </w:t>
            </w:r>
            <w:r>
              <w:rPr>
                <w:rFonts w:ascii="宋体" w:hAnsi="宋体" w:cs="宋体" w:eastAsia="宋体" w:hint="default"/>
                <w:sz w:val="18"/>
                <w:szCs w:val="18"/>
              </w:rPr>
              <w:t>息分析，可准确分析胚胎是否遗传了父</w:t>
            </w:r>
            <w:r>
              <w:rPr>
                <w:rFonts w:ascii="宋体" w:hAnsi="宋体" w:cs="宋体" w:eastAsia="宋体" w:hint="default"/>
                <w:w w:val="99"/>
                <w:sz w:val="18"/>
                <w:szCs w:val="18"/>
              </w:rPr>
              <w:t> </w:t>
            </w:r>
            <w:r>
              <w:rPr>
                <w:rFonts w:ascii="宋体" w:hAnsi="宋体" w:cs="宋体" w:eastAsia="宋体" w:hint="default"/>
                <w:sz w:val="18"/>
                <w:szCs w:val="18"/>
              </w:rPr>
              <w:t>母的致病突变。</w:t>
            </w:r>
          </w:p>
        </w:tc>
      </w:tr>
    </w:tbl>
    <w:p>
      <w:pPr>
        <w:spacing w:after="0" w:line="230" w:lineRule="auto"/>
        <w:jc w:val="left"/>
        <w:rPr>
          <w:rFonts w:ascii="宋体" w:hAnsi="宋体" w:cs="宋体" w:eastAsia="宋体" w:hint="default"/>
          <w:sz w:val="18"/>
          <w:szCs w:val="18"/>
        </w:rPr>
        <w:sectPr>
          <w:headerReference w:type="default" r:id="rId12"/>
          <w:footerReference w:type="default" r:id="rId13"/>
          <w:pgSz w:w="11910" w:h="16840"/>
          <w:pgMar w:header="880" w:footer="974" w:top="1100" w:bottom="1160" w:left="1560" w:right="1560"/>
          <w:pgNumType w:start="15"/>
        </w:sectPr>
      </w:pPr>
    </w:p>
    <w:p>
      <w:pPr>
        <w:spacing w:line="240" w:lineRule="auto" w:before="8"/>
        <w:rPr>
          <w:rFonts w:ascii="宋体" w:hAnsi="宋体" w:cs="宋体" w:eastAsia="宋体" w:hint="default"/>
          <w:sz w:val="24"/>
          <w:szCs w:val="24"/>
        </w:rPr>
      </w:pPr>
    </w:p>
    <w:tbl>
      <w:tblPr>
        <w:tblW w:w="0" w:type="auto"/>
        <w:jc w:val="left"/>
        <w:tblInd w:w="142" w:type="dxa"/>
        <w:tblLayout w:type="fixed"/>
        <w:tblCellMar>
          <w:top w:w="0" w:type="dxa"/>
          <w:left w:w="0" w:type="dxa"/>
          <w:bottom w:w="0" w:type="dxa"/>
          <w:right w:w="0" w:type="dxa"/>
        </w:tblCellMar>
        <w:tblLook w:val="01E0"/>
      </w:tblPr>
      <w:tblGrid>
        <w:gridCol w:w="490"/>
        <w:gridCol w:w="1428"/>
        <w:gridCol w:w="3431"/>
        <w:gridCol w:w="3128"/>
      </w:tblGrid>
      <w:tr>
        <w:trPr>
          <w:trHeight w:val="360" w:hRule="exact"/>
        </w:trPr>
        <w:tc>
          <w:tcPr>
            <w:tcW w:w="49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4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4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312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557" w:hRule="exact"/>
        </w:trPr>
        <w:tc>
          <w:tcPr>
            <w:tcW w:w="4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新生儿耳聋检测</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0"/>
              <w:jc w:val="left"/>
              <w:rPr>
                <w:rFonts w:ascii="宋体" w:hAnsi="宋体" w:cs="宋体" w:eastAsia="宋体" w:hint="default"/>
                <w:sz w:val="18"/>
                <w:szCs w:val="18"/>
              </w:rPr>
            </w:pPr>
            <w:r>
              <w:rPr>
                <w:rFonts w:ascii="宋体" w:hAnsi="宋体" w:cs="宋体" w:eastAsia="宋体" w:hint="default"/>
                <w:sz w:val="18"/>
                <w:szCs w:val="18"/>
              </w:rPr>
              <w:t>采用核酸质谱等技术，对遗传性耳聋高发 突变基因和位点进行检测。</w:t>
            </w:r>
          </w:p>
        </w:tc>
        <w:tc>
          <w:tcPr>
            <w:tcW w:w="31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 w:right="46"/>
              <w:jc w:val="left"/>
              <w:rPr>
                <w:rFonts w:ascii="宋体" w:hAnsi="宋体" w:cs="宋体" w:eastAsia="宋体" w:hint="default"/>
                <w:sz w:val="18"/>
                <w:szCs w:val="18"/>
              </w:rPr>
            </w:pPr>
            <w:r>
              <w:rPr>
                <w:rFonts w:ascii="宋体" w:hAnsi="宋体" w:cs="宋体" w:eastAsia="宋体" w:hint="default"/>
                <w:sz w:val="18"/>
                <w:szCs w:val="18"/>
              </w:rPr>
              <w:t>主要用于临床检测及大规模耳聋基因筛 查项目。</w:t>
            </w:r>
          </w:p>
        </w:tc>
      </w:tr>
      <w:tr>
        <w:trPr>
          <w:trHeight w:val="790" w:hRule="exact"/>
        </w:trPr>
        <w:tc>
          <w:tcPr>
            <w:tcW w:w="4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6" w:right="79" w:hanging="360"/>
              <w:jc w:val="left"/>
              <w:rPr>
                <w:rFonts w:ascii="宋体" w:hAnsi="宋体" w:cs="宋体" w:eastAsia="宋体" w:hint="default"/>
                <w:sz w:val="18"/>
                <w:szCs w:val="18"/>
              </w:rPr>
            </w:pPr>
            <w:r>
              <w:rPr>
                <w:rFonts w:ascii="宋体" w:hAnsi="宋体" w:cs="宋体" w:eastAsia="宋体" w:hint="default"/>
                <w:sz w:val="18"/>
                <w:szCs w:val="18"/>
              </w:rPr>
              <w:t>新生儿遗传代谢 病检测</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23"/>
              <w:ind w:right="17"/>
              <w:jc w:val="left"/>
              <w:rPr>
                <w:rFonts w:ascii="宋体" w:hAnsi="宋体" w:cs="宋体" w:eastAsia="宋体" w:hint="default"/>
                <w:sz w:val="18"/>
                <w:szCs w:val="18"/>
              </w:rPr>
            </w:pPr>
            <w:r>
              <w:rPr>
                <w:rFonts w:ascii="宋体" w:hAnsi="宋体" w:cs="宋体" w:eastAsia="宋体" w:hint="default"/>
                <w:sz w:val="18"/>
                <w:szCs w:val="18"/>
              </w:rPr>
              <w:t>利用高通量质谱技术（简称</w:t>
            </w:r>
            <w:r>
              <w:rPr>
                <w:rFonts w:ascii="宋体" w:hAnsi="宋体" w:cs="宋体" w:eastAsia="宋体" w:hint="default"/>
                <w:spacing w:val="-43"/>
                <w:sz w:val="18"/>
                <w:szCs w:val="18"/>
              </w:rPr>
              <w:t> </w:t>
            </w:r>
            <w:r>
              <w:rPr>
                <w:rFonts w:ascii="Times New Roman" w:hAnsi="Times New Roman" w:cs="Times New Roman" w:eastAsia="Times New Roman" w:hint="default"/>
                <w:spacing w:val="-19"/>
                <w:w w:val="99"/>
                <w:sz w:val="18"/>
                <w:szCs w:val="18"/>
              </w:rPr>
              <w:t>LC-MS/MS</w:t>
            </w:r>
            <w:r>
              <w:rPr>
                <w:rFonts w:ascii="宋体" w:hAnsi="宋体" w:cs="宋体" w:eastAsia="宋体" w:hint="default"/>
                <w:spacing w:val="-19"/>
                <w:w w:val="99"/>
                <w:sz w:val="18"/>
                <w:szCs w:val="18"/>
              </w:rPr>
              <w:t>），</w:t>
            </w:r>
            <w:r>
              <w:rPr>
                <w:rFonts w:ascii="宋体" w:hAnsi="宋体" w:cs="宋体" w:eastAsia="宋体" w:hint="default"/>
                <w:spacing w:val="-85"/>
                <w:w w:val="99"/>
                <w:sz w:val="18"/>
                <w:szCs w:val="18"/>
              </w:rPr>
              <w:t> </w:t>
            </w:r>
            <w:r>
              <w:rPr>
                <w:rFonts w:ascii="宋体" w:hAnsi="宋体" w:cs="宋体" w:eastAsia="宋体" w:hint="default"/>
                <w:sz w:val="18"/>
                <w:szCs w:val="18"/>
              </w:rPr>
              <w:t>通过同位素内标（</w:t>
            </w:r>
            <w:r>
              <w:rPr>
                <w:rFonts w:ascii="Times New Roman" w:hAnsi="Times New Roman" w:cs="Times New Roman" w:eastAsia="Times New Roman" w:hint="default"/>
                <w:sz w:val="18"/>
                <w:szCs w:val="18"/>
              </w:rPr>
              <w:t>IS</w:t>
            </w:r>
            <w:r>
              <w:rPr>
                <w:rFonts w:ascii="宋体" w:hAnsi="宋体" w:cs="宋体" w:eastAsia="宋体" w:hint="default"/>
                <w:sz w:val="18"/>
                <w:szCs w:val="18"/>
              </w:rPr>
              <w:t>）对新生儿干血片样本 中氨基酸等物质的浓度进行分析。</w:t>
            </w:r>
          </w:p>
        </w:tc>
        <w:tc>
          <w:tcPr>
            <w:tcW w:w="3128" w:type="dxa"/>
            <w:tcBorders>
              <w:top w:val="single" w:sz="4" w:space="0" w:color="000000"/>
              <w:left w:val="single" w:sz="4" w:space="0" w:color="000000"/>
              <w:bottom w:val="single" w:sz="4" w:space="0" w:color="000000"/>
              <w:right w:val="single" w:sz="12" w:space="0" w:color="000000"/>
            </w:tcBorders>
          </w:tcPr>
          <w:p>
            <w:pPr>
              <w:pStyle w:val="TableParagraph"/>
              <w:spacing w:line="232" w:lineRule="auto" w:before="17"/>
              <w:ind w:left="-1" w:right="46"/>
              <w:jc w:val="left"/>
              <w:rPr>
                <w:rFonts w:ascii="宋体" w:hAnsi="宋体" w:cs="宋体" w:eastAsia="宋体" w:hint="default"/>
                <w:sz w:val="18"/>
                <w:szCs w:val="18"/>
              </w:rPr>
            </w:pPr>
            <w:r>
              <w:rPr>
                <w:rFonts w:ascii="宋体" w:hAnsi="宋体" w:cs="宋体" w:eastAsia="宋体" w:hint="default"/>
                <w:sz w:val="18"/>
                <w:szCs w:val="18"/>
              </w:rPr>
              <w:t>检测包括氨基酸病、有机酸代谢紊乱和 脂肪酸氧化缺陷在内的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种遗传代谢 病。</w:t>
            </w:r>
          </w:p>
        </w:tc>
      </w:tr>
      <w:tr>
        <w:trPr>
          <w:trHeight w:val="559" w:hRule="exact"/>
        </w:trPr>
        <w:tc>
          <w:tcPr>
            <w:tcW w:w="4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27" w:right="79" w:hanging="452"/>
              <w:jc w:val="left"/>
              <w:rPr>
                <w:rFonts w:ascii="宋体" w:hAnsi="宋体" w:cs="宋体" w:eastAsia="宋体" w:hint="default"/>
                <w:sz w:val="18"/>
                <w:szCs w:val="18"/>
              </w:rPr>
            </w:pPr>
            <w:r>
              <w:rPr>
                <w:rFonts w:ascii="宋体" w:hAnsi="宋体" w:cs="宋体" w:eastAsia="宋体" w:hint="default"/>
                <w:sz w:val="18"/>
                <w:szCs w:val="18"/>
              </w:rPr>
              <w:t>地中海贫血基因 检测</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0"/>
              <w:jc w:val="left"/>
              <w:rPr>
                <w:rFonts w:ascii="宋体" w:hAnsi="宋体" w:cs="宋体" w:eastAsia="宋体" w:hint="default"/>
                <w:sz w:val="18"/>
                <w:szCs w:val="18"/>
              </w:rPr>
            </w:pPr>
            <w:r>
              <w:rPr>
                <w:rFonts w:ascii="宋体" w:hAnsi="宋体" w:cs="宋体" w:eastAsia="宋体" w:hint="default"/>
                <w:sz w:val="18"/>
                <w:szCs w:val="18"/>
              </w:rPr>
              <w:t>采用测序技术，对常见和非常见地中海贫 血基因型别进行检测。</w:t>
            </w:r>
          </w:p>
        </w:tc>
        <w:tc>
          <w:tcPr>
            <w:tcW w:w="31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left="-1" w:right="46"/>
              <w:jc w:val="left"/>
              <w:rPr>
                <w:rFonts w:ascii="宋体" w:hAnsi="宋体" w:cs="宋体" w:eastAsia="宋体" w:hint="default"/>
                <w:sz w:val="18"/>
                <w:szCs w:val="18"/>
              </w:rPr>
            </w:pPr>
            <w:r>
              <w:rPr>
                <w:rFonts w:ascii="宋体" w:hAnsi="宋体" w:cs="宋体" w:eastAsia="宋体" w:hint="default"/>
                <w:sz w:val="18"/>
                <w:szCs w:val="18"/>
              </w:rPr>
              <w:t>为临床、大规模地中海贫血基因筛查和 科研提供全面服务。</w:t>
            </w:r>
          </w:p>
        </w:tc>
      </w:tr>
      <w:tr>
        <w:trPr>
          <w:trHeight w:val="1256" w:hRule="exact"/>
        </w:trPr>
        <w:tc>
          <w:tcPr>
            <w:tcW w:w="4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染色体异常检测</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138"/>
              <w:ind w:right="-7"/>
              <w:jc w:val="both"/>
              <w:rPr>
                <w:rFonts w:ascii="宋体" w:hAnsi="宋体" w:cs="宋体" w:eastAsia="宋体" w:hint="default"/>
                <w:sz w:val="18"/>
                <w:szCs w:val="18"/>
              </w:rPr>
            </w:pPr>
            <w:r>
              <w:rPr>
                <w:rFonts w:ascii="宋体" w:hAnsi="宋体" w:cs="宋体" w:eastAsia="宋体" w:hint="default"/>
                <w:sz w:val="18"/>
                <w:szCs w:val="18"/>
              </w:rPr>
              <w:t>对受检者的样本提取</w:t>
            </w:r>
            <w:r>
              <w:rPr>
                <w:rFonts w:ascii="宋体" w:hAnsi="宋体" w:cs="宋体" w:eastAsia="宋体" w:hint="default"/>
                <w:spacing w:val="-37"/>
                <w:sz w:val="18"/>
                <w:szCs w:val="18"/>
              </w:rPr>
              <w:t> </w:t>
            </w:r>
            <w:r>
              <w:rPr>
                <w:rFonts w:ascii="Times New Roman" w:hAnsi="Times New Roman" w:cs="Times New Roman" w:eastAsia="Times New Roman" w:hint="default"/>
                <w:spacing w:val="-8"/>
                <w:w w:val="99"/>
                <w:sz w:val="18"/>
                <w:szCs w:val="18"/>
              </w:rPr>
              <w:t>DNA</w:t>
            </w:r>
            <w:r>
              <w:rPr>
                <w:rFonts w:ascii="宋体" w:hAnsi="宋体" w:cs="宋体" w:eastAsia="宋体" w:hint="default"/>
                <w:spacing w:val="-8"/>
                <w:w w:val="99"/>
                <w:sz w:val="18"/>
                <w:szCs w:val="18"/>
              </w:rPr>
              <w:t>，采用高通量测序</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pacing w:val="-9"/>
                <w:sz w:val="18"/>
                <w:szCs w:val="18"/>
              </w:rPr>
              <w:t>技术，对染色体数目异常、三倍体、</w:t>
            </w:r>
            <w:r>
              <w:rPr>
                <w:rFonts w:ascii="Times New Roman" w:hAnsi="Times New Roman" w:cs="Times New Roman" w:eastAsia="Times New Roman" w:hint="default"/>
                <w:spacing w:val="-9"/>
                <w:sz w:val="18"/>
                <w:szCs w:val="18"/>
              </w:rPr>
              <w:t>100Kb</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以</w:t>
            </w:r>
            <w:r>
              <w:rPr>
                <w:rFonts w:ascii="宋体" w:hAnsi="宋体" w:cs="宋体" w:eastAsia="宋体" w:hint="default"/>
                <w:spacing w:val="-88"/>
                <w:sz w:val="18"/>
                <w:szCs w:val="18"/>
              </w:rPr>
              <w:t> </w:t>
            </w:r>
            <w:r>
              <w:rPr>
                <w:rFonts w:ascii="宋体" w:hAnsi="宋体" w:cs="宋体" w:eastAsia="宋体" w:hint="default"/>
                <w:spacing w:val="7"/>
                <w:sz w:val="18"/>
                <w:szCs w:val="18"/>
              </w:rPr>
              <w:t>上的染色体重复</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缺失进行检测，为微小易 </w:t>
            </w:r>
            <w:r>
              <w:rPr>
                <w:rFonts w:ascii="宋体" w:hAnsi="宋体" w:cs="宋体" w:eastAsia="宋体" w:hint="default"/>
                <w:sz w:val="18"/>
                <w:szCs w:val="18"/>
              </w:rPr>
              <w:t>位、倒位提供解决方案。</w:t>
            </w:r>
          </w:p>
        </w:tc>
        <w:tc>
          <w:tcPr>
            <w:tcW w:w="3128" w:type="dxa"/>
            <w:tcBorders>
              <w:top w:val="single" w:sz="4" w:space="0" w:color="000000"/>
              <w:left w:val="single" w:sz="4" w:space="0" w:color="000000"/>
              <w:bottom w:val="single" w:sz="4" w:space="0" w:color="000000"/>
              <w:right w:val="single" w:sz="12" w:space="0" w:color="000000"/>
            </w:tcBorders>
          </w:tcPr>
          <w:p>
            <w:pPr>
              <w:pStyle w:val="TableParagraph"/>
              <w:spacing w:line="235" w:lineRule="auto" w:before="14"/>
              <w:ind w:left="-1" w:right="0"/>
              <w:jc w:val="both"/>
              <w:rPr>
                <w:rFonts w:ascii="宋体" w:hAnsi="宋体" w:cs="宋体" w:eastAsia="宋体" w:hint="default"/>
                <w:sz w:val="18"/>
                <w:szCs w:val="18"/>
              </w:rPr>
            </w:pPr>
            <w:r>
              <w:rPr>
                <w:rFonts w:ascii="宋体" w:hAnsi="宋体" w:cs="宋体" w:eastAsia="宋体" w:hint="default"/>
                <w:spacing w:val="-8"/>
                <w:sz w:val="18"/>
                <w:szCs w:val="18"/>
              </w:rPr>
              <w:t>通过检测流产组织、缺陷儿、夫妇的染色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体情况，查找流产、</w:t>
            </w:r>
            <w:r>
              <w:rPr>
                <w:rFonts w:ascii="Times New Roman" w:hAnsi="Times New Roman" w:cs="Times New Roman" w:eastAsia="Times New Roman" w:hint="default"/>
                <w:spacing w:val="-8"/>
                <w:sz w:val="18"/>
                <w:szCs w:val="18"/>
              </w:rPr>
              <w:t>B</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超异常、多发畸形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的遗传原因，辅助临床指导再次妊娠，结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合现有的诊断技术为夫妇生育健康的下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一代提供帮助。</w:t>
            </w:r>
          </w:p>
        </w:tc>
      </w:tr>
      <w:tr>
        <w:trPr>
          <w:trHeight w:val="792" w:hRule="exact"/>
        </w:trPr>
        <w:tc>
          <w:tcPr>
            <w:tcW w:w="4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单基因病检测</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23"/>
              <w:ind w:right="29"/>
              <w:jc w:val="left"/>
              <w:rPr>
                <w:rFonts w:ascii="宋体" w:hAnsi="宋体" w:cs="宋体" w:eastAsia="宋体" w:hint="default"/>
                <w:sz w:val="18"/>
                <w:szCs w:val="18"/>
              </w:rPr>
            </w:pPr>
            <w:r>
              <w:rPr>
                <w:rFonts w:ascii="宋体" w:hAnsi="宋体" w:cs="宋体" w:eastAsia="宋体" w:hint="default"/>
                <w:spacing w:val="-5"/>
                <w:sz w:val="18"/>
                <w:szCs w:val="18"/>
              </w:rPr>
              <w:t>利用“目标区域捕获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高通量测序技术”，针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对婚孕前</w:t>
            </w:r>
            <w:r>
              <w:rPr>
                <w:rFonts w:ascii="Times New Roman" w:hAnsi="Times New Roman" w:cs="Times New Roman" w:eastAsia="Times New Roman" w:hint="default"/>
                <w:sz w:val="18"/>
                <w:szCs w:val="18"/>
              </w:rPr>
              <w:t>/</w:t>
            </w:r>
            <w:r>
              <w:rPr>
                <w:rFonts w:ascii="宋体" w:hAnsi="宋体" w:cs="宋体" w:eastAsia="宋体" w:hint="default"/>
                <w:sz w:val="18"/>
                <w:szCs w:val="18"/>
              </w:rPr>
              <w:t>早孕期夫妇、遗传病疑难杂症患 者进行常见单基因遗传病的基因检测。</w:t>
            </w:r>
          </w:p>
        </w:tc>
        <w:tc>
          <w:tcPr>
            <w:tcW w:w="31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8"/>
              <w:ind w:left="-1" w:right="46"/>
              <w:jc w:val="left"/>
              <w:rPr>
                <w:rFonts w:ascii="宋体" w:hAnsi="宋体" w:cs="宋体" w:eastAsia="宋体" w:hint="default"/>
                <w:sz w:val="18"/>
                <w:szCs w:val="18"/>
              </w:rPr>
            </w:pPr>
            <w:r>
              <w:rPr>
                <w:rFonts w:ascii="宋体" w:hAnsi="宋体" w:cs="宋体" w:eastAsia="宋体" w:hint="default"/>
                <w:sz w:val="18"/>
                <w:szCs w:val="18"/>
              </w:rPr>
              <w:t>主要用于患儿家庭临床检测，为指导生 育、临床诊断、治疗提供有力的依据。</w:t>
            </w:r>
          </w:p>
        </w:tc>
      </w:tr>
      <w:tr>
        <w:trPr>
          <w:trHeight w:val="797" w:hRule="exact"/>
        </w:trPr>
        <w:tc>
          <w:tcPr>
            <w:tcW w:w="49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8</w:t>
            </w:r>
          </w:p>
        </w:tc>
        <w:tc>
          <w:tcPr>
            <w:tcW w:w="1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5"/>
              <w:ind w:left="76" w:right="79"/>
              <w:jc w:val="left"/>
              <w:rPr>
                <w:rFonts w:ascii="宋体" w:hAnsi="宋体" w:cs="宋体" w:eastAsia="宋体" w:hint="default"/>
                <w:sz w:val="18"/>
                <w:szCs w:val="18"/>
              </w:rPr>
            </w:pPr>
            <w:r>
              <w:rPr>
                <w:rFonts w:ascii="宋体" w:hAnsi="宋体" w:cs="宋体" w:eastAsia="宋体" w:hint="default"/>
                <w:sz w:val="18"/>
                <w:szCs w:val="18"/>
              </w:rPr>
              <w:t>生育健康相关的 仪器与试剂销售</w:t>
            </w:r>
          </w:p>
        </w:tc>
        <w:tc>
          <w:tcPr>
            <w:tcW w:w="3431" w:type="dxa"/>
            <w:tcBorders>
              <w:top w:val="single" w:sz="4" w:space="0" w:color="000000"/>
              <w:left w:val="single" w:sz="4" w:space="0" w:color="000000"/>
              <w:bottom w:val="single" w:sz="12" w:space="0" w:color="000000"/>
              <w:right w:val="single" w:sz="4" w:space="0" w:color="000000"/>
            </w:tcBorders>
          </w:tcPr>
          <w:p>
            <w:pPr>
              <w:pStyle w:val="TableParagraph"/>
              <w:spacing w:line="237" w:lineRule="auto" w:before="12"/>
              <w:ind w:right="180"/>
              <w:jc w:val="both"/>
              <w:rPr>
                <w:rFonts w:ascii="宋体" w:hAnsi="宋体" w:cs="宋体" w:eastAsia="宋体" w:hint="default"/>
                <w:sz w:val="18"/>
                <w:szCs w:val="18"/>
              </w:rPr>
            </w:pPr>
            <w:r>
              <w:rPr>
                <w:rFonts w:ascii="宋体" w:hAnsi="宋体" w:cs="宋体" w:eastAsia="宋体" w:hint="default"/>
                <w:sz w:val="18"/>
                <w:szCs w:val="18"/>
              </w:rPr>
              <w:t>为医疗机构、第三方检验公司提供实验室 所需的仪器与试剂，综合支撑其提供生育 健康相关检测服务。</w:t>
            </w:r>
          </w:p>
        </w:tc>
        <w:tc>
          <w:tcPr>
            <w:tcW w:w="312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46"/>
              <w:jc w:val="center"/>
              <w:rPr>
                <w:rFonts w:ascii="宋体" w:hAnsi="宋体" w:cs="宋体" w:eastAsia="宋体" w:hint="default"/>
                <w:sz w:val="18"/>
                <w:szCs w:val="18"/>
              </w:rPr>
            </w:pPr>
            <w:r>
              <w:rPr>
                <w:rFonts w:ascii="宋体" w:hAnsi="宋体" w:cs="宋体" w:eastAsia="宋体" w:hint="default"/>
                <w:sz w:val="18"/>
                <w:szCs w:val="18"/>
              </w:rPr>
              <w:t>主要应用于生育健康相关的检测领域。</w:t>
            </w:r>
          </w:p>
        </w:tc>
      </w:tr>
    </w:tbl>
    <w:p>
      <w:pPr>
        <w:spacing w:line="240" w:lineRule="auto" w:before="10"/>
        <w:rPr>
          <w:rFonts w:ascii="宋体" w:hAnsi="宋体" w:cs="宋体" w:eastAsia="宋体" w:hint="default"/>
          <w:sz w:val="6"/>
          <w:szCs w:val="6"/>
        </w:rPr>
      </w:pPr>
    </w:p>
    <w:p>
      <w:pPr>
        <w:pStyle w:val="Heading4"/>
        <w:spacing w:line="240" w:lineRule="auto"/>
        <w:ind w:left="501" w:right="183"/>
        <w:jc w:val="left"/>
        <w:rPr>
          <w:b w:val="0"/>
          <w:bCs w:val="0"/>
        </w:rPr>
      </w:pPr>
      <w:r>
        <w:rPr>
          <w:rFonts w:ascii="Times New Roman" w:hAnsi="Times New Roman" w:cs="Times New Roman" w:eastAsia="Times New Roman" w:hint="default"/>
        </w:rPr>
        <w:t>2</w:t>
      </w:r>
      <w:r>
        <w:rPr/>
        <w:t>、基础科学研究服务</w:t>
      </w:r>
      <w:r>
        <w:rPr>
          <w:b w:val="0"/>
          <w:bCs w:val="0"/>
        </w:rPr>
      </w:r>
    </w:p>
    <w:p>
      <w:pPr>
        <w:pStyle w:val="BodyText"/>
        <w:spacing w:line="420" w:lineRule="atLeast" w:before="12"/>
        <w:ind w:left="501" w:right="183"/>
        <w:jc w:val="left"/>
      </w:pPr>
      <w:r>
        <w:rPr/>
        <w:t>（</w:t>
      </w:r>
      <w:r>
        <w:rPr>
          <w:rFonts w:ascii="Times New Roman" w:hAnsi="Times New Roman" w:cs="Times New Roman" w:eastAsia="Times New Roman" w:hint="default"/>
        </w:rPr>
        <w:t>1</w:t>
      </w:r>
      <w:r>
        <w:rPr/>
        <w:t>）业务概述 华大基因为全世界的生物、农业和医学等领域研究者提供从基因测序到生物信息分析的一整套基因组学</w:t>
      </w:r>
    </w:p>
    <w:p>
      <w:pPr>
        <w:pStyle w:val="BodyText"/>
        <w:spacing w:line="240" w:lineRule="auto" w:before="76"/>
        <w:ind w:left="142" w:right="183"/>
        <w:jc w:val="left"/>
      </w:pPr>
      <w:r>
        <w:rPr/>
        <w:t>解决方案，以及基于非测序技术的科研解决方案，例如基因分型、蛋白质组学和寡核苷酸合成服务。</w:t>
      </w:r>
    </w:p>
    <w:p>
      <w:pPr>
        <w:spacing w:line="240" w:lineRule="auto" w:before="3"/>
        <w:rPr>
          <w:rFonts w:ascii="宋体" w:hAnsi="宋体" w:cs="宋体" w:eastAsia="宋体" w:hint="default"/>
          <w:sz w:val="15"/>
          <w:szCs w:val="15"/>
        </w:rPr>
      </w:pPr>
    </w:p>
    <w:p>
      <w:pPr>
        <w:pStyle w:val="BodyText"/>
        <w:spacing w:line="240" w:lineRule="auto"/>
        <w:ind w:left="501" w:right="183"/>
        <w:jc w:val="left"/>
      </w:pPr>
      <w:r>
        <w:rPr/>
        <w:t>（</w:t>
      </w:r>
      <w:r>
        <w:rPr>
          <w:rFonts w:ascii="Times New Roman" w:hAnsi="Times New Roman" w:cs="Times New Roman" w:eastAsia="Times New Roman" w:hint="default"/>
        </w:rPr>
        <w:t>2</w:t>
      </w:r>
      <w:r>
        <w:rPr/>
        <w:t>）具体产品介绍</w:t>
      </w:r>
    </w:p>
    <w:p>
      <w:pPr>
        <w:spacing w:line="240" w:lineRule="auto" w:before="10"/>
        <w:rPr>
          <w:rFonts w:ascii="宋体" w:hAnsi="宋体" w:cs="宋体" w:eastAsia="宋体" w:hint="default"/>
          <w:sz w:val="13"/>
          <w:szCs w:val="13"/>
        </w:rPr>
      </w:pPr>
    </w:p>
    <w:p>
      <w:pPr>
        <w:pStyle w:val="BodyText"/>
        <w:spacing w:line="360" w:lineRule="auto"/>
        <w:ind w:left="501" w:right="183"/>
        <w:jc w:val="left"/>
      </w:pPr>
      <w:r>
        <w:rPr/>
        <w:t>①</w:t>
      </w:r>
      <w:r>
        <w:rPr>
          <w:spacing w:val="1"/>
        </w:rPr>
        <w:t> </w:t>
      </w:r>
      <w:r>
        <w:rPr/>
        <w:t>基因组测序</w:t>
      </w:r>
      <w:r>
        <w:rPr/>
        <w:t> </w:t>
      </w:r>
      <w:r>
        <w:rPr>
          <w:spacing w:val="-3"/>
        </w:rPr>
        <w:t>基因组测序指的是对生物（动物、植物、微生物）样品中的核酸碱基序列进行精确测定的过程。通过先进</w:t>
      </w:r>
    </w:p>
    <w:p>
      <w:pPr>
        <w:pStyle w:val="BodyText"/>
        <w:spacing w:line="236" w:lineRule="exact"/>
        <w:ind w:left="142" w:right="93"/>
        <w:jc w:val="left"/>
      </w:pPr>
      <w:r>
        <w:rPr/>
        <w:t>的测序平台，华大基因可以对生物样本（包含</w:t>
      </w:r>
      <w:r>
        <w:rPr>
          <w:rFonts w:ascii="Times New Roman" w:hAnsi="Times New Roman" w:cs="Times New Roman" w:eastAsia="Times New Roman" w:hint="default"/>
        </w:rPr>
        <w:t>DNA</w:t>
      </w:r>
      <w:r>
        <w:rPr/>
        <w:t>和</w:t>
      </w:r>
      <w:r>
        <w:rPr>
          <w:rFonts w:ascii="Times New Roman" w:hAnsi="Times New Roman" w:cs="Times New Roman" w:eastAsia="Times New Roman" w:hint="default"/>
        </w:rPr>
        <w:t>RNA</w:t>
      </w:r>
      <w:r>
        <w:rPr/>
        <w:t>）进行测序，确定不同物种、样品的碱基序列，从</w:t>
      </w:r>
    </w:p>
    <w:p>
      <w:pPr>
        <w:pStyle w:val="BodyText"/>
        <w:spacing w:line="240" w:lineRule="auto" w:before="63"/>
        <w:ind w:left="142" w:right="183"/>
        <w:jc w:val="left"/>
      </w:pPr>
      <w:r>
        <w:rPr/>
        <w:t>而检测和分析单核苷酸多态性（</w:t>
      </w:r>
      <w:r>
        <w:rPr>
          <w:rFonts w:ascii="Times New Roman" w:hAnsi="Times New Roman" w:cs="Times New Roman" w:eastAsia="Times New Roman" w:hint="default"/>
        </w:rPr>
        <w:t>SNP</w:t>
      </w:r>
      <w:r>
        <w:rPr/>
        <w:t>）、</w:t>
      </w:r>
      <w:r>
        <w:rPr>
          <w:rFonts w:ascii="Times New Roman" w:hAnsi="Times New Roman" w:cs="Times New Roman" w:eastAsia="Times New Roman" w:hint="default"/>
        </w:rPr>
        <w:t>DNA</w:t>
      </w:r>
      <w:r>
        <w:rPr/>
        <w:t>拷贝数变异、基因表达差异等数据。</w:t>
      </w:r>
    </w:p>
    <w:p>
      <w:pPr>
        <w:pStyle w:val="BodyText"/>
        <w:spacing w:line="357" w:lineRule="auto" w:before="103"/>
        <w:ind w:left="501" w:right="183"/>
        <w:jc w:val="left"/>
      </w:pPr>
      <w:r>
        <w:rPr/>
        <w:t>②</w:t>
      </w:r>
      <w:r>
        <w:rPr>
          <w:spacing w:val="1"/>
        </w:rPr>
        <w:t> </w:t>
      </w:r>
      <w:r>
        <w:rPr/>
        <w:t>生物信息分析</w:t>
      </w:r>
      <w:r>
        <w:rPr/>
        <w:t> 生物信息学是运用计算机技术来管理和分析生物信息数据的一门应用学科。基因组测序通常会产生巨大</w:t>
      </w:r>
    </w:p>
    <w:p>
      <w:pPr>
        <w:pStyle w:val="BodyText"/>
        <w:spacing w:line="224" w:lineRule="exact"/>
        <w:ind w:left="142" w:right="183"/>
        <w:jc w:val="left"/>
      </w:pPr>
      <w:r>
        <w:rPr/>
        <w:t>的数据量，这些数据只有在专业处理和分析后，才能挖掘出有价值的信息。对海量信息的挖掘，目前已经成</w:t>
      </w:r>
    </w:p>
    <w:p>
      <w:pPr>
        <w:pStyle w:val="BodyText"/>
        <w:spacing w:line="360" w:lineRule="auto" w:before="76"/>
        <w:ind w:left="501" w:right="183" w:hanging="360"/>
        <w:jc w:val="left"/>
      </w:pPr>
      <w:r>
        <w:rPr/>
        <w:t>为研究者们最为关心的部分。 华大基因生物信息分析团队基于规范的分析流程和数据库资源，能够帮助客户进行信息分析。对于不同</w:t>
      </w:r>
    </w:p>
    <w:p>
      <w:pPr>
        <w:pStyle w:val="BodyText"/>
        <w:spacing w:line="222" w:lineRule="exact"/>
        <w:ind w:left="142" w:right="183"/>
        <w:jc w:val="left"/>
      </w:pPr>
      <w:r>
        <w:rPr/>
        <w:t>客户的需求，华大基因可以匹配不同的分析内容，包括数据下机质控、数据组装、比对、基因注释等标准分</w:t>
      </w:r>
    </w:p>
    <w:p>
      <w:pPr>
        <w:pStyle w:val="BodyText"/>
        <w:spacing w:line="240" w:lineRule="auto" w:before="76"/>
        <w:ind w:left="142" w:right="93"/>
        <w:jc w:val="left"/>
      </w:pPr>
      <w:r>
        <w:rPr/>
        <w:t>析，以及各种高级分析。华大基因已具有一系列具有自主知识产权的分析软件，如</w:t>
      </w:r>
      <w:r>
        <w:rPr>
          <w:rFonts w:ascii="Times New Roman" w:hAnsi="Times New Roman" w:cs="Times New Roman" w:eastAsia="Times New Roman" w:hint="default"/>
        </w:rPr>
        <w:t>SOAP</w:t>
      </w:r>
      <w:r>
        <w:rPr>
          <w:rFonts w:ascii="Times New Roman" w:hAnsi="Times New Roman" w:cs="Times New Roman" w:eastAsia="Times New Roman" w:hint="default"/>
          <w:i/>
        </w:rPr>
        <w:t>denovo</w:t>
      </w:r>
      <w:r>
        <w:rPr/>
        <w:t>、</w:t>
      </w:r>
      <w:r>
        <w:rPr>
          <w:rFonts w:ascii="Times New Roman" w:hAnsi="Times New Roman" w:cs="Times New Roman" w:eastAsia="Times New Roman" w:hint="default"/>
        </w:rPr>
        <w:t>SOAPsnp</w:t>
      </w:r>
      <w:r>
        <w:rPr/>
        <w:t>、</w:t>
      </w:r>
    </w:p>
    <w:p>
      <w:pPr>
        <w:pStyle w:val="BodyText"/>
        <w:spacing w:line="240" w:lineRule="auto" w:before="63"/>
        <w:ind w:left="142" w:right="183"/>
        <w:jc w:val="left"/>
      </w:pPr>
      <w:r>
        <w:rPr>
          <w:rFonts w:ascii="Times New Roman" w:hAnsi="Times New Roman" w:cs="Times New Roman" w:eastAsia="Times New Roman" w:hint="default"/>
        </w:rPr>
        <w:t>SOAPtrans</w:t>
      </w:r>
      <w:r>
        <w:rPr/>
        <w:t>、</w:t>
      </w:r>
      <w:r>
        <w:rPr>
          <w:rFonts w:ascii="Times New Roman" w:hAnsi="Times New Roman" w:cs="Times New Roman" w:eastAsia="Times New Roman" w:hint="default"/>
        </w:rPr>
        <w:t>SOAPfuse</w:t>
      </w:r>
      <w:r>
        <w:rPr/>
        <w:t>等。</w:t>
      </w:r>
    </w:p>
    <w:p>
      <w:pPr>
        <w:pStyle w:val="BodyText"/>
        <w:spacing w:line="304" w:lineRule="auto" w:before="103"/>
        <w:ind w:left="142" w:right="93" w:firstLine="359"/>
        <w:jc w:val="left"/>
      </w:pPr>
      <w:r>
        <w:rPr>
          <w:rFonts w:ascii="Times New Roman" w:hAnsi="Times New Roman" w:cs="Times New Roman" w:eastAsia="Times New Roman" w:hint="default"/>
        </w:rPr>
        <w:t>BGI</w:t>
      </w:r>
      <w:r>
        <w:rPr>
          <w:rFonts w:ascii="Times New Roman" w:hAnsi="Times New Roman" w:cs="Times New Roman" w:eastAsia="Times New Roman" w:hint="default"/>
          <w:spacing w:val="7"/>
        </w:rPr>
        <w:t> </w:t>
      </w:r>
      <w:r>
        <w:rPr>
          <w:rFonts w:ascii="Times New Roman" w:hAnsi="Times New Roman" w:cs="Times New Roman" w:eastAsia="Times New Roman" w:hint="default"/>
        </w:rPr>
        <w:t>Online</w:t>
      </w:r>
      <w:r>
        <w:rPr/>
        <w:t>是由华大基因推出的基因数据分析的平台，它旨在为研究机构、医院等用户，提供专业高效、 简单易用的生物信息云服务。通过</w:t>
      </w:r>
      <w:r>
        <w:rPr>
          <w:rFonts w:ascii="Times New Roman" w:hAnsi="Times New Roman" w:cs="Times New Roman" w:eastAsia="Times New Roman" w:hint="default"/>
        </w:rPr>
        <w:t>BGI</w:t>
      </w:r>
      <w:r>
        <w:rPr>
          <w:rFonts w:ascii="Times New Roman" w:hAnsi="Times New Roman" w:cs="Times New Roman" w:eastAsia="Times New Roman" w:hint="default"/>
          <w:spacing w:val="-31"/>
        </w:rPr>
        <w:t> </w:t>
      </w:r>
      <w:r>
        <w:rPr>
          <w:rFonts w:ascii="Times New Roman" w:hAnsi="Times New Roman" w:cs="Times New Roman" w:eastAsia="Times New Roman" w:hint="default"/>
        </w:rPr>
        <w:t>Online</w:t>
      </w:r>
      <w:r>
        <w:rPr/>
        <w:t>，可以快速处理庞大的基因组学数据，结合华大基因不断积累更 </w:t>
      </w:r>
      <w:r>
        <w:rPr>
          <w:spacing w:val="-3"/>
        </w:rPr>
        <w:t>新的知识库，挖掘其中的生物学意义，并以易于理解的方式进行展示，帮助基因组学的行业应用和科学研究。</w:t>
      </w:r>
      <w:r>
        <w:rPr>
          <w:spacing w:val="-84"/>
        </w:rPr>
        <w:t> </w:t>
      </w:r>
      <w:r>
        <w:rPr>
          <w:spacing w:val="-84"/>
        </w:rPr>
      </w:r>
      <w:r>
        <w:rPr>
          <w:spacing w:val="-7"/>
        </w:rPr>
        <w:t>同时，</w:t>
      </w:r>
      <w:r>
        <w:rPr>
          <w:rFonts w:ascii="Times New Roman" w:hAnsi="Times New Roman" w:cs="Times New Roman" w:eastAsia="Times New Roman" w:hint="default"/>
          <w:spacing w:val="-7"/>
        </w:rPr>
        <w:t>BGI</w:t>
      </w:r>
      <w:r>
        <w:rPr>
          <w:rFonts w:ascii="Times New Roman" w:hAnsi="Times New Roman" w:cs="Times New Roman" w:eastAsia="Times New Roman" w:hint="default"/>
          <w:spacing w:val="-20"/>
        </w:rPr>
        <w:t> </w:t>
      </w:r>
      <w:r>
        <w:rPr>
          <w:rFonts w:ascii="Times New Roman" w:hAnsi="Times New Roman" w:cs="Times New Roman" w:eastAsia="Times New Roman" w:hint="default"/>
        </w:rPr>
        <w:t>Online</w:t>
      </w:r>
      <w:r>
        <w:rPr/>
        <w:t>致力于构建国内基因组学的数据中心和开放的知识社区，吸引不同领域的科学家和开发者共 享数据和工具，共同促进基因组学的研究和发展。</w:t>
      </w:r>
    </w:p>
    <w:p>
      <w:pPr>
        <w:pStyle w:val="BodyText"/>
        <w:spacing w:line="319" w:lineRule="auto" w:before="66"/>
        <w:ind w:left="142" w:right="183" w:firstLine="359"/>
        <w:jc w:val="left"/>
      </w:pPr>
      <w:r>
        <w:rPr/>
        <w:t>华大基因还开发了基于分布式架构的，集数据分析、数据存储、远程传输于一体的云计算系统，进一步 为客户提供高效、便捷的服务。</w:t>
      </w:r>
    </w:p>
    <w:p>
      <w:pPr>
        <w:pStyle w:val="BodyText"/>
        <w:spacing w:line="240" w:lineRule="auto" w:before="58"/>
        <w:ind w:left="501" w:right="183"/>
        <w:jc w:val="left"/>
      </w:pPr>
      <w:r>
        <w:rPr/>
        <w:t>③</w:t>
      </w:r>
      <w:r>
        <w:rPr>
          <w:spacing w:val="1"/>
        </w:rPr>
        <w:t> </w:t>
      </w:r>
      <w:r>
        <w:rPr/>
        <w:t>其他多组学解决方案</w:t>
      </w:r>
    </w:p>
    <w:p>
      <w:pPr>
        <w:spacing w:after="0" w:line="240" w:lineRule="auto"/>
        <w:jc w:val="left"/>
        <w:sectPr>
          <w:pgSz w:w="11910" w:h="16840"/>
          <w:pgMar w:header="880" w:footer="974" w:top="1100" w:bottom="1160" w:left="1560" w:right="1500"/>
        </w:sectPr>
      </w:pPr>
    </w:p>
    <w:p>
      <w:pPr>
        <w:spacing w:line="240" w:lineRule="auto" w:before="0"/>
        <w:rPr>
          <w:rFonts w:ascii="宋体" w:hAnsi="宋体" w:cs="宋体" w:eastAsia="宋体" w:hint="default"/>
          <w:sz w:val="22"/>
          <w:szCs w:val="22"/>
        </w:rPr>
      </w:pPr>
    </w:p>
    <w:p>
      <w:pPr>
        <w:pStyle w:val="BodyText"/>
        <w:spacing w:line="360" w:lineRule="auto" w:before="44"/>
        <w:ind w:left="501" w:right="128"/>
        <w:jc w:val="left"/>
      </w:pPr>
      <w:r>
        <w:rPr/>
        <w:t>华大基因还提供其它多组学研究解决方案，主要包括： 基因分型，通过芯片等技术手段识别一个物种不同个体间基因型的方式，来找到与某种表现性状或疾病</w:t>
      </w:r>
    </w:p>
    <w:p>
      <w:pPr>
        <w:pStyle w:val="BodyText"/>
        <w:spacing w:line="222" w:lineRule="exact"/>
        <w:ind w:left="142" w:right="254"/>
        <w:jc w:val="left"/>
      </w:pPr>
      <w:r>
        <w:rPr/>
        <w:t>相关联的基因。</w:t>
      </w:r>
    </w:p>
    <w:p>
      <w:pPr>
        <w:pStyle w:val="BodyText"/>
        <w:spacing w:line="316" w:lineRule="auto" w:before="115"/>
        <w:ind w:left="142" w:right="128" w:firstLine="359"/>
        <w:jc w:val="left"/>
      </w:pPr>
      <w:r>
        <w:rPr/>
        <w:t>蛋白质组学和代谢组学，在蛋白质和代谢物领域，通过质谱研究基因组、转录组下游的蛋白和代谢物含 量的表达情况。</w:t>
      </w:r>
    </w:p>
    <w:p>
      <w:pPr>
        <w:pStyle w:val="BodyText"/>
        <w:spacing w:line="360" w:lineRule="auto" w:before="59"/>
        <w:ind w:left="501" w:right="128"/>
        <w:jc w:val="left"/>
      </w:pPr>
      <w:r>
        <w:rPr/>
        <w:t>寡核苷酸合成，通过化学方法对特定序列的核苷酸小片段完成合成。 通过上述技术手段的集合，华大基因形成了一整套可以贯穿起来的</w:t>
      </w:r>
      <w:r>
        <w:rPr>
          <w:rFonts w:ascii="Times New Roman" w:hAnsi="Times New Roman" w:cs="Times New Roman" w:eastAsia="Times New Roman" w:hint="default"/>
        </w:rPr>
        <w:t>“</w:t>
      </w:r>
      <w:r>
        <w:rPr/>
        <w:t>组学</w:t>
      </w:r>
      <w:r>
        <w:rPr>
          <w:rFonts w:ascii="Times New Roman" w:hAnsi="Times New Roman" w:cs="Times New Roman" w:eastAsia="Times New Roman" w:hint="default"/>
        </w:rPr>
        <w:t>”</w:t>
      </w:r>
      <w:r>
        <w:rPr/>
        <w:t>研究方法，可以为生物学研究</w:t>
      </w:r>
    </w:p>
    <w:p>
      <w:pPr>
        <w:pStyle w:val="BodyText"/>
        <w:spacing w:line="199" w:lineRule="exact"/>
        <w:ind w:left="142" w:right="254"/>
        <w:jc w:val="left"/>
      </w:pPr>
      <w:r>
        <w:rPr/>
        <w:t>提供全面和系统的研究方案。</w:t>
      </w:r>
    </w:p>
    <w:p>
      <w:pPr>
        <w:spacing w:line="240" w:lineRule="auto" w:before="0"/>
        <w:rPr>
          <w:rFonts w:ascii="宋体" w:hAnsi="宋体" w:cs="宋体" w:eastAsia="宋体" w:hint="default"/>
          <w:sz w:val="15"/>
          <w:szCs w:val="15"/>
        </w:rPr>
      </w:pPr>
    </w:p>
    <w:p>
      <w:pPr>
        <w:pStyle w:val="Heading4"/>
        <w:spacing w:line="240" w:lineRule="auto" w:before="0"/>
        <w:ind w:left="501" w:right="254"/>
        <w:jc w:val="left"/>
        <w:rPr>
          <w:b w:val="0"/>
          <w:bCs w:val="0"/>
        </w:rPr>
      </w:pPr>
      <w:r>
        <w:rPr>
          <w:rFonts w:ascii="Times New Roman" w:hAnsi="Times New Roman" w:cs="Times New Roman" w:eastAsia="Times New Roman" w:hint="default"/>
        </w:rPr>
        <w:t>3</w:t>
      </w:r>
      <w:r>
        <w:rPr/>
        <w:t>、复杂疾病基础研究和临床应用服务</w:t>
      </w:r>
      <w:r>
        <w:rPr>
          <w:b w:val="0"/>
          <w:bCs w:val="0"/>
        </w:rPr>
      </w:r>
    </w:p>
    <w:p>
      <w:pPr>
        <w:spacing w:line="240" w:lineRule="auto" w:before="13"/>
        <w:rPr>
          <w:rFonts w:ascii="宋体" w:hAnsi="宋体" w:cs="宋体" w:eastAsia="宋体" w:hint="default"/>
          <w:b/>
          <w:bCs/>
          <w:sz w:val="13"/>
          <w:szCs w:val="13"/>
        </w:rPr>
      </w:pPr>
    </w:p>
    <w:p>
      <w:pPr>
        <w:pStyle w:val="BodyText"/>
        <w:spacing w:line="338" w:lineRule="auto"/>
        <w:ind w:left="624" w:right="128"/>
        <w:jc w:val="left"/>
      </w:pPr>
      <w:r>
        <w:rPr/>
        <w:t>（</w:t>
      </w:r>
      <w:r>
        <w:rPr>
          <w:rFonts w:ascii="Times New Roman" w:hAnsi="Times New Roman" w:cs="Times New Roman" w:eastAsia="Times New Roman" w:hint="default"/>
        </w:rPr>
        <w:t>1</w:t>
      </w:r>
      <w:r>
        <w:rPr/>
        <w:t>）业务概述 华大基因致力于对各类复杂疾病的致病机理和发展情况进行深入研究，协助疾病研究者充分认识各类</w:t>
      </w:r>
    </w:p>
    <w:p>
      <w:pPr>
        <w:pStyle w:val="BodyText"/>
        <w:spacing w:line="316" w:lineRule="auto" w:before="2"/>
        <w:ind w:left="142" w:right="128"/>
        <w:jc w:val="left"/>
      </w:pPr>
      <w:r>
        <w:rPr/>
        <w:t>复杂疾病的遗传机制，并依据这些研究结果，指导医生更好地开展针对不同人群的疾病预防、诊断、预后以</w:t>
      </w:r>
      <w:r>
        <w:rPr>
          <w:spacing w:val="-57"/>
        </w:rPr>
        <w:t> </w:t>
      </w:r>
      <w:r>
        <w:rPr>
          <w:spacing w:val="-57"/>
        </w:rPr>
      </w:r>
      <w:r>
        <w:rPr/>
        <w:t>及用药指导，帮助医疗机构实现临床复杂疾病的防控。</w:t>
      </w:r>
    </w:p>
    <w:p>
      <w:pPr>
        <w:pStyle w:val="BodyText"/>
        <w:spacing w:line="340" w:lineRule="auto" w:before="59"/>
        <w:ind w:left="501" w:right="3045" w:firstLine="122"/>
        <w:jc w:val="left"/>
      </w:pPr>
      <w:r>
        <w:rPr/>
        <w:t>（</w:t>
      </w:r>
      <w:r>
        <w:rPr>
          <w:rFonts w:ascii="Times New Roman" w:hAnsi="Times New Roman" w:cs="Times New Roman" w:eastAsia="Times New Roman" w:hint="default"/>
        </w:rPr>
        <w:t>2</w:t>
      </w:r>
      <w:r>
        <w:rPr/>
        <w:t>）具体产品介绍 华大基因的复杂疾病研究和临床应用产品主要分为以下几个大类：</w:t>
      </w:r>
    </w:p>
    <w:p>
      <w:pPr>
        <w:spacing w:line="240" w:lineRule="auto" w:before="3"/>
        <w:rPr>
          <w:rFonts w:ascii="宋体" w:hAnsi="宋体" w:cs="宋体" w:eastAsia="宋体" w:hint="default"/>
          <w:sz w:val="2"/>
          <w:szCs w:val="2"/>
        </w:rPr>
      </w:pPr>
    </w:p>
    <w:tbl>
      <w:tblPr>
        <w:tblW w:w="0" w:type="auto"/>
        <w:jc w:val="left"/>
        <w:tblInd w:w="211" w:type="dxa"/>
        <w:tblLayout w:type="fixed"/>
        <w:tblCellMar>
          <w:top w:w="0" w:type="dxa"/>
          <w:left w:w="0" w:type="dxa"/>
          <w:bottom w:w="0" w:type="dxa"/>
          <w:right w:w="0" w:type="dxa"/>
        </w:tblCellMar>
        <w:tblLook w:val="01E0"/>
      </w:tblPr>
      <w:tblGrid>
        <w:gridCol w:w="588"/>
        <w:gridCol w:w="1406"/>
        <w:gridCol w:w="2718"/>
        <w:gridCol w:w="3625"/>
      </w:tblGrid>
      <w:tr>
        <w:trPr>
          <w:trHeight w:val="360" w:hRule="exact"/>
        </w:trPr>
        <w:tc>
          <w:tcPr>
            <w:tcW w:w="58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4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336"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27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362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7"/>
              <w:ind w:left="6"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1025" w:hRule="exact"/>
        </w:trPr>
        <w:tc>
          <w:tcPr>
            <w:tcW w:w="5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18" w:right="156" w:hanging="360"/>
              <w:jc w:val="left"/>
              <w:rPr>
                <w:rFonts w:ascii="宋体" w:hAnsi="宋体" w:cs="宋体" w:eastAsia="宋体" w:hint="default"/>
                <w:sz w:val="18"/>
                <w:szCs w:val="18"/>
              </w:rPr>
            </w:pPr>
            <w:r>
              <w:rPr>
                <w:rFonts w:ascii="宋体" w:hAnsi="宋体" w:cs="宋体" w:eastAsia="宋体" w:hint="default"/>
                <w:sz w:val="18"/>
                <w:szCs w:val="18"/>
              </w:rPr>
              <w:t>复杂疾病基因 检测</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
              <w:ind w:left="103" w:right="82"/>
              <w:jc w:val="both"/>
              <w:rPr>
                <w:rFonts w:ascii="宋体" w:hAnsi="宋体" w:cs="宋体" w:eastAsia="宋体" w:hint="default"/>
                <w:sz w:val="18"/>
                <w:szCs w:val="18"/>
              </w:rPr>
            </w:pPr>
            <w:r>
              <w:rPr>
                <w:rFonts w:ascii="宋体" w:hAnsi="宋体" w:cs="宋体" w:eastAsia="宋体" w:hint="default"/>
                <w:spacing w:val="11"/>
                <w:sz w:val="18"/>
                <w:szCs w:val="18"/>
              </w:rPr>
              <w:t>帮助医生对患者的病情进行准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确诊断，合理用药及预后指导； </w:t>
            </w:r>
            <w:r>
              <w:rPr>
                <w:rFonts w:ascii="宋体" w:hAnsi="宋体" w:cs="宋体" w:eastAsia="宋体" w:hint="default"/>
                <w:spacing w:val="11"/>
                <w:sz w:val="18"/>
                <w:szCs w:val="18"/>
              </w:rPr>
              <w:t>同时配套提供所需检测试剂产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品及服务。</w:t>
            </w:r>
          </w:p>
        </w:tc>
        <w:tc>
          <w:tcPr>
            <w:tcW w:w="3625"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30"/>
              <w:ind w:left="103" w:right="260"/>
              <w:jc w:val="both"/>
              <w:rPr>
                <w:rFonts w:ascii="宋体" w:hAnsi="宋体" w:cs="宋体" w:eastAsia="宋体" w:hint="default"/>
                <w:sz w:val="18"/>
                <w:szCs w:val="18"/>
              </w:rPr>
            </w:pPr>
            <w:r>
              <w:rPr>
                <w:rFonts w:ascii="宋体" w:hAnsi="宋体" w:cs="宋体" w:eastAsia="宋体" w:hint="default"/>
                <w:sz w:val="18"/>
                <w:szCs w:val="18"/>
              </w:rPr>
              <w:t>主要面向遗传性心率失常、骨髓增殖性疾 病、糖尿病、高血压、老年痴呆、肝病、 宫颈癌及罕见病等多种疾病患者。</w:t>
            </w:r>
          </w:p>
        </w:tc>
      </w:tr>
      <w:tr>
        <w:trPr>
          <w:trHeight w:val="790" w:hRule="exact"/>
        </w:trPr>
        <w:tc>
          <w:tcPr>
            <w:tcW w:w="5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
              <w:ind w:left="158" w:right="156"/>
              <w:jc w:val="center"/>
              <w:rPr>
                <w:rFonts w:ascii="宋体" w:hAnsi="宋体" w:cs="宋体" w:eastAsia="宋体" w:hint="default"/>
                <w:sz w:val="18"/>
                <w:szCs w:val="18"/>
              </w:rPr>
            </w:pPr>
            <w:r>
              <w:rPr>
                <w:rFonts w:ascii="宋体" w:hAnsi="宋体" w:cs="宋体" w:eastAsia="宋体" w:hint="default"/>
                <w:sz w:val="18"/>
                <w:szCs w:val="18"/>
              </w:rPr>
              <w:t>肿瘤致病机理 和相关基础研 究</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262"/>
              <w:jc w:val="left"/>
              <w:rPr>
                <w:rFonts w:ascii="宋体" w:hAnsi="宋体" w:cs="宋体" w:eastAsia="宋体" w:hint="default"/>
                <w:sz w:val="18"/>
                <w:szCs w:val="18"/>
              </w:rPr>
            </w:pPr>
            <w:r>
              <w:rPr>
                <w:rFonts w:ascii="宋体" w:hAnsi="宋体" w:cs="宋体" w:eastAsia="宋体" w:hint="default"/>
                <w:sz w:val="18"/>
                <w:szCs w:val="18"/>
              </w:rPr>
              <w:t>提供肿瘤致病机理和相关基础 研究的科研解决方案。</w:t>
            </w:r>
          </w:p>
        </w:tc>
        <w:tc>
          <w:tcPr>
            <w:tcW w:w="3625"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3"/>
              <w:ind w:left="103" w:right="260"/>
              <w:jc w:val="both"/>
              <w:rPr>
                <w:rFonts w:ascii="宋体" w:hAnsi="宋体" w:cs="宋体" w:eastAsia="宋体" w:hint="default"/>
                <w:sz w:val="18"/>
                <w:szCs w:val="18"/>
              </w:rPr>
            </w:pPr>
            <w:r>
              <w:rPr>
                <w:rFonts w:ascii="宋体" w:hAnsi="宋体" w:cs="宋体" w:eastAsia="宋体" w:hint="default"/>
                <w:sz w:val="18"/>
                <w:szCs w:val="18"/>
              </w:rPr>
              <w:t>主要用于帮助肿瘤研究者设计研究方案、 挑选肿瘤样本、产生数据和提供分析结果 等。</w:t>
            </w:r>
          </w:p>
        </w:tc>
      </w:tr>
      <w:tr>
        <w:trPr>
          <w:trHeight w:val="1258" w:hRule="exact"/>
        </w:trPr>
        <w:tc>
          <w:tcPr>
            <w:tcW w:w="5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27" w:right="156" w:hanging="269"/>
              <w:jc w:val="left"/>
              <w:rPr>
                <w:rFonts w:ascii="宋体" w:hAnsi="宋体" w:cs="宋体" w:eastAsia="宋体" w:hint="default"/>
                <w:sz w:val="18"/>
                <w:szCs w:val="18"/>
              </w:rPr>
            </w:pPr>
            <w:r>
              <w:rPr>
                <w:rFonts w:ascii="宋体" w:hAnsi="宋体" w:cs="宋体" w:eastAsia="宋体" w:hint="default"/>
                <w:sz w:val="18"/>
                <w:szCs w:val="18"/>
              </w:rPr>
              <w:t>遗传性肿瘤基 因检测</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103" w:right="262"/>
              <w:jc w:val="both"/>
              <w:rPr>
                <w:rFonts w:ascii="宋体" w:hAnsi="宋体" w:cs="宋体" w:eastAsia="宋体" w:hint="default"/>
                <w:sz w:val="18"/>
                <w:szCs w:val="18"/>
              </w:rPr>
            </w:pPr>
            <w:r>
              <w:rPr>
                <w:rFonts w:ascii="宋体" w:hAnsi="宋体" w:cs="宋体" w:eastAsia="宋体" w:hint="default"/>
                <w:sz w:val="18"/>
                <w:szCs w:val="18"/>
              </w:rPr>
              <w:t>帮助肿瘤患者及家属和有肿瘤 家族史的健康人群评估肿瘤的 遗传性风险，为患者及家族健 康人群提供肿瘤家族风险管理 参考。</w:t>
            </w:r>
          </w:p>
        </w:tc>
        <w:tc>
          <w:tcPr>
            <w:tcW w:w="36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8"/>
              <w:ind w:left="103" w:right="260"/>
              <w:jc w:val="both"/>
              <w:rPr>
                <w:rFonts w:ascii="宋体" w:hAnsi="宋体" w:cs="宋体" w:eastAsia="宋体" w:hint="default"/>
                <w:sz w:val="18"/>
                <w:szCs w:val="18"/>
              </w:rPr>
            </w:pPr>
            <w:r>
              <w:rPr>
                <w:rFonts w:ascii="宋体" w:hAnsi="宋体" w:cs="宋体" w:eastAsia="宋体" w:hint="default"/>
                <w:sz w:val="18"/>
                <w:szCs w:val="18"/>
              </w:rPr>
              <w:t>主要用于遗传性乳腺癌、遗传性卵巢癌、 遗传性结直肠癌、遗传性胃癌、遗传性前 列腺癌、遗传性甲状腺癌、视网膜母细胞 瘤、遗传性神经纤维瘤等。</w:t>
            </w:r>
          </w:p>
        </w:tc>
      </w:tr>
      <w:tr>
        <w:trPr>
          <w:trHeight w:val="1025" w:hRule="exact"/>
        </w:trPr>
        <w:tc>
          <w:tcPr>
            <w:tcW w:w="5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0"/>
              <w:ind w:left="158" w:right="156"/>
              <w:jc w:val="center"/>
              <w:rPr>
                <w:rFonts w:ascii="宋体" w:hAnsi="宋体" w:cs="宋体" w:eastAsia="宋体" w:hint="default"/>
                <w:sz w:val="18"/>
                <w:szCs w:val="18"/>
              </w:rPr>
            </w:pPr>
            <w:r>
              <w:rPr>
                <w:rFonts w:ascii="宋体" w:hAnsi="宋体" w:cs="宋体" w:eastAsia="宋体" w:hint="default"/>
                <w:sz w:val="18"/>
                <w:szCs w:val="18"/>
              </w:rPr>
              <w:t>肿瘤常规个体 化用药基因检 测</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0"/>
              <w:ind w:left="103" w:right="262"/>
              <w:jc w:val="both"/>
              <w:rPr>
                <w:rFonts w:ascii="宋体" w:hAnsi="宋体" w:cs="宋体" w:eastAsia="宋体" w:hint="default"/>
                <w:sz w:val="18"/>
                <w:szCs w:val="18"/>
              </w:rPr>
            </w:pPr>
            <w:r>
              <w:rPr>
                <w:rFonts w:ascii="宋体" w:hAnsi="宋体" w:cs="宋体" w:eastAsia="宋体" w:hint="default"/>
                <w:sz w:val="18"/>
                <w:szCs w:val="18"/>
              </w:rPr>
              <w:t>帮助医生判断患者对某些化疗 药物的敏感性和毒副作用的强 弱。</w:t>
            </w:r>
          </w:p>
        </w:tc>
        <w:tc>
          <w:tcPr>
            <w:tcW w:w="36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3" w:right="260"/>
              <w:jc w:val="left"/>
              <w:rPr>
                <w:rFonts w:ascii="宋体" w:hAnsi="宋体" w:cs="宋体" w:eastAsia="宋体" w:hint="default"/>
                <w:sz w:val="18"/>
                <w:szCs w:val="18"/>
              </w:rPr>
            </w:pPr>
            <w:r>
              <w:rPr>
                <w:rFonts w:ascii="宋体" w:hAnsi="宋体" w:cs="宋体" w:eastAsia="宋体" w:hint="default"/>
                <w:sz w:val="18"/>
                <w:szCs w:val="18"/>
              </w:rPr>
              <w:t>主要用于肺癌、乳腺癌、卵巢癌、胃癌、 结直肠癌、前列腺癌等，以便帮助医生针 对患者的个体化差异选择合适的化疗药 物。</w:t>
            </w:r>
          </w:p>
        </w:tc>
      </w:tr>
      <w:tr>
        <w:trPr>
          <w:trHeight w:val="2425" w:hRule="exact"/>
        </w:trPr>
        <w:tc>
          <w:tcPr>
            <w:tcW w:w="5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58" w:right="156"/>
              <w:jc w:val="center"/>
              <w:rPr>
                <w:rFonts w:ascii="宋体" w:hAnsi="宋体" w:cs="宋体" w:eastAsia="宋体" w:hint="default"/>
                <w:sz w:val="18"/>
                <w:szCs w:val="18"/>
              </w:rPr>
            </w:pPr>
            <w:r>
              <w:rPr>
                <w:rFonts w:ascii="宋体" w:hAnsi="宋体" w:cs="宋体" w:eastAsia="宋体" w:hint="default"/>
                <w:sz w:val="18"/>
                <w:szCs w:val="18"/>
              </w:rPr>
              <w:t>肿瘤个体化用 药指导系列基 因检测</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5" w:lineRule="auto" w:before="130"/>
              <w:ind w:left="103" w:right="142"/>
              <w:jc w:val="left"/>
              <w:rPr>
                <w:rFonts w:ascii="宋体" w:hAnsi="宋体" w:cs="宋体" w:eastAsia="宋体" w:hint="default"/>
                <w:sz w:val="18"/>
                <w:szCs w:val="18"/>
              </w:rPr>
            </w:pPr>
            <w:r>
              <w:rPr>
                <w:rFonts w:ascii="宋体" w:hAnsi="宋体" w:cs="宋体" w:eastAsia="宋体" w:hint="default"/>
                <w:sz w:val="18"/>
                <w:szCs w:val="18"/>
              </w:rPr>
              <w:t>针对肺癌、结直肠癌、卵巢癌 以及其他所有实体肿瘤、血液 及淋巴肿瘤的组织或外周血循 环肿瘤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进行全面的靶向药 物、化疗药物基因检测，为临 床医生治疗患者提供参考依 据。</w:t>
            </w:r>
          </w:p>
        </w:tc>
        <w:tc>
          <w:tcPr>
            <w:tcW w:w="3625"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2"/>
              <w:ind w:left="103" w:right="140"/>
              <w:jc w:val="left"/>
              <w:rPr>
                <w:rFonts w:ascii="宋体" w:hAnsi="宋体" w:cs="宋体" w:eastAsia="宋体" w:hint="default"/>
                <w:sz w:val="18"/>
                <w:szCs w:val="18"/>
              </w:rPr>
            </w:pPr>
            <w:r>
              <w:rPr>
                <w:rFonts w:ascii="宋体" w:hAnsi="宋体" w:cs="宋体" w:eastAsia="宋体" w:hint="default"/>
                <w:sz w:val="18"/>
                <w:szCs w:val="18"/>
              </w:rPr>
              <w:t>主要用于肺癌、乳腺癌、卵巢癌、子宫内 膜癌、宫颈癌、结直肠癌、胃癌、肝癌、 肾癌、胰腺癌、胃肠道间质瘤、膀胱癌、 口腔癌等实体肿瘤进行检测。外周血中循 环肿瘤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检测技术打破原有临床上肿瘤 组织样本非常有限和不能持续多次活检监 测肿瘤患者耐药变化的限制，能够实现对 肿瘤患者用药有效情况的及时监测并能为 医生根据肿瘤进展情况及时调整用药方案 提供临床依据。</w:t>
            </w:r>
          </w:p>
        </w:tc>
      </w:tr>
      <w:tr>
        <w:trPr>
          <w:trHeight w:val="1032" w:hRule="exact"/>
        </w:trPr>
        <w:tc>
          <w:tcPr>
            <w:tcW w:w="5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6</w:t>
            </w:r>
          </w:p>
        </w:tc>
        <w:tc>
          <w:tcPr>
            <w:tcW w:w="1406" w:type="dxa"/>
            <w:tcBorders>
              <w:top w:val="single" w:sz="4" w:space="0" w:color="000000"/>
              <w:left w:val="single" w:sz="4" w:space="0" w:color="000000"/>
              <w:bottom w:val="single" w:sz="12" w:space="0" w:color="000000"/>
              <w:right w:val="single" w:sz="4" w:space="0" w:color="000000"/>
            </w:tcBorders>
          </w:tcPr>
          <w:p>
            <w:pPr>
              <w:pStyle w:val="TableParagraph"/>
              <w:spacing w:line="237" w:lineRule="auto" w:before="130"/>
              <w:ind w:left="158" w:right="156"/>
              <w:jc w:val="center"/>
              <w:rPr>
                <w:rFonts w:ascii="宋体" w:hAnsi="宋体" w:cs="宋体" w:eastAsia="宋体" w:hint="default"/>
                <w:sz w:val="18"/>
                <w:szCs w:val="18"/>
              </w:rPr>
            </w:pPr>
            <w:r>
              <w:rPr>
                <w:rFonts w:ascii="宋体" w:hAnsi="宋体" w:cs="宋体" w:eastAsia="宋体" w:hint="default"/>
                <w:sz w:val="18"/>
                <w:szCs w:val="18"/>
              </w:rPr>
              <w:t>复杂疾病相关 的仪器与试剂 销售</w:t>
            </w:r>
          </w:p>
        </w:tc>
        <w:tc>
          <w:tcPr>
            <w:tcW w:w="27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03" w:right="262"/>
              <w:jc w:val="left"/>
              <w:rPr>
                <w:rFonts w:ascii="宋体" w:hAnsi="宋体" w:cs="宋体" w:eastAsia="宋体" w:hint="default"/>
                <w:sz w:val="18"/>
                <w:szCs w:val="18"/>
              </w:rPr>
            </w:pPr>
            <w:r>
              <w:rPr>
                <w:rFonts w:ascii="宋体" w:hAnsi="宋体" w:cs="宋体" w:eastAsia="宋体" w:hint="default"/>
                <w:sz w:val="18"/>
                <w:szCs w:val="18"/>
              </w:rPr>
              <w:t>为医疗机构、第三方检验公司 提供实验室所需的仪器与试 剂，综合支撑其提供复杂疾病 相关检测服务。</w:t>
            </w:r>
          </w:p>
        </w:tc>
        <w:tc>
          <w:tcPr>
            <w:tcW w:w="362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主要应用于复杂疾病相关的检测领域。</w:t>
            </w:r>
          </w:p>
        </w:tc>
      </w:tr>
    </w:tbl>
    <w:p>
      <w:pPr>
        <w:spacing w:line="240" w:lineRule="auto" w:before="10"/>
        <w:rPr>
          <w:rFonts w:ascii="宋体" w:hAnsi="宋体" w:cs="宋体" w:eastAsia="宋体" w:hint="default"/>
          <w:sz w:val="6"/>
          <w:szCs w:val="6"/>
        </w:rPr>
      </w:pPr>
    </w:p>
    <w:p>
      <w:pPr>
        <w:pStyle w:val="Heading4"/>
        <w:spacing w:line="240" w:lineRule="auto"/>
        <w:ind w:left="501" w:right="254"/>
        <w:jc w:val="left"/>
        <w:rPr>
          <w:b w:val="0"/>
          <w:bCs w:val="0"/>
        </w:rPr>
      </w:pPr>
      <w:r>
        <w:rPr>
          <w:rFonts w:ascii="Times New Roman" w:hAnsi="Times New Roman" w:cs="Times New Roman" w:eastAsia="Times New Roman" w:hint="default"/>
        </w:rPr>
        <w:t>4</w:t>
      </w:r>
      <w:r>
        <w:rPr/>
        <w:t>、药物基础研究和临床应用服务</w:t>
      </w:r>
      <w:r>
        <w:rPr>
          <w:b w:val="0"/>
          <w:bCs w:val="0"/>
        </w:rPr>
      </w:r>
    </w:p>
    <w:p>
      <w:pPr>
        <w:spacing w:after="0" w:line="240" w:lineRule="auto"/>
        <w:jc w:val="left"/>
        <w:sectPr>
          <w:pgSz w:w="11910" w:h="16840"/>
          <w:pgMar w:header="880" w:footer="974" w:top="1100" w:bottom="1160" w:left="1560" w:right="1560"/>
        </w:sectPr>
      </w:pPr>
    </w:p>
    <w:p>
      <w:pPr>
        <w:spacing w:line="240" w:lineRule="auto" w:before="0"/>
        <w:rPr>
          <w:rFonts w:ascii="宋体" w:hAnsi="宋体" w:cs="宋体" w:eastAsia="宋体" w:hint="default"/>
          <w:b/>
          <w:bCs/>
          <w:sz w:val="22"/>
          <w:szCs w:val="22"/>
        </w:rPr>
      </w:pPr>
    </w:p>
    <w:p>
      <w:pPr>
        <w:pStyle w:val="BodyText"/>
        <w:spacing w:line="415" w:lineRule="auto" w:before="44"/>
        <w:ind w:left="501" w:right="128"/>
        <w:jc w:val="left"/>
      </w:pPr>
      <w:r>
        <w:rPr/>
        <w:t>（</w:t>
      </w:r>
      <w:r>
        <w:rPr>
          <w:rFonts w:ascii="Times New Roman" w:hAnsi="Times New Roman" w:cs="Times New Roman" w:eastAsia="Times New Roman" w:hint="default"/>
        </w:rPr>
        <w:t>1</w:t>
      </w:r>
      <w:r>
        <w:rPr/>
        <w:t>）业务概述 医药领域一直是生物研究的重要领域，通常新药的开发包括疾病致病机理研究、药物先导分子筛选和优</w:t>
      </w:r>
    </w:p>
    <w:p>
      <w:pPr>
        <w:pStyle w:val="BodyText"/>
        <w:spacing w:line="194" w:lineRule="exact"/>
        <w:ind w:left="142" w:right="0"/>
        <w:jc w:val="both"/>
      </w:pPr>
      <w:r>
        <w:rPr>
          <w:spacing w:val="-3"/>
        </w:rPr>
        <w:t>化、临床前测试、</w:t>
      </w:r>
      <w:r>
        <w:rPr>
          <w:rFonts w:ascii="Times New Roman" w:hAnsi="Times New Roman" w:cs="Times New Roman" w:eastAsia="Times New Roman" w:hint="default"/>
          <w:spacing w:val="-3"/>
        </w:rPr>
        <w:t>I-III</w:t>
      </w:r>
      <w:r>
        <w:rPr>
          <w:spacing w:val="-3"/>
        </w:rPr>
        <w:t>期临床测试直至新药上市几个阶段，整个过程需</w:t>
      </w:r>
      <w:r>
        <w:rPr>
          <w:rFonts w:ascii="Times New Roman" w:hAnsi="Times New Roman" w:cs="Times New Roman" w:eastAsia="Times New Roman" w:hint="default"/>
          <w:spacing w:val="-3"/>
        </w:rPr>
        <w:t>10-15</w:t>
      </w:r>
      <w:r>
        <w:rPr>
          <w:spacing w:val="-3"/>
        </w:rPr>
        <w:t>年，平均投入经费约</w:t>
      </w:r>
      <w:r>
        <w:rPr>
          <w:rFonts w:ascii="Times New Roman" w:hAnsi="Times New Roman" w:cs="Times New Roman" w:eastAsia="Times New Roman" w:hint="default"/>
          <w:spacing w:val="-3"/>
        </w:rPr>
        <w:t>10</w:t>
      </w:r>
      <w:r>
        <w:rPr>
          <w:spacing w:val="-3"/>
        </w:rPr>
        <w:t>亿美金。华</w:t>
      </w:r>
    </w:p>
    <w:p>
      <w:pPr>
        <w:pStyle w:val="BodyText"/>
        <w:spacing w:line="316" w:lineRule="auto" w:before="63"/>
        <w:ind w:left="142" w:right="145"/>
        <w:jc w:val="both"/>
      </w:pPr>
      <w:r>
        <w:rPr/>
        <w:t>大基因在多年研究经验的基础上，针对传统上漫长而又艰难的新药研发流程，扩展开发了致病机理发现、生</w:t>
      </w:r>
      <w:r>
        <w:rPr>
          <w:spacing w:val="-57"/>
        </w:rPr>
        <w:t> </w:t>
      </w:r>
      <w:r>
        <w:rPr>
          <w:spacing w:val="-57"/>
        </w:rPr>
      </w:r>
      <w:r>
        <w:rPr/>
        <w:t>物标记开发、药物靶位确认和药物风险管控等全套的药物基因组学研究业务，可以有效帮助制药公司客户缩</w:t>
      </w:r>
      <w:r>
        <w:rPr>
          <w:spacing w:val="-57"/>
        </w:rPr>
        <w:t> </w:t>
      </w:r>
      <w:r>
        <w:rPr>
          <w:spacing w:val="-57"/>
        </w:rPr>
      </w:r>
      <w:r>
        <w:rPr/>
        <w:t>短药物的研究与开发周期，提高药物的临床批准率，减少药物研究与开发的风险。</w:t>
      </w:r>
    </w:p>
    <w:p>
      <w:pPr>
        <w:pStyle w:val="BodyText"/>
        <w:spacing w:line="240" w:lineRule="auto" w:before="141"/>
        <w:ind w:left="501" w:right="254"/>
        <w:jc w:val="left"/>
      </w:pPr>
      <w:r>
        <w:rPr/>
        <w:t>（</w:t>
      </w:r>
      <w:r>
        <w:rPr>
          <w:rFonts w:ascii="Times New Roman" w:hAnsi="Times New Roman" w:cs="Times New Roman" w:eastAsia="Times New Roman" w:hint="default"/>
        </w:rPr>
        <w:t>2</w:t>
      </w:r>
      <w:r>
        <w:rPr/>
        <w:t>）具体产品介绍</w:t>
      </w:r>
    </w:p>
    <w:p>
      <w:pPr>
        <w:spacing w:line="240" w:lineRule="auto" w:before="13"/>
        <w:rPr>
          <w:rFonts w:ascii="宋体" w:hAnsi="宋体" w:cs="宋体" w:eastAsia="宋体" w:hint="default"/>
          <w:sz w:val="12"/>
          <w:szCs w:val="12"/>
        </w:rPr>
      </w:pPr>
    </w:p>
    <w:tbl>
      <w:tblPr>
        <w:tblW w:w="0" w:type="auto"/>
        <w:jc w:val="left"/>
        <w:tblInd w:w="250" w:type="dxa"/>
        <w:tblLayout w:type="fixed"/>
        <w:tblCellMar>
          <w:top w:w="0" w:type="dxa"/>
          <w:left w:w="0" w:type="dxa"/>
          <w:bottom w:w="0" w:type="dxa"/>
          <w:right w:w="0" w:type="dxa"/>
        </w:tblCellMar>
        <w:tblLook w:val="01E0"/>
      </w:tblPr>
      <w:tblGrid>
        <w:gridCol w:w="708"/>
        <w:gridCol w:w="2005"/>
        <w:gridCol w:w="5550"/>
      </w:tblGrid>
      <w:tr>
        <w:trPr>
          <w:trHeight w:val="360" w:hRule="exact"/>
        </w:trPr>
        <w:tc>
          <w:tcPr>
            <w:tcW w:w="70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0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633"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555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557" w:hRule="exact"/>
        </w:trPr>
        <w:tc>
          <w:tcPr>
            <w:tcW w:w="7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1</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疾病致病机理研究</w:t>
            </w:r>
          </w:p>
        </w:tc>
        <w:tc>
          <w:tcPr>
            <w:tcW w:w="55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0" w:right="94"/>
              <w:jc w:val="left"/>
              <w:rPr>
                <w:rFonts w:ascii="宋体" w:hAnsi="宋体" w:cs="宋体" w:eastAsia="宋体" w:hint="default"/>
                <w:sz w:val="18"/>
                <w:szCs w:val="18"/>
              </w:rPr>
            </w:pPr>
            <w:r>
              <w:rPr>
                <w:rFonts w:ascii="宋体" w:hAnsi="宋体" w:cs="宋体" w:eastAsia="宋体" w:hint="default"/>
                <w:spacing w:val="-3"/>
                <w:sz w:val="18"/>
                <w:szCs w:val="18"/>
              </w:rPr>
              <w:t>主要用于帮助制药公司了解待治疗疾病的遗传背景和致病机制，为针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对性靶向药物筛选提供可靠的靶标。</w:t>
            </w:r>
          </w:p>
        </w:tc>
      </w:tr>
      <w:tr>
        <w:trPr>
          <w:trHeight w:val="1025" w:hRule="exact"/>
        </w:trPr>
        <w:tc>
          <w:tcPr>
            <w:tcW w:w="7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2</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272"/>
              <w:jc w:val="left"/>
              <w:rPr>
                <w:rFonts w:ascii="宋体" w:hAnsi="宋体" w:cs="宋体" w:eastAsia="宋体" w:hint="default"/>
                <w:sz w:val="18"/>
                <w:szCs w:val="18"/>
              </w:rPr>
            </w:pPr>
            <w:r>
              <w:rPr>
                <w:rFonts w:ascii="宋体" w:hAnsi="宋体" w:cs="宋体" w:eastAsia="宋体" w:hint="default"/>
                <w:sz w:val="18"/>
                <w:szCs w:val="18"/>
              </w:rPr>
              <w:t>药物先导分子筛选和 优化</w:t>
            </w:r>
          </w:p>
        </w:tc>
        <w:tc>
          <w:tcPr>
            <w:tcW w:w="55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0" w:right="207"/>
              <w:jc w:val="both"/>
              <w:rPr>
                <w:rFonts w:ascii="宋体" w:hAnsi="宋体" w:cs="宋体" w:eastAsia="宋体" w:hint="default"/>
                <w:sz w:val="18"/>
                <w:szCs w:val="18"/>
              </w:rPr>
            </w:pPr>
            <w:r>
              <w:rPr>
                <w:rFonts w:ascii="宋体" w:hAnsi="宋体" w:cs="宋体" w:eastAsia="宋体" w:hint="default"/>
                <w:sz w:val="18"/>
                <w:szCs w:val="18"/>
              </w:rPr>
              <w:t>主要用于帮助制药公司从数百万级别的药物核心基团中快速筛选到 能作用于疾病靶标的分子。华大基因针对抗体分子的免疫组库测序 技术，可以不通过动物培养或杂交瘤细胞实验，直接获得单克隆抗 体的序列。</w:t>
            </w:r>
          </w:p>
        </w:tc>
      </w:tr>
      <w:tr>
        <w:trPr>
          <w:trHeight w:val="790" w:hRule="exact"/>
        </w:trPr>
        <w:tc>
          <w:tcPr>
            <w:tcW w:w="7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3</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临床前测试</w:t>
            </w:r>
          </w:p>
        </w:tc>
        <w:tc>
          <w:tcPr>
            <w:tcW w:w="5550"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2"/>
              <w:ind w:left="100" w:right="207"/>
              <w:jc w:val="both"/>
              <w:rPr>
                <w:rFonts w:ascii="宋体" w:hAnsi="宋体" w:cs="宋体" w:eastAsia="宋体" w:hint="default"/>
                <w:sz w:val="18"/>
                <w:szCs w:val="18"/>
              </w:rPr>
            </w:pPr>
            <w:r>
              <w:rPr>
                <w:rFonts w:ascii="宋体" w:hAnsi="宋体" w:cs="宋体" w:eastAsia="宋体" w:hint="default"/>
                <w:sz w:val="18"/>
                <w:szCs w:val="18"/>
              </w:rPr>
              <w:t>主要用于帮助制药公司监控临床前实验中所用细胞系和疾病模式动 物是否能够模拟表现人类疾病，以及获得药物药效，药物动力学， 药物代谢，毒理与用药个体的初步关系。</w:t>
            </w:r>
          </w:p>
        </w:tc>
      </w:tr>
      <w:tr>
        <w:trPr>
          <w:trHeight w:val="790" w:hRule="exact"/>
        </w:trPr>
        <w:tc>
          <w:tcPr>
            <w:tcW w:w="7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期临床测试</w:t>
            </w:r>
          </w:p>
        </w:tc>
        <w:tc>
          <w:tcPr>
            <w:tcW w:w="5550"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2"/>
              <w:ind w:left="100" w:right="207"/>
              <w:jc w:val="both"/>
              <w:rPr>
                <w:rFonts w:ascii="宋体" w:hAnsi="宋体" w:cs="宋体" w:eastAsia="宋体" w:hint="default"/>
                <w:sz w:val="18"/>
                <w:szCs w:val="18"/>
              </w:rPr>
            </w:pPr>
            <w:r>
              <w:rPr>
                <w:rFonts w:ascii="宋体" w:hAnsi="宋体" w:cs="宋体" w:eastAsia="宋体" w:hint="default"/>
                <w:sz w:val="18"/>
                <w:szCs w:val="18"/>
              </w:rPr>
              <w:t>主要用于帮助制药公司筛选具有药物靶标的临床实验病人，提高用 药成功率，以及获得药物药效、药物动力学、药物代谢、毒理与用 药个体的具体关系。</w:t>
            </w:r>
          </w:p>
        </w:tc>
      </w:tr>
      <w:tr>
        <w:trPr>
          <w:trHeight w:val="672" w:hRule="exact"/>
        </w:trPr>
        <w:tc>
          <w:tcPr>
            <w:tcW w:w="70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5</w:t>
            </w:r>
          </w:p>
        </w:tc>
        <w:tc>
          <w:tcPr>
            <w:tcW w:w="20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伴随诊断</w:t>
            </w:r>
          </w:p>
        </w:tc>
        <w:tc>
          <w:tcPr>
            <w:tcW w:w="5550" w:type="dxa"/>
            <w:tcBorders>
              <w:top w:val="single" w:sz="4" w:space="0" w:color="000000"/>
              <w:left w:val="single" w:sz="4" w:space="0" w:color="000000"/>
              <w:bottom w:val="single" w:sz="12" w:space="0" w:color="000000"/>
              <w:right w:val="single" w:sz="12" w:space="0" w:color="000000"/>
            </w:tcBorders>
          </w:tcPr>
          <w:p>
            <w:pPr>
              <w:pStyle w:val="TableParagraph"/>
              <w:spacing w:line="236" w:lineRule="exact" w:before="87"/>
              <w:ind w:left="100" w:right="226"/>
              <w:jc w:val="left"/>
              <w:rPr>
                <w:rFonts w:ascii="宋体" w:hAnsi="宋体" w:cs="宋体" w:eastAsia="宋体" w:hint="default"/>
                <w:sz w:val="18"/>
                <w:szCs w:val="18"/>
              </w:rPr>
            </w:pPr>
            <w:r>
              <w:rPr>
                <w:rFonts w:ascii="宋体" w:hAnsi="宋体" w:cs="宋体" w:eastAsia="宋体" w:hint="default"/>
                <w:sz w:val="18"/>
                <w:szCs w:val="18"/>
              </w:rPr>
              <w:t>主要用于临床试验阶段</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w:t>
            </w:r>
            <w:r>
              <w:rPr>
                <w:rFonts w:ascii="宋体" w:hAnsi="宋体" w:cs="宋体" w:eastAsia="宋体" w:hint="default"/>
                <w:sz w:val="18"/>
                <w:szCs w:val="18"/>
              </w:rPr>
              <w:t>－</w:t>
            </w:r>
            <w:r>
              <w:rPr>
                <w:rFonts w:ascii="Times New Roman" w:hAnsi="Times New Roman" w:cs="Times New Roman" w:eastAsia="Times New Roman" w:hint="default"/>
                <w:sz w:val="18"/>
                <w:szCs w:val="18"/>
              </w:rPr>
              <w:t>IV </w:t>
            </w:r>
            <w:r>
              <w:rPr>
                <w:rFonts w:ascii="宋体" w:hAnsi="宋体" w:cs="宋体" w:eastAsia="宋体" w:hint="default"/>
                <w:sz w:val="18"/>
                <w:szCs w:val="18"/>
              </w:rPr>
              <w:t>期的肿瘤药物，开发伴随诊断生物标 </w:t>
            </w:r>
            <w:r>
              <w:rPr>
                <w:rFonts w:ascii="宋体" w:hAnsi="宋体" w:cs="宋体" w:eastAsia="宋体" w:hint="default"/>
                <w:spacing w:val="-4"/>
                <w:w w:val="100"/>
                <w:sz w:val="18"/>
                <w:szCs w:val="18"/>
              </w:rPr>
              <w:t>志物（</w:t>
            </w:r>
            <w:r>
              <w:rPr>
                <w:rFonts w:ascii="Times New Roman" w:hAnsi="Times New Roman" w:cs="Times New Roman" w:eastAsia="Times New Roman" w:hint="default"/>
                <w:spacing w:val="-4"/>
                <w:w w:val="100"/>
                <w:sz w:val="18"/>
                <w:szCs w:val="18"/>
              </w:rPr>
              <w:t>biomarker</w:t>
            </w:r>
            <w:r>
              <w:rPr>
                <w:rFonts w:ascii="宋体" w:hAnsi="宋体" w:cs="宋体" w:eastAsia="宋体" w:hint="default"/>
                <w:spacing w:val="-4"/>
                <w:w w:val="100"/>
                <w:sz w:val="18"/>
                <w:szCs w:val="18"/>
              </w:rPr>
              <w:t>），筛选病人，实现精准肿瘤药物治疗。</w:t>
            </w:r>
            <w:r>
              <w:rPr>
                <w:rFonts w:ascii="宋体" w:hAnsi="宋体" w:cs="宋体" w:eastAsia="宋体" w:hint="default"/>
                <w:spacing w:val="-4"/>
                <w:sz w:val="18"/>
                <w:szCs w:val="18"/>
              </w:rPr>
            </w:r>
          </w:p>
        </w:tc>
      </w:tr>
    </w:tbl>
    <w:p>
      <w:pPr>
        <w:spacing w:line="240" w:lineRule="auto" w:before="10"/>
        <w:rPr>
          <w:rFonts w:ascii="宋体" w:hAnsi="宋体" w:cs="宋体" w:eastAsia="宋体" w:hint="default"/>
          <w:sz w:val="6"/>
          <w:szCs w:val="6"/>
        </w:rPr>
      </w:pPr>
    </w:p>
    <w:p>
      <w:pPr>
        <w:pStyle w:val="Heading4"/>
        <w:spacing w:line="240" w:lineRule="auto"/>
        <w:ind w:left="413" w:right="254"/>
        <w:jc w:val="left"/>
        <w:rPr>
          <w:b w:val="0"/>
          <w:bCs w:val="0"/>
        </w:rPr>
      </w:pPr>
      <w:r>
        <w:rPr/>
        <w:t>（三）</w:t>
      </w:r>
      <w:r>
        <w:rPr>
          <w:spacing w:val="86"/>
        </w:rPr>
        <w:t> </w:t>
      </w:r>
      <w:r>
        <w:rPr/>
        <w:t>主要经营模式</w:t>
      </w:r>
      <w:r>
        <w:rPr>
          <w:b w:val="0"/>
          <w:bCs w:val="0"/>
        </w:rPr>
      </w:r>
    </w:p>
    <w:p>
      <w:pPr>
        <w:spacing w:line="240" w:lineRule="auto" w:before="0"/>
        <w:rPr>
          <w:rFonts w:ascii="宋体" w:hAnsi="宋体" w:cs="宋体" w:eastAsia="宋体" w:hint="default"/>
          <w:b/>
          <w:bCs/>
          <w:sz w:val="15"/>
          <w:szCs w:val="15"/>
        </w:rPr>
      </w:pPr>
    </w:p>
    <w:p>
      <w:pPr>
        <w:pStyle w:val="Heading4"/>
        <w:spacing w:line="240" w:lineRule="auto" w:before="0"/>
        <w:ind w:left="501" w:right="254"/>
        <w:jc w:val="left"/>
        <w:rPr>
          <w:b w:val="0"/>
          <w:bCs w:val="0"/>
        </w:rPr>
      </w:pPr>
      <w:r>
        <w:rPr>
          <w:rFonts w:ascii="Times New Roman" w:hAnsi="Times New Roman" w:cs="Times New Roman" w:eastAsia="Times New Roman" w:hint="default"/>
        </w:rPr>
        <w:t>1</w:t>
      </w:r>
      <w:r>
        <w:rPr/>
        <w:t>、采购模式</w:t>
      </w:r>
      <w:r>
        <w:rPr>
          <w:b w:val="0"/>
          <w:bCs w:val="0"/>
        </w:rPr>
      </w:r>
    </w:p>
    <w:p>
      <w:pPr>
        <w:pStyle w:val="BodyText"/>
        <w:spacing w:line="420" w:lineRule="atLeast" w:before="12"/>
        <w:ind w:left="501" w:right="128" w:hanging="3"/>
        <w:jc w:val="left"/>
      </w:pPr>
      <w:r>
        <w:rPr/>
        <w:t>（</w:t>
      </w:r>
      <w:r>
        <w:rPr>
          <w:rFonts w:ascii="Times New Roman" w:hAnsi="Times New Roman" w:cs="Times New Roman" w:eastAsia="Times New Roman" w:hint="default"/>
        </w:rPr>
        <w:t>1</w:t>
      </w:r>
      <w:r>
        <w:rPr/>
        <w:t>）供应商选择 公司根据采购需求将具备相应资质的供应商列入初选供应商名单；随后通过调研考察供应商的产品质量</w:t>
      </w:r>
    </w:p>
    <w:p>
      <w:pPr>
        <w:pStyle w:val="BodyText"/>
        <w:spacing w:line="316" w:lineRule="auto" w:before="76"/>
        <w:ind w:left="142" w:right="128"/>
        <w:jc w:val="left"/>
      </w:pPr>
      <w:r>
        <w:rPr>
          <w:spacing w:val="-3"/>
        </w:rPr>
        <w:t>和供应能力，对样品进行检测和试用，完成供应商调查评审，将符合要求的供应商列入《合格供应商名录》，</w:t>
      </w:r>
      <w:r>
        <w:rPr>
          <w:spacing w:val="-84"/>
        </w:rPr>
        <w:t> </w:t>
      </w:r>
      <w:r>
        <w:rPr>
          <w:spacing w:val="-84"/>
        </w:rPr>
      </w:r>
      <w:r>
        <w:rPr/>
        <w:t>并与这些供应商保持长期稳定的合作关系。</w:t>
      </w:r>
    </w:p>
    <w:p>
      <w:pPr>
        <w:pStyle w:val="BodyText"/>
        <w:spacing w:line="430" w:lineRule="exact" w:before="7"/>
        <w:ind w:left="501" w:right="128" w:hanging="3"/>
        <w:jc w:val="left"/>
      </w:pPr>
      <w:r>
        <w:rPr/>
        <w:t>（</w:t>
      </w:r>
      <w:r>
        <w:rPr>
          <w:rFonts w:ascii="Times New Roman" w:hAnsi="Times New Roman" w:cs="Times New Roman" w:eastAsia="Times New Roman" w:hint="default"/>
        </w:rPr>
        <w:t>2</w:t>
      </w:r>
      <w:r>
        <w:rPr/>
        <w:t>）供应商管理与考核 </w:t>
      </w:r>
      <w:r>
        <w:rPr>
          <w:spacing w:val="-5"/>
        </w:rPr>
        <w:t>根据实际业务要求，公司将供应商分成不同级别的供应商群，即</w:t>
      </w:r>
      <w:r>
        <w:rPr>
          <w:rFonts w:ascii="Times New Roman" w:hAnsi="Times New Roman" w:cs="Times New Roman" w:eastAsia="Times New Roman" w:hint="default"/>
          <w:spacing w:val="-5"/>
        </w:rPr>
        <w:t>S</w:t>
      </w:r>
      <w:r>
        <w:rPr>
          <w:spacing w:val="-5"/>
        </w:rPr>
        <w:t>级，</w:t>
      </w:r>
      <w:r>
        <w:rPr>
          <w:rFonts w:ascii="Times New Roman" w:hAnsi="Times New Roman" w:cs="Times New Roman" w:eastAsia="Times New Roman" w:hint="default"/>
          <w:spacing w:val="-5"/>
        </w:rPr>
        <w:t>A</w:t>
      </w:r>
      <w:r>
        <w:rPr>
          <w:spacing w:val="-5"/>
        </w:rPr>
        <w:t>级，</w:t>
      </w:r>
      <w:r>
        <w:rPr>
          <w:rFonts w:ascii="Times New Roman" w:hAnsi="Times New Roman" w:cs="Times New Roman" w:eastAsia="Times New Roman" w:hint="default"/>
          <w:spacing w:val="-5"/>
        </w:rPr>
        <w:t>B</w:t>
      </w:r>
      <w:r>
        <w:rPr>
          <w:spacing w:val="-5"/>
        </w:rPr>
        <w:t>级，</w:t>
      </w:r>
      <w:r>
        <w:rPr>
          <w:rFonts w:ascii="Times New Roman" w:hAnsi="Times New Roman" w:cs="Times New Roman" w:eastAsia="Times New Roman" w:hint="default"/>
          <w:spacing w:val="-5"/>
        </w:rPr>
        <w:t>C</w:t>
      </w:r>
      <w:r>
        <w:rPr>
          <w:spacing w:val="-5"/>
        </w:rPr>
        <w:t>级，</w:t>
      </w:r>
      <w:r>
        <w:rPr>
          <w:rFonts w:ascii="Times New Roman" w:hAnsi="Times New Roman" w:cs="Times New Roman" w:eastAsia="Times New Roman" w:hint="default"/>
          <w:spacing w:val="-5"/>
        </w:rPr>
        <w:t>D</w:t>
      </w:r>
      <w:r>
        <w:rPr>
          <w:spacing w:val="-5"/>
        </w:rPr>
        <w:t>级五类供应商。</w:t>
      </w:r>
    </w:p>
    <w:p>
      <w:pPr>
        <w:pStyle w:val="BodyText"/>
        <w:spacing w:line="316" w:lineRule="auto" w:before="16"/>
        <w:ind w:left="142" w:right="128"/>
        <w:jc w:val="left"/>
      </w:pPr>
      <w:r>
        <w:rPr>
          <w:spacing w:val="-3"/>
        </w:rPr>
        <w:t>公司每年组织一次供应商评审。评审内容包括：①产品质量；②交付周期；③价格；④服务；⑤认证体系，由</w:t>
      </w:r>
      <w:r>
        <w:rPr>
          <w:spacing w:val="-86"/>
        </w:rPr>
        <w:t> </w:t>
      </w:r>
      <w:r>
        <w:rPr>
          <w:spacing w:val="-86"/>
        </w:rPr>
      </w:r>
      <w:r>
        <w:rPr/>
        <w:t>评审小组共同参与评审。评审小组包含但不限于交付中心、质量管理、采购、仓库、资产管理等部门人员。</w:t>
      </w:r>
    </w:p>
    <w:p>
      <w:pPr>
        <w:pStyle w:val="BodyText"/>
        <w:spacing w:line="240" w:lineRule="auto" w:before="141"/>
        <w:ind w:left="499" w:right="254"/>
        <w:jc w:val="left"/>
      </w:pPr>
      <w:r>
        <w:rPr/>
        <w:t>（</w:t>
      </w:r>
      <w:r>
        <w:rPr>
          <w:rFonts w:ascii="Times New Roman" w:hAnsi="Times New Roman" w:cs="Times New Roman" w:eastAsia="Times New Roman" w:hint="default"/>
        </w:rPr>
        <w:t>3</w:t>
      </w:r>
      <w:r>
        <w:rPr/>
        <w:t>）采购流程</w:t>
      </w:r>
    </w:p>
    <w:p>
      <w:pPr>
        <w:spacing w:after="0" w:line="240" w:lineRule="auto"/>
        <w:jc w:val="left"/>
        <w:sectPr>
          <w:pgSz w:w="11910" w:h="16840"/>
          <w:pgMar w:header="880" w:footer="974" w:top="1100" w:bottom="1160" w:left="156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4348" w:lineRule="exact"/>
        <w:ind w:left="563" w:right="0" w:firstLine="0"/>
        <w:rPr>
          <w:rFonts w:ascii="宋体" w:hAnsi="宋体" w:cs="宋体" w:eastAsia="宋体" w:hint="default"/>
          <w:sz w:val="20"/>
          <w:szCs w:val="20"/>
        </w:rPr>
      </w:pPr>
      <w:r>
        <w:rPr>
          <w:rFonts w:ascii="宋体" w:hAnsi="宋体" w:cs="宋体" w:eastAsia="宋体" w:hint="default"/>
          <w:position w:val="-86"/>
          <w:sz w:val="20"/>
          <w:szCs w:val="20"/>
        </w:rPr>
        <w:pict>
          <v:group style="width:414.9pt;height:217.45pt;mso-position-horizontal-relative:char;mso-position-vertical-relative:line" coordorigin="0,0" coordsize="8298,4349">
            <v:group style="position:absolute;left:9;top:294;width:1528;height:799" coordorigin="9,294" coordsize="1528,799">
              <v:shape style="position:absolute;left:9;top:294;width:1528;height:799" coordorigin="9,294" coordsize="1528,799" path="m9,1093l1537,1093,1537,294,9,294,9,1093xe" filled="true" fillcolor="#f1f1f1" stroked="false">
                <v:path arrowok="t"/>
                <v:fill type="solid"/>
              </v:shape>
            </v:group>
            <v:group style="position:absolute;left:1;top:286;width:1544;height:815" coordorigin="1,286" coordsize="1544,815">
              <v:shape style="position:absolute;left:1;top:286;width:1544;height:815" coordorigin="1,286" coordsize="1544,815" path="m1542,286l5,286,1,290,1,1097,5,1101,1542,1101,1545,1097,1545,1093,17,1093,9,1085,17,1085,17,301,9,301,17,293,1545,293,1545,290,1542,286xe" filled="true" fillcolor="#000000" stroked="false">
                <v:path arrowok="t"/>
                <v:fill type="solid"/>
              </v:shape>
              <v:shape style="position:absolute;left:1;top:286;width:1544;height:815" coordorigin="1,286" coordsize="1544,815" path="m1530,1085l17,1085,17,1093,1530,1093,1530,1085xe" filled="true" fillcolor="#000000" stroked="false">
                <v:path arrowok="t"/>
                <v:fill type="solid"/>
              </v:shape>
              <v:shape style="position:absolute;left:1;top:286;width:1544;height:815" coordorigin="1,286" coordsize="1544,815" path="m1545,293l1530,293,1538,301,1530,301,1530,1085,1538,1085,1530,1093,1545,1093,1545,293xe" filled="true" fillcolor="#000000" stroked="false">
                <v:path arrowok="t"/>
                <v:fill type="solid"/>
              </v:shape>
              <v:shape style="position:absolute;left:1;top:286;width:1544;height:815" coordorigin="1,286" coordsize="1544,815" path="m1530,293l17,293,17,301,1530,301,1530,293xe" filled="true" fillcolor="#000000" stroked="false">
                <v:path arrowok="t"/>
                <v:fill type="solid"/>
              </v:shape>
            </v:group>
            <v:group style="position:absolute;left:1;top:286;width:1544;height:815" coordorigin="1,286" coordsize="1544,815">
              <v:shape style="position:absolute;left:1;top:286;width:1544;height:815" coordorigin="1,286" coordsize="1544,815" path="m1,293l1,290,5,286,9,286,1538,286,1542,286,1545,290,1545,293,1545,1093,1545,1097,1542,1101,1538,1101,9,1101,5,1101,1,1097,1,1093,1,293xe" filled="false" stroked="true" strokeweight=".140pt" strokecolor="#000000">
                <v:path arrowok="t"/>
              </v:shape>
            </v:group>
            <v:group style="position:absolute;left:9;top:293;width:1529;height:800" coordorigin="9,293" coordsize="1529,800">
              <v:shape style="position:absolute;left:9;top:293;width:1529;height:800" coordorigin="9,293" coordsize="1529,800" path="m17,1093l9,1085,1538,1085,1530,1093,1530,293,1538,301,9,301,17,293,17,1093xe" filled="false" stroked="true" strokeweight=".140pt" strokecolor="#000000">
                <v:path arrowok="t"/>
              </v:shape>
              <v:shape style="position:absolute;left:142;top:516;width:1082;height:391" type="#_x0000_t75" stroked="false">
                <v:imagedata r:id="rId14" o:title=""/>
              </v:shape>
            </v:group>
            <v:group style="position:absolute;left:2259;top:294;width:1528;height:799" coordorigin="2259,294" coordsize="1528,799">
              <v:shape style="position:absolute;left:2259;top:294;width:1528;height:799" coordorigin="2259,294" coordsize="1528,799" path="m2259,1093l3787,1093,3787,294,2259,294,2259,1093xe" filled="true" fillcolor="#f1f1f1" stroked="false">
                <v:path arrowok="t"/>
                <v:fill type="solid"/>
              </v:shape>
            </v:group>
            <v:group style="position:absolute;left:2251;top:286;width:1544;height:815" coordorigin="2251,286" coordsize="1544,815">
              <v:shape style="position:absolute;left:2251;top:286;width:1544;height:815" coordorigin="2251,286" coordsize="1544,815" path="m3792,286l2255,286,2251,290,2251,1097,2255,1101,3792,1101,3795,1097,3795,1093,2267,1093,2259,1085,2267,1085,2267,301,2259,301,2267,293,3795,293,3795,290,3792,286xe" filled="true" fillcolor="#000000" stroked="false">
                <v:path arrowok="t"/>
                <v:fill type="solid"/>
              </v:shape>
              <v:shape style="position:absolute;left:2251;top:286;width:1544;height:815" coordorigin="2251,286" coordsize="1544,815" path="m3780,1085l2267,1085,2267,1093,3780,1093,3780,1085xe" filled="true" fillcolor="#000000" stroked="false">
                <v:path arrowok="t"/>
                <v:fill type="solid"/>
              </v:shape>
              <v:shape style="position:absolute;left:2251;top:286;width:1544;height:815" coordorigin="2251,286" coordsize="1544,815" path="m3795,293l3780,293,3788,301,3780,301,3780,1085,3788,1085,3780,1093,3795,1093,3795,293xe" filled="true" fillcolor="#000000" stroked="false">
                <v:path arrowok="t"/>
                <v:fill type="solid"/>
              </v:shape>
              <v:shape style="position:absolute;left:2251;top:286;width:1544;height:815" coordorigin="2251,286" coordsize="1544,815" path="m3780,293l2267,293,2267,301,3780,301,3780,293xe" filled="true" fillcolor="#000000" stroked="false">
                <v:path arrowok="t"/>
                <v:fill type="solid"/>
              </v:shape>
            </v:group>
            <v:group style="position:absolute;left:2251;top:286;width:1544;height:815" coordorigin="2251,286" coordsize="1544,815">
              <v:shape style="position:absolute;left:2251;top:286;width:1544;height:815" coordorigin="2251,286" coordsize="1544,815" path="m2251,293l2251,290,2255,286,2259,286,3788,286,3792,286,3795,290,3795,293,3795,1093,3795,1097,3792,1101,3788,1101,2259,1101,2255,1101,2251,1097,2251,1093,2251,293xe" filled="false" stroked="true" strokeweight=".140pt" strokecolor="#000000">
                <v:path arrowok="t"/>
              </v:shape>
            </v:group>
            <v:group style="position:absolute;left:2259;top:293;width:1529;height:800" coordorigin="2259,293" coordsize="1529,800">
              <v:shape style="position:absolute;left:2259;top:293;width:1529;height:800" coordorigin="2259,293" coordsize="1529,800" path="m2267,1093l2259,1085,3788,1085,3780,1093,3780,293,3788,301,2259,301,2267,293,2267,1093xe" filled="false" stroked="true" strokeweight=".140pt" strokecolor="#000000">
                <v:path arrowok="t"/>
              </v:shape>
              <v:shape style="position:absolute;left:2393;top:278;width:1260;height:394" type="#_x0000_t75" stroked="false">
                <v:imagedata r:id="rId15" o:title=""/>
              </v:shape>
              <v:shape style="position:absolute;left:2504;top:504;width:1092;height:391" type="#_x0000_t75" stroked="false">
                <v:imagedata r:id="rId16" o:title=""/>
              </v:shape>
              <v:shape style="position:absolute;left:2792;top:790;width:360;height:391" type="#_x0000_t75" stroked="false">
                <v:imagedata r:id="rId17" o:title=""/>
              </v:shape>
            </v:group>
            <v:group style="position:absolute;left:1537;top:630;width:726;height:128" coordorigin="1537,630" coordsize="726,128">
              <v:shape style="position:absolute;left:1537;top:630;width:726;height:128" coordorigin="1537,630" coordsize="726,128" path="m2186,630l2186,686,2199,686,2199,701,2186,701,2186,758,2263,694,2186,630xe" filled="true" fillcolor="#000000" stroked="false">
                <v:path arrowok="t"/>
                <v:fill type="solid"/>
              </v:shape>
              <v:shape style="position:absolute;left:1537;top:630;width:726;height:128" coordorigin="1537,630" coordsize="726,128" path="m2186,686l1537,686,1537,701,2186,701,2186,686xe" filled="true" fillcolor="#000000" stroked="false">
                <v:path arrowok="t"/>
                <v:fill type="solid"/>
              </v:shape>
            </v:group>
            <v:group style="position:absolute;left:1536;top:693;width:665;height:2" coordorigin="1536,693" coordsize="665,2">
              <v:shape style="position:absolute;left:1536;top:693;width:665;height:2" coordorigin="1536,693" coordsize="665,0" path="m1536,693l2201,693e" filled="false" stroked="true" strokeweight=".89pt" strokecolor="#000000">
                <v:path arrowok="t"/>
              </v:shape>
            </v:group>
            <v:group style="position:absolute;left:2186;top:630;width:77;height:128" coordorigin="2186,630" coordsize="77,128">
              <v:shape style="position:absolute;left:2186;top:630;width:77;height:128" coordorigin="2186,630" coordsize="77,128" path="m2186,630l2263,694,2186,758,2186,630xe" filled="false" stroked="true" strokeweight=".140pt" strokecolor="#000000">
                <v:path arrowok="t"/>
              </v:shape>
            </v:group>
            <v:group style="position:absolute;left:4801;top:148;width:1529;height:515" coordorigin="4801,148" coordsize="1529,515">
              <v:shape style="position:absolute;left:4801;top:148;width:1529;height:515" coordorigin="4801,148" coordsize="1529,515" path="m4801,663l6330,663,6330,148,4801,148,4801,663xe" filled="true" fillcolor="#f1f1f1" stroked="false">
                <v:path arrowok="t"/>
                <v:fill type="solid"/>
              </v:shape>
            </v:group>
            <v:group style="position:absolute;left:4794;top:140;width:1544;height:531" coordorigin="4794,140" coordsize="1544,531">
              <v:shape style="position:absolute;left:4794;top:140;width:1544;height:531" coordorigin="4794,140" coordsize="1544,531" path="m6335,140l4798,140,4794,144,4794,667,4798,671,6335,671,6338,667,6338,663,4810,663,4802,655,4810,655,4810,155,4802,155,4810,147,6338,147,6338,144,6335,140xe" filled="true" fillcolor="#000000" stroked="false">
                <v:path arrowok="t"/>
                <v:fill type="solid"/>
              </v:shape>
              <v:shape style="position:absolute;left:4794;top:140;width:1544;height:531" coordorigin="4794,140" coordsize="1544,531" path="m6323,655l4810,655,4810,663,6323,663,6323,655xe" filled="true" fillcolor="#000000" stroked="false">
                <v:path arrowok="t"/>
                <v:fill type="solid"/>
              </v:shape>
              <v:shape style="position:absolute;left:4794;top:140;width:1544;height:531" coordorigin="4794,140" coordsize="1544,531" path="m6338,147l6323,147,6331,155,6323,155,6323,655,6331,655,6323,663,6338,663,6338,147xe" filled="true" fillcolor="#000000" stroked="false">
                <v:path arrowok="t"/>
                <v:fill type="solid"/>
              </v:shape>
              <v:shape style="position:absolute;left:4794;top:140;width:1544;height:531" coordorigin="4794,140" coordsize="1544,531" path="m6323,147l4810,147,4810,155,6323,155,6323,147xe" filled="true" fillcolor="#000000" stroked="false">
                <v:path arrowok="t"/>
                <v:fill type="solid"/>
              </v:shape>
            </v:group>
            <v:group style="position:absolute;left:4794;top:140;width:1544;height:531" coordorigin="4794,140" coordsize="1544,531">
              <v:shape style="position:absolute;left:4794;top:140;width:1544;height:531" coordorigin="4794,140" coordsize="1544,531" path="m4794,147l4794,144,4798,140,4802,140,6331,140,6335,140,6338,144,6338,147,6338,663,6338,667,6335,671,6331,671,4802,671,4798,671,4794,667,4794,663,4794,147xe" filled="false" stroked="true" strokeweight=".140pt" strokecolor="#000000">
                <v:path arrowok="t"/>
              </v:shape>
            </v:group>
            <v:group style="position:absolute;left:4802;top:147;width:1529;height:516" coordorigin="4802,147" coordsize="1529,516">
              <v:shape style="position:absolute;left:4802;top:147;width:1529;height:516" coordorigin="4802,147" coordsize="1529,516" path="m4810,663l4802,655,6331,655,6323,663,6323,147,6331,155,4802,155,4810,147,4810,663xe" filled="false" stroked="true" strokeweight=".140pt" strokecolor="#000000">
                <v:path arrowok="t"/>
              </v:shape>
              <v:shape style="position:absolute;left:5036;top:226;width:902;height:480" type="#_x0000_t75" stroked="false">
                <v:imagedata r:id="rId18" o:title=""/>
              </v:shape>
            </v:group>
            <v:group style="position:absolute;left:3787;top:376;width:1017;height:128" coordorigin="3787,376" coordsize="1017,128">
              <v:shape style="position:absolute;left:3787;top:376;width:1017;height:128" coordorigin="3787,376" coordsize="1017,128" path="m4727,376l4727,432,4740,432,4740,448,4727,448,4727,504,4804,440,4727,376xe" filled="true" fillcolor="#000000" stroked="false">
                <v:path arrowok="t"/>
                <v:fill type="solid"/>
              </v:shape>
              <v:shape style="position:absolute;left:3787;top:376;width:1017;height:128" coordorigin="3787,376" coordsize="1017,128" path="m4727,432l3787,432,3787,448,4727,448,4727,432xe" filled="true" fillcolor="#000000" stroked="false">
                <v:path arrowok="t"/>
                <v:fill type="solid"/>
              </v:shape>
            </v:group>
            <v:group style="position:absolute;left:3786;top:440;width:956;height:2" coordorigin="3786,440" coordsize="956,2">
              <v:shape style="position:absolute;left:3786;top:440;width:956;height:2" coordorigin="3786,440" coordsize="956,0" path="m3786,440l4742,440e" filled="false" stroked="true" strokeweight=".94pt" strokecolor="#000000">
                <v:path arrowok="t"/>
              </v:shape>
            </v:group>
            <v:group style="position:absolute;left:4727;top:376;width:77;height:128" coordorigin="4727,376" coordsize="77,128">
              <v:shape style="position:absolute;left:4727;top:376;width:77;height:128" coordorigin="4727,376" coordsize="77,128" path="m4727,376l4804,440,4727,504,4727,376xe" filled="false" stroked="true" strokeweight=".140pt" strokecolor="#000000">
                <v:path arrowok="t"/>
              </v:shape>
            </v:group>
            <v:group style="position:absolute;left:6760;top:586;width:1528;height:799" coordorigin="6760,586" coordsize="1528,799">
              <v:shape style="position:absolute;left:6760;top:586;width:1528;height:799" coordorigin="6760,586" coordsize="1528,799" path="m6760,1385l8288,1385,8288,586,6760,586,6760,1385xe" filled="true" fillcolor="#f1f1f1" stroked="false">
                <v:path arrowok="t"/>
                <v:fill type="solid"/>
              </v:shape>
            </v:group>
            <v:group style="position:absolute;left:6752;top:578;width:1544;height:815" coordorigin="6752,578" coordsize="1544,815">
              <v:shape style="position:absolute;left:6752;top:578;width:1544;height:815" coordorigin="6752,578" coordsize="1544,815" path="m8293,578l6756,578,6752,582,6752,1389,6756,1393,8293,1393,8296,1389,8296,1385,6768,1385,6760,1377,6768,1377,6768,593,6760,593,6768,585,8296,585,8296,582,8293,578xe" filled="true" fillcolor="#000000" stroked="false">
                <v:path arrowok="t"/>
                <v:fill type="solid"/>
              </v:shape>
              <v:shape style="position:absolute;left:6752;top:578;width:1544;height:815" coordorigin="6752,578" coordsize="1544,815" path="m8281,1377l6768,1377,6768,1385,8281,1385,8281,1377xe" filled="true" fillcolor="#000000" stroked="false">
                <v:path arrowok="t"/>
                <v:fill type="solid"/>
              </v:shape>
              <v:shape style="position:absolute;left:6752;top:578;width:1544;height:815" coordorigin="6752,578" coordsize="1544,815" path="m8296,585l8281,585,8289,593,8281,593,8281,1377,8289,1377,8281,1385,8296,1385,8296,585xe" filled="true" fillcolor="#000000" stroked="false">
                <v:path arrowok="t"/>
                <v:fill type="solid"/>
              </v:shape>
              <v:shape style="position:absolute;left:6752;top:578;width:1544;height:815" coordorigin="6752,578" coordsize="1544,815" path="m8281,585l6768,585,6768,593,8281,593,8281,585xe" filled="true" fillcolor="#000000" stroked="false">
                <v:path arrowok="t"/>
                <v:fill type="solid"/>
              </v:shape>
            </v:group>
            <v:group style="position:absolute;left:6752;top:578;width:1544;height:815" coordorigin="6752,578" coordsize="1544,815">
              <v:shape style="position:absolute;left:6752;top:578;width:1544;height:815" coordorigin="6752,578" coordsize="1544,815" path="m6752,585l6752,582,6756,578,6760,578,8289,578,8293,578,8296,582,8296,585,8296,1385,8296,1389,8293,1393,8289,1393,6760,1393,6756,1393,6752,1389,6752,1385,6752,585xe" filled="false" stroked="true" strokeweight=".140pt" strokecolor="#000000">
                <v:path arrowok="t"/>
              </v:shape>
            </v:group>
            <v:group style="position:absolute;left:6760;top:585;width:1529;height:800" coordorigin="6760,585" coordsize="1529,800">
              <v:shape style="position:absolute;left:6760;top:585;width:1529;height:800" coordorigin="6760,585" coordsize="1529,800" path="m6768,1385l6760,1377,8289,1377,8281,1385,8281,585,8289,593,6760,593,6768,585,6768,1385xe" filled="false" stroked="true" strokeweight=".140pt" strokecolor="#000000">
                <v:path arrowok="t"/>
              </v:shape>
              <v:shape style="position:absolute;left:6951;top:662;width:1260;height:394" type="#_x0000_t75" stroked="false">
                <v:imagedata r:id="rId15" o:title=""/>
              </v:shape>
              <v:shape style="position:absolute;left:7174;top:1006;width:720;height:391" type="#_x0000_t75" stroked="false">
                <v:imagedata r:id="rId19" o:title=""/>
              </v:shape>
            </v:group>
            <v:group style="position:absolute;left:3787;top:883;width:2976;height:128" coordorigin="3787,883" coordsize="2976,128">
              <v:shape style="position:absolute;left:3787;top:883;width:2976;height:128" coordorigin="3787,883" coordsize="2976,128" path="m6687,883l6687,939,6699,939,6699,955,6687,955,6687,1011,6763,947,6687,883xe" filled="true" fillcolor="#000000" stroked="false">
                <v:path arrowok="t"/>
                <v:fill type="solid"/>
              </v:shape>
              <v:shape style="position:absolute;left:3787;top:883;width:2976;height:128" coordorigin="3787,883" coordsize="2976,128" path="m6687,939l3787,939,3787,955,6687,955,6687,939xe" filled="true" fillcolor="#000000" stroked="false">
                <v:path arrowok="t"/>
                <v:fill type="solid"/>
              </v:shape>
            </v:group>
            <v:group style="position:absolute;left:3786;top:947;width:2915;height:2" coordorigin="3786,947" coordsize="2915,2">
              <v:shape style="position:absolute;left:3786;top:947;width:2915;height:2" coordorigin="3786,947" coordsize="2915,0" path="m3786,947l6701,947e" filled="false" stroked="true" strokeweight=".94pt" strokecolor="#000000">
                <v:path arrowok="t"/>
              </v:shape>
            </v:group>
            <v:group style="position:absolute;left:6687;top:883;width:76;height:128" coordorigin="6687,883" coordsize="76,128">
              <v:shape style="position:absolute;left:6687;top:883;width:76;height:128" coordorigin="6687,883" coordsize="76,128" path="m6687,883l6763,947,6687,1011,6687,883xe" filled="false" stroked="true" strokeweight=".140pt" strokecolor="#000000">
                <v:path arrowok="t"/>
              </v:shape>
            </v:group>
            <v:group style="position:absolute;left:6330;top:402;width:1262;height:189" coordorigin="6330,402" coordsize="1262,189">
              <v:shape style="position:absolute;left:6330;top:402;width:1262;height:189" coordorigin="6330,402" coordsize="1262,189" path="m7520,514l7464,514,7528,591,7581,527,7520,527,7520,514xe" filled="true" fillcolor="#000000" stroked="false">
                <v:path arrowok="t"/>
                <v:fill type="solid"/>
              </v:shape>
              <v:shape style="position:absolute;left:6330;top:402;width:1262;height:189" coordorigin="6330,402" coordsize="1262,189" path="m7592,514l7536,514,7536,527,7581,527,7592,514xe" filled="true" fillcolor="#000000" stroked="false">
                <v:path arrowok="t"/>
                <v:fill type="solid"/>
              </v:shape>
              <v:shape style="position:absolute;left:6330;top:402;width:1262;height:189" coordorigin="6330,402" coordsize="1262,189" path="m7536,409l7520,409,7528,417,7520,417,7520,514,7536,514,7536,409xe" filled="true" fillcolor="#000000" stroked="false">
                <v:path arrowok="t"/>
                <v:fill type="solid"/>
              </v:shape>
              <v:shape style="position:absolute;left:6330;top:402;width:1262;height:189" coordorigin="6330,402" coordsize="1262,189" path="m7532,402l6330,402,6330,417,7520,417,7520,409,7536,409,7536,406,7532,402xe" filled="true" fillcolor="#000000" stroked="false">
                <v:path arrowok="t"/>
                <v:fill type="solid"/>
              </v:shape>
            </v:group>
            <v:group style="position:absolute;left:6330;top:402;width:1206;height:126" coordorigin="6330,402" coordsize="1206,126">
              <v:shape style="position:absolute;left:6330;top:402;width:1206;height:126" coordorigin="6330,402" coordsize="1206,126" path="m6330,402l7528,402,7532,402,7536,406,7536,409,7536,527,7520,527,7520,409,7528,417,6330,417,6330,402xe" filled="false" stroked="true" strokeweight=".140pt" strokecolor="#000000">
                <v:path arrowok="t"/>
              </v:shape>
            </v:group>
            <v:group style="position:absolute;left:7464;top:514;width:129;height:77" coordorigin="7464,514" coordsize="129,77">
              <v:shape style="position:absolute;left:7464;top:514;width:129;height:77" coordorigin="7464,514" coordsize="129,77" path="m7592,514l7528,591,7464,514,7592,514xe" filled="false" stroked="true" strokeweight=".140pt" strokecolor="#000000">
                <v:path arrowok="t"/>
              </v:shape>
            </v:group>
            <v:group style="position:absolute;left:6760;top:1969;width:1528;height:799" coordorigin="6760,1969" coordsize="1528,799">
              <v:shape style="position:absolute;left:6760;top:1969;width:1528;height:799" coordorigin="6760,1969" coordsize="1528,799" path="m6760,2768l8288,2768,8288,1969,6760,1969,6760,2768xe" filled="true" fillcolor="#f1f1f1" stroked="false">
                <v:path arrowok="t"/>
                <v:fill type="solid"/>
              </v:shape>
            </v:group>
            <v:group style="position:absolute;left:6752;top:1961;width:1544;height:815" coordorigin="6752,1961" coordsize="1544,815">
              <v:shape style="position:absolute;left:6752;top:1961;width:1544;height:815" coordorigin="6752,1961" coordsize="1544,815" path="m8293,1961l6756,1961,6752,1965,6752,2772,6756,2776,8293,2776,8296,2772,8296,2768,6768,2768,6760,2760,6768,2760,6768,1976,6760,1976,6768,1968,8296,1968,8296,1965,8293,1961xe" filled="true" fillcolor="#000000" stroked="false">
                <v:path arrowok="t"/>
                <v:fill type="solid"/>
              </v:shape>
              <v:shape style="position:absolute;left:6752;top:1961;width:1544;height:815" coordorigin="6752,1961" coordsize="1544,815" path="m8281,2760l6768,2760,6768,2768,8281,2768,8281,2760xe" filled="true" fillcolor="#000000" stroked="false">
                <v:path arrowok="t"/>
                <v:fill type="solid"/>
              </v:shape>
              <v:shape style="position:absolute;left:6752;top:1961;width:1544;height:815" coordorigin="6752,1961" coordsize="1544,815" path="m8296,1968l8281,1968,8289,1976,8281,1976,8281,2760,8289,2760,8281,2768,8296,2768,8296,1968xe" filled="true" fillcolor="#000000" stroked="false">
                <v:path arrowok="t"/>
                <v:fill type="solid"/>
              </v:shape>
              <v:shape style="position:absolute;left:6752;top:1961;width:1544;height:815" coordorigin="6752,1961" coordsize="1544,815" path="m8281,1968l6768,1968,6768,1976,8281,1976,8281,1968xe" filled="true" fillcolor="#000000" stroked="false">
                <v:path arrowok="t"/>
                <v:fill type="solid"/>
              </v:shape>
            </v:group>
            <v:group style="position:absolute;left:6752;top:1961;width:1544;height:815" coordorigin="6752,1961" coordsize="1544,815">
              <v:shape style="position:absolute;left:6752;top:1961;width:1544;height:815" coordorigin="6752,1961" coordsize="1544,815" path="m6752,1968l6752,1965,6756,1961,6760,1961,8289,1961,8293,1961,8296,1965,8296,1968,8296,2768,8296,2772,8293,2776,8289,2776,6760,2776,6756,2776,6752,2772,6752,2768,6752,1968xe" filled="false" stroked="true" strokeweight=".140pt" strokecolor="#000000">
                <v:path arrowok="t"/>
              </v:shape>
            </v:group>
            <v:group style="position:absolute;left:6760;top:1968;width:1529;height:800" coordorigin="6760,1968" coordsize="1529,800">
              <v:shape style="position:absolute;left:6760;top:1968;width:1529;height:800" coordorigin="6760,1968" coordsize="1529,800" path="m6768,2768l6760,2760,8289,2760,8281,2768,8281,1968,8289,1976,6760,1976,6768,1968,6768,2768xe" filled="false" stroked="true" strokeweight=".140pt" strokecolor="#000000">
                <v:path arrowok="t"/>
              </v:shape>
              <v:shape style="position:absolute;left:6996;top:2189;width:1082;height:391" type="#_x0000_t75" stroked="false">
                <v:imagedata r:id="rId14" o:title=""/>
              </v:shape>
            </v:group>
            <v:group style="position:absolute;left:7495;top:1385;width:128;height:581" coordorigin="7495,1385" coordsize="128,581">
              <v:shape style="position:absolute;left:7495;top:1385;width:128;height:581" coordorigin="7495,1385" coordsize="128,581" path="m7551,1889l7495,1889,7559,1966,7613,1902,7551,1902,7551,1889xe" filled="true" fillcolor="#000000" stroked="false">
                <v:path arrowok="t"/>
                <v:fill type="solid"/>
              </v:shape>
              <v:shape style="position:absolute;left:7495;top:1385;width:128;height:581" coordorigin="7495,1385" coordsize="128,581" path="m7623,1889l7566,1889,7566,1902,7613,1902,7623,1889xe" filled="true" fillcolor="#000000" stroked="false">
                <v:path arrowok="t"/>
                <v:fill type="solid"/>
              </v:shape>
              <v:shape style="position:absolute;left:7495;top:1385;width:128;height:581" coordorigin="7495,1385" coordsize="128,581" path="m7566,1385l7551,1385,7551,1889,7566,1889,7566,1385xe" filled="true" fillcolor="#000000" stroked="false">
                <v:path arrowok="t"/>
                <v:fill type="solid"/>
              </v:shape>
            </v:group>
            <v:group style="position:absolute;left:7559;top:1383;width:2;height:520" coordorigin="7559,1383" coordsize="2,520">
              <v:shape style="position:absolute;left:7559;top:1383;width:2;height:520" coordorigin="7559,1383" coordsize="0,520" path="m7559,1383l7559,1903e" filled="false" stroked="true" strokeweight=".89pt" strokecolor="#000000">
                <v:path arrowok="t"/>
              </v:shape>
            </v:group>
            <v:group style="position:absolute;left:7495;top:1889;width:128;height:77" coordorigin="7495,1889" coordsize="128,77">
              <v:shape style="position:absolute;left:7495;top:1889;width:128;height:77" coordorigin="7495,1889" coordsize="128,77" path="m7623,1889l7559,1966,7495,1889,7623,1889xe" filled="false" stroked="true" strokeweight=".140pt" strokecolor="#000000">
                <v:path arrowok="t"/>
              </v:shape>
            </v:group>
            <v:group style="position:absolute;left:4509;top:1969;width:1529;height:799" coordorigin="4509,1969" coordsize="1529,799">
              <v:shape style="position:absolute;left:4509;top:1969;width:1529;height:799" coordorigin="4509,1969" coordsize="1529,799" path="m4509,2768l6038,2768,6038,1969,4509,1969,4509,2768xe" filled="true" fillcolor="#f1f1f1" stroked="false">
                <v:path arrowok="t"/>
                <v:fill type="solid"/>
              </v:shape>
            </v:group>
            <v:group style="position:absolute;left:4502;top:1961;width:1544;height:815" coordorigin="4502,1961" coordsize="1544,815">
              <v:shape style="position:absolute;left:4502;top:1961;width:1544;height:815" coordorigin="4502,1961" coordsize="1544,815" path="m6043,1961l4506,1961,4502,1965,4502,2772,4506,2776,6043,2776,6046,2772,6046,2768,4518,2768,4510,2760,4518,2760,4518,1976,4510,1976,4518,1968,6046,1968,6046,1965,6043,1961xe" filled="true" fillcolor="#000000" stroked="false">
                <v:path arrowok="t"/>
                <v:fill type="solid"/>
              </v:shape>
              <v:shape style="position:absolute;left:4502;top:1961;width:1544;height:815" coordorigin="4502,1961" coordsize="1544,815" path="m6031,2760l4518,2760,4518,2768,6031,2768,6031,2760xe" filled="true" fillcolor="#000000" stroked="false">
                <v:path arrowok="t"/>
                <v:fill type="solid"/>
              </v:shape>
              <v:shape style="position:absolute;left:4502;top:1961;width:1544;height:815" coordorigin="4502,1961" coordsize="1544,815" path="m6046,1968l6031,1968,6039,1976,6031,1976,6031,2760,6039,2760,6031,2768,6046,2768,6046,1968xe" filled="true" fillcolor="#000000" stroked="false">
                <v:path arrowok="t"/>
                <v:fill type="solid"/>
              </v:shape>
              <v:shape style="position:absolute;left:4502;top:1961;width:1544;height:815" coordorigin="4502,1961" coordsize="1544,815" path="m6031,1968l4518,1968,4518,1976,6031,1976,6031,1968xe" filled="true" fillcolor="#000000" stroked="false">
                <v:path arrowok="t"/>
                <v:fill type="solid"/>
              </v:shape>
            </v:group>
            <v:group style="position:absolute;left:4502;top:1961;width:1544;height:815" coordorigin="4502,1961" coordsize="1544,815">
              <v:shape style="position:absolute;left:4502;top:1961;width:1544;height:815" coordorigin="4502,1961" coordsize="1544,815" path="m4502,1968l4502,1965,4506,1961,4510,1961,6039,1961,6043,1961,6046,1965,6046,1968,6046,2768,6046,2772,6043,2776,6039,2776,4510,2776,4506,2776,4502,2772,4502,2768,4502,1968xe" filled="false" stroked="true" strokeweight=".140pt" strokecolor="#000000">
                <v:path arrowok="t"/>
              </v:shape>
            </v:group>
            <v:group style="position:absolute;left:4510;top:1968;width:1529;height:800" coordorigin="4510,1968" coordsize="1529,800">
              <v:shape style="position:absolute;left:4510;top:1968;width:1529;height:800" coordorigin="4510,1968" coordsize="1529,800" path="m4518,2768l4510,2760,6039,2760,6031,2768,6031,1968,6039,1976,4510,1976,4518,1968,4518,2768xe" filled="false" stroked="true" strokeweight=".140pt" strokecolor="#000000">
                <v:path arrowok="t"/>
              </v:shape>
              <v:shape style="position:absolute;left:4748;top:2189;width:1080;height:391" type="#_x0000_t75" stroked="false">
                <v:imagedata r:id="rId14" o:title=""/>
              </v:shape>
            </v:group>
            <v:group style="position:absolute;left:2259;top:1969;width:1528;height:799" coordorigin="2259,1969" coordsize="1528,799">
              <v:shape style="position:absolute;left:2259;top:1969;width:1528;height:799" coordorigin="2259,1969" coordsize="1528,799" path="m2259,2768l3787,2768,3787,1969,2259,1969,2259,2768xe" filled="true" fillcolor="#f1f1f1" stroked="false">
                <v:path arrowok="t"/>
                <v:fill type="solid"/>
              </v:shape>
            </v:group>
            <v:group style="position:absolute;left:2251;top:1961;width:1544;height:815" coordorigin="2251,1961" coordsize="1544,815">
              <v:shape style="position:absolute;left:2251;top:1961;width:1544;height:815" coordorigin="2251,1961" coordsize="1544,815" path="m3792,1961l2255,1961,2251,1965,2251,2772,2255,2776,3792,2776,3795,2772,3795,2768,2267,2768,2259,2760,2267,2760,2267,1976,2259,1976,2267,1968,3795,1968,3795,1965,3792,1961xe" filled="true" fillcolor="#000000" stroked="false">
                <v:path arrowok="t"/>
                <v:fill type="solid"/>
              </v:shape>
              <v:shape style="position:absolute;left:2251;top:1961;width:1544;height:815" coordorigin="2251,1961" coordsize="1544,815" path="m3780,2760l2267,2760,2267,2768,3780,2768,3780,2760xe" filled="true" fillcolor="#000000" stroked="false">
                <v:path arrowok="t"/>
                <v:fill type="solid"/>
              </v:shape>
              <v:shape style="position:absolute;left:2251;top:1961;width:1544;height:815" coordorigin="2251,1961" coordsize="1544,815" path="m3795,1968l3780,1968,3788,1976,3780,1976,3780,2760,3788,2760,3780,2768,3795,2768,3795,1968xe" filled="true" fillcolor="#000000" stroked="false">
                <v:path arrowok="t"/>
                <v:fill type="solid"/>
              </v:shape>
              <v:shape style="position:absolute;left:2251;top:1961;width:1544;height:815" coordorigin="2251,1961" coordsize="1544,815" path="m3780,1968l2267,1968,2267,1976,3780,1976,3780,1968xe" filled="true" fillcolor="#000000" stroked="false">
                <v:path arrowok="t"/>
                <v:fill type="solid"/>
              </v:shape>
            </v:group>
            <v:group style="position:absolute;left:2251;top:1961;width:1544;height:815" coordorigin="2251,1961" coordsize="1544,815">
              <v:shape style="position:absolute;left:2251;top:1961;width:1544;height:815" coordorigin="2251,1961" coordsize="1544,815" path="m2251,1968l2251,1965,2255,1961,2259,1961,3788,1961,3792,1961,3795,1965,3795,1968,3795,2768,3795,2772,3792,2776,3788,2776,2259,2776,2255,2776,2251,2772,2251,2768,2251,1968xe" filled="false" stroked="true" strokeweight=".140pt" strokecolor="#000000">
                <v:path arrowok="t"/>
              </v:shape>
            </v:group>
            <v:group style="position:absolute;left:2259;top:1968;width:1529;height:800" coordorigin="2259,1968" coordsize="1529,800">
              <v:shape style="position:absolute;left:2259;top:1968;width:1529;height:800" coordorigin="2259,1968" coordsize="1529,800" path="m2267,2768l2259,2760,3788,2760,3780,2768,3780,1968,3788,1976,2259,1976,2267,1968,2267,2768xe" filled="false" stroked="true" strokeweight=".140pt" strokecolor="#000000">
                <v:path arrowok="t"/>
              </v:shape>
              <v:shape style="position:absolute;left:2393;top:2189;width:1080;height:391" type="#_x0000_t75" stroked="false">
                <v:imagedata r:id="rId14" o:title=""/>
              </v:shape>
            </v:group>
            <v:group style="position:absolute;left:9;top:1969;width:1528;height:799" coordorigin="9,1969" coordsize="1528,799">
              <v:shape style="position:absolute;left:9;top:1969;width:1528;height:799" coordorigin="9,1969" coordsize="1528,799" path="m9,2768l1537,2768,1537,1969,9,1969,9,2768xe" filled="true" fillcolor="#f1f1f1" stroked="false">
                <v:path arrowok="t"/>
                <v:fill type="solid"/>
              </v:shape>
            </v:group>
            <v:group style="position:absolute;left:1;top:1961;width:1544;height:815" coordorigin="1,1961" coordsize="1544,815">
              <v:shape style="position:absolute;left:1;top:1961;width:1544;height:815" coordorigin="1,1961" coordsize="1544,815" path="m1542,1961l5,1961,1,1965,1,2772,5,2776,1542,2776,1545,2772,1545,2768,17,2768,9,2760,17,2760,17,1976,9,1976,17,1968,1545,1968,1545,1965,1542,1961xe" filled="true" fillcolor="#000000" stroked="false">
                <v:path arrowok="t"/>
                <v:fill type="solid"/>
              </v:shape>
              <v:shape style="position:absolute;left:1;top:1961;width:1544;height:815" coordorigin="1,1961" coordsize="1544,815" path="m1530,2760l17,2760,17,2768,1530,2768,1530,2760xe" filled="true" fillcolor="#000000" stroked="false">
                <v:path arrowok="t"/>
                <v:fill type="solid"/>
              </v:shape>
              <v:shape style="position:absolute;left:1;top:1961;width:1544;height:815" coordorigin="1,1961" coordsize="1544,815" path="m1545,1968l1530,1968,1538,1976,1530,1976,1530,2760,1538,2760,1530,2768,1545,2768,1545,1968xe" filled="true" fillcolor="#000000" stroked="false">
                <v:path arrowok="t"/>
                <v:fill type="solid"/>
              </v:shape>
              <v:shape style="position:absolute;left:1;top:1961;width:1544;height:815" coordorigin="1,1961" coordsize="1544,815" path="m1530,1968l17,1968,17,1976,1530,1976,1530,1968xe" filled="true" fillcolor="#000000" stroked="false">
                <v:path arrowok="t"/>
                <v:fill type="solid"/>
              </v:shape>
            </v:group>
            <v:group style="position:absolute;left:1;top:1961;width:1544;height:815" coordorigin="1,1961" coordsize="1544,815">
              <v:shape style="position:absolute;left:1;top:1961;width:1544;height:815" coordorigin="1,1961" coordsize="1544,815" path="m1,1968l1,1965,5,1961,9,1961,1538,1961,1542,1961,1545,1965,1545,1968,1545,2768,1545,2772,1542,2776,1538,2776,9,2776,5,2776,1,2772,1,2768,1,1968xe" filled="false" stroked="true" strokeweight=".140pt" strokecolor="#000000">
                <v:path arrowok="t"/>
              </v:shape>
            </v:group>
            <v:group style="position:absolute;left:9;top:1968;width:1529;height:800" coordorigin="9,1968" coordsize="1529,800">
              <v:shape style="position:absolute;left:9;top:1968;width:1529;height:800" coordorigin="9,1968" coordsize="1529,800" path="m17,2768l9,2760,1538,2760,1530,2768,1530,1968,1538,1976,9,1976,17,1968,17,2768xe" filled="false" stroked="true" strokeweight=".140pt" strokecolor="#000000">
                <v:path arrowok="t"/>
              </v:shape>
              <v:shape style="position:absolute;left:348;top:2189;width:720;height:391" type="#_x0000_t75" stroked="false">
                <v:imagedata r:id="rId19" o:title=""/>
              </v:shape>
            </v:group>
            <v:group style="position:absolute;left:6038;top:2335;width:726;height:129" coordorigin="6038,2335" coordsize="726,129">
              <v:shape style="position:absolute;left:6038;top:2335;width:726;height:129" coordorigin="6038,2335" coordsize="726,129" path="m6115,2335l6038,2399,6115,2464,6115,2407,6102,2407,6102,2392,6115,2392,6115,2335xe" filled="true" fillcolor="#000000" stroked="false">
                <v:path arrowok="t"/>
                <v:fill type="solid"/>
              </v:shape>
              <v:shape style="position:absolute;left:6038;top:2335;width:726;height:129" coordorigin="6038,2335" coordsize="726,129" path="m6764,2392l6115,2392,6115,2407,6764,2407,6764,2392xe" filled="true" fillcolor="#000000" stroked="false">
                <v:path arrowok="t"/>
                <v:fill type="solid"/>
              </v:shape>
            </v:group>
            <v:group style="position:absolute;left:6101;top:2399;width:665;height:2" coordorigin="6101,2399" coordsize="665,2">
              <v:shape style="position:absolute;left:6101;top:2399;width:665;height:2" coordorigin="6101,2399" coordsize="665,0" path="m6101,2399l6766,2399e" filled="false" stroked="true" strokeweight=".89pt" strokecolor="#000000">
                <v:path arrowok="t"/>
              </v:shape>
            </v:group>
            <v:group style="position:absolute;left:6038;top:2335;width:77;height:129" coordorigin="6038,2335" coordsize="77,129">
              <v:shape style="position:absolute;left:6038;top:2335;width:77;height:129" coordorigin="6038,2335" coordsize="77,129" path="m6115,2464l6038,2399,6115,2335,6115,2464xe" filled="false" stroked="true" strokeweight=".140pt" strokecolor="#000000">
                <v:path arrowok="t"/>
              </v:shape>
            </v:group>
            <v:group style="position:absolute;left:3787;top:2335;width:726;height:129" coordorigin="3787,2335" coordsize="726,129">
              <v:shape style="position:absolute;left:3787;top:2335;width:726;height:129" coordorigin="3787,2335" coordsize="726,129" path="m3864,2335l3787,2399,3864,2464,3864,2407,3852,2407,3852,2392,3864,2392,3864,2335xe" filled="true" fillcolor="#000000" stroked="false">
                <v:path arrowok="t"/>
                <v:fill type="solid"/>
              </v:shape>
              <v:shape style="position:absolute;left:3787;top:2335;width:726;height:129" coordorigin="3787,2335" coordsize="726,129" path="m4513,2392l3864,2392,3864,2407,4513,2407,4513,2392xe" filled="true" fillcolor="#000000" stroked="false">
                <v:path arrowok="t"/>
                <v:fill type="solid"/>
              </v:shape>
            </v:group>
            <v:group style="position:absolute;left:3851;top:2399;width:664;height:2" coordorigin="3851,2399" coordsize="664,2">
              <v:shape style="position:absolute;left:3851;top:2399;width:664;height:2" coordorigin="3851,2399" coordsize="664,0" path="m3851,2399l4515,2399e" filled="false" stroked="true" strokeweight=".89pt" strokecolor="#000000">
                <v:path arrowok="t"/>
              </v:shape>
            </v:group>
            <v:group style="position:absolute;left:3787;top:2335;width:77;height:129" coordorigin="3787,2335" coordsize="77,129">
              <v:shape style="position:absolute;left:3787;top:2335;width:77;height:129" coordorigin="3787,2335" coordsize="77,129" path="m3864,2464l3787,2399,3864,2335,3864,2464xe" filled="false" stroked="true" strokeweight=".140pt" strokecolor="#000000">
                <v:path arrowok="t"/>
              </v:shape>
            </v:group>
            <v:group style="position:absolute;left:1537;top:2335;width:726;height:129" coordorigin="1537,2335" coordsize="726,129">
              <v:shape style="position:absolute;left:1537;top:2335;width:726;height:129" coordorigin="1537,2335" coordsize="726,129" path="m1614,2335l1537,2399,1614,2464,1614,2407,1601,2407,1601,2392,1614,2392,1614,2335xe" filled="true" fillcolor="#000000" stroked="false">
                <v:path arrowok="t"/>
                <v:fill type="solid"/>
              </v:shape>
              <v:shape style="position:absolute;left:1537;top:2335;width:726;height:129" coordorigin="1537,2335" coordsize="726,129" path="m2263,2392l1614,2392,1614,2407,2263,2407,2263,2392xe" filled="true" fillcolor="#000000" stroked="false">
                <v:path arrowok="t"/>
                <v:fill type="solid"/>
              </v:shape>
            </v:group>
            <v:group style="position:absolute;left:1600;top:2399;width:665;height:2" coordorigin="1600,2399" coordsize="665,2">
              <v:shape style="position:absolute;left:1600;top:2399;width:665;height:2" coordorigin="1600,2399" coordsize="665,0" path="m1600,2399l2265,2399e" filled="false" stroked="true" strokeweight=".89pt" strokecolor="#000000">
                <v:path arrowok="t"/>
              </v:shape>
            </v:group>
            <v:group style="position:absolute;left:1537;top:2335;width:77;height:129" coordorigin="1537,2335" coordsize="77,129">
              <v:shape style="position:absolute;left:1537;top:2335;width:77;height:129" coordorigin="1537,2335" coordsize="77,129" path="m1614,2464l1537,2399,1614,2335,1614,2464xe" filled="false" stroked="true" strokeweight=".140pt" strokecolor="#000000">
                <v:path arrowok="t"/>
              </v:shape>
            </v:group>
            <v:group style="position:absolute;left:9;top:3490;width:1528;height:799" coordorigin="9,3490" coordsize="1528,799">
              <v:shape style="position:absolute;left:9;top:3490;width:1528;height:799" coordorigin="9,3490" coordsize="1528,799" path="m9,4289l1537,4289,1537,3490,9,3490,9,4289xe" filled="true" fillcolor="#f1f1f1" stroked="false">
                <v:path arrowok="t"/>
                <v:fill type="solid"/>
              </v:shape>
            </v:group>
            <v:group style="position:absolute;left:1;top:3483;width:1544;height:814" coordorigin="1,3483" coordsize="1544,814">
              <v:shape style="position:absolute;left:1;top:3483;width:1544;height:814" coordorigin="1,3483" coordsize="1544,814" path="m1542,3483l5,3483,1,3487,1,4293,5,4297,1542,4297,1545,4293,1545,4289,17,4289,9,4281,17,4281,17,3498,9,3498,17,3490,1545,3490,1545,3487,1542,3483xe" filled="true" fillcolor="#000000" stroked="false">
                <v:path arrowok="t"/>
                <v:fill type="solid"/>
              </v:shape>
              <v:shape style="position:absolute;left:1;top:3483;width:1544;height:814" coordorigin="1,3483" coordsize="1544,814" path="m1530,4281l17,4281,17,4289,1530,4289,1530,4281xe" filled="true" fillcolor="#000000" stroked="false">
                <v:path arrowok="t"/>
                <v:fill type="solid"/>
              </v:shape>
              <v:shape style="position:absolute;left:1;top:3483;width:1544;height:814" coordorigin="1,3483" coordsize="1544,814" path="m1545,3490l1530,3490,1538,3498,1530,3498,1530,4281,1538,4281,1530,4289,1545,4289,1545,3490xe" filled="true" fillcolor="#000000" stroked="false">
                <v:path arrowok="t"/>
                <v:fill type="solid"/>
              </v:shape>
              <v:shape style="position:absolute;left:1;top:3483;width:1544;height:814" coordorigin="1,3483" coordsize="1544,814" path="m1530,3490l17,3490,17,3498,1530,3498,1530,3490xe" filled="true" fillcolor="#000000" stroked="false">
                <v:path arrowok="t"/>
                <v:fill type="solid"/>
              </v:shape>
            </v:group>
            <v:group style="position:absolute;left:1;top:3483;width:1544;height:814" coordorigin="1,3483" coordsize="1544,814">
              <v:shape style="position:absolute;left:1;top:3483;width:1544;height:814" coordorigin="1,3483" coordsize="1544,814" path="m1,3490l1,3487,5,3483,9,3483,1538,3483,1542,3483,1545,3487,1545,3490,1545,4289,1545,4293,1542,4297,1538,4297,9,4297,5,4297,1,4293,1,4289,1,3490xe" filled="false" stroked="true" strokeweight=".140pt" strokecolor="#000000">
                <v:path arrowok="t"/>
              </v:shape>
            </v:group>
            <v:group style="position:absolute;left:9;top:3490;width:1529;height:799" coordorigin="9,3490" coordsize="1529,799">
              <v:shape style="position:absolute;left:9;top:3490;width:1529;height:799" coordorigin="9,3490" coordsize="1529,799" path="m17,4289l9,4281,1538,4281,1530,4289,1530,3490,1538,3498,9,3498,17,3490,17,4289xe" filled="false" stroked="true" strokeweight=".140pt" strokecolor="#000000">
                <v:path arrowok="t"/>
              </v:shape>
              <v:shape style="position:absolute;left:423;top:3682;width:722;height:391" type="#_x0000_t75" stroked="false">
                <v:imagedata r:id="rId19" o:title=""/>
              </v:shape>
            </v:group>
            <v:group style="position:absolute;left:744;top:2768;width:128;height:726" coordorigin="744,2768" coordsize="128,726">
              <v:shape style="position:absolute;left:744;top:2768;width:128;height:726" coordorigin="744,2768" coordsize="128,726" path="m800,3417l744,3417,807,3494,861,3430,800,3430,800,3417xe" filled="true" fillcolor="#000000" stroked="false">
                <v:path arrowok="t"/>
                <v:fill type="solid"/>
              </v:shape>
              <v:shape style="position:absolute;left:744;top:2768;width:128;height:726" coordorigin="744,2768" coordsize="128,726" path="m872,3417l815,3417,815,3430,861,3430,872,3417xe" filled="true" fillcolor="#000000" stroked="false">
                <v:path arrowok="t"/>
                <v:fill type="solid"/>
              </v:shape>
              <v:shape style="position:absolute;left:744;top:2768;width:128;height:726" coordorigin="744,2768" coordsize="128,726" path="m815,2768l800,2768,800,3417,815,3417,815,2768xe" filled="true" fillcolor="#000000" stroked="false">
                <v:path arrowok="t"/>
                <v:fill type="solid"/>
              </v:shape>
            </v:group>
            <v:group style="position:absolute;left:808;top:2766;width:2;height:665" coordorigin="808,2766" coordsize="2,665">
              <v:shape style="position:absolute;left:808;top:2766;width:2;height:665" coordorigin="808,2766" coordsize="0,665" path="m808,2766l808,3431e" filled="false" stroked="true" strokeweight=".89pt" strokecolor="#000000">
                <v:path arrowok="t"/>
              </v:shape>
            </v:group>
            <v:group style="position:absolute;left:744;top:3417;width:128;height:77" coordorigin="744,3417" coordsize="128,77">
              <v:shape style="position:absolute;left:744;top:3417;width:128;height:77" coordorigin="744,3417" coordsize="128,77" path="m872,3417l807,3494,744,3417,872,3417xe" filled="false" stroked="true" strokeweight=".140pt" strokecolor="#000000">
                <v:path arrowok="t"/>
              </v:shape>
            </v:group>
            <v:group style="position:absolute;left:4513;top:3498;width:1525;height:799" coordorigin="4513,3498" coordsize="1525,799">
              <v:shape style="position:absolute;left:4513;top:3498;width:1525;height:799" coordorigin="4513,3498" coordsize="1525,799" path="m4513,4297l6038,4297,6038,3498,4513,3498,4513,4297xe" filled="true" fillcolor="#f1f1f1" stroked="false">
                <v:path arrowok="t"/>
                <v:fill type="solid"/>
              </v:shape>
            </v:group>
            <v:group style="position:absolute;left:4502;top:3483;width:1544;height:814" coordorigin="4502,3483" coordsize="1544,814">
              <v:shape style="position:absolute;left:4502;top:3483;width:1544;height:814" coordorigin="4502,3483" coordsize="1544,814" path="m6043,3483l4506,3483,4502,3487,4502,4293,4506,4297,6043,4297,6046,4293,6046,4289,4518,4289,4510,4281,4518,4281,4518,3498,4510,3498,4518,3490,6046,3490,6046,3487,6043,3483xe" filled="true" fillcolor="#000000" stroked="false">
                <v:path arrowok="t"/>
                <v:fill type="solid"/>
              </v:shape>
              <v:shape style="position:absolute;left:4502;top:3483;width:1544;height:814" coordorigin="4502,3483" coordsize="1544,814" path="m6031,4281l4518,4281,4518,4289,6031,4289,6031,4281xe" filled="true" fillcolor="#000000" stroked="false">
                <v:path arrowok="t"/>
                <v:fill type="solid"/>
              </v:shape>
              <v:shape style="position:absolute;left:4502;top:3483;width:1544;height:814" coordorigin="4502,3483" coordsize="1544,814" path="m6046,3490l6031,3490,6039,3498,6031,3498,6031,4281,6039,4281,6031,4289,6046,4289,6046,3490xe" filled="true" fillcolor="#000000" stroked="false">
                <v:path arrowok="t"/>
                <v:fill type="solid"/>
              </v:shape>
              <v:shape style="position:absolute;left:4502;top:3483;width:1544;height:814" coordorigin="4502,3483" coordsize="1544,814" path="m6031,3490l4518,3490,4518,3498,6031,3498,6031,3490xe" filled="true" fillcolor="#000000" stroked="false">
                <v:path arrowok="t"/>
                <v:fill type="solid"/>
              </v:shape>
            </v:group>
            <v:group style="position:absolute;left:4502;top:3483;width:1544;height:814" coordorigin="4502,3483" coordsize="1544,814">
              <v:shape style="position:absolute;left:4502;top:3483;width:1544;height:814" coordorigin="4502,3483" coordsize="1544,814" path="m4502,3490l4502,3487,4506,3483,4510,3483,6039,3483,6043,3483,6046,3487,6046,3490,6046,4289,6046,4293,6043,4297,6039,4297,4510,4297,4506,4297,4502,4293,4502,4289,4502,3490xe" filled="false" stroked="true" strokeweight=".140pt" strokecolor="#000000">
                <v:path arrowok="t"/>
              </v:shape>
            </v:group>
            <v:group style="position:absolute;left:4510;top:3490;width:1529;height:799" coordorigin="4510,3490" coordsize="1529,799">
              <v:shape style="position:absolute;left:4510;top:3490;width:1529;height:799" coordorigin="4510,3490" coordsize="1529,799" path="m4518,4289l4510,4281,6039,4281,6031,4289,6031,3490,6039,3498,4510,3498,4518,3490,4518,4289xe" filled="false" stroked="true" strokeweight=".140pt" strokecolor="#000000">
                <v:path arrowok="t"/>
              </v:shape>
              <v:shape style="position:absolute;left:4568;top:3605;width:1260;height:394" type="#_x0000_t75" stroked="false">
                <v:imagedata r:id="rId15" o:title=""/>
              </v:shape>
              <v:shape style="position:absolute;left:4805;top:3955;width:900;height:394" type="#_x0000_t75" stroked="false">
                <v:imagedata r:id="rId20" o:title=""/>
              </v:shape>
            </v:group>
            <v:group style="position:absolute;left:5175;top:2768;width:128;height:726" coordorigin="5175,2768" coordsize="128,726">
              <v:shape style="position:absolute;left:5175;top:2768;width:128;height:726" coordorigin="5175,2768" coordsize="128,726" path="m5231,3417l5175,3417,5239,3494,5293,3430,5231,3430,5231,3417xe" filled="true" fillcolor="#000000" stroked="false">
                <v:path arrowok="t"/>
                <v:fill type="solid"/>
              </v:shape>
              <v:shape style="position:absolute;left:5175;top:2768;width:128;height:726" coordorigin="5175,2768" coordsize="128,726" path="m5303,3417l5247,3417,5247,3430,5293,3430,5303,3417xe" filled="true" fillcolor="#000000" stroked="false">
                <v:path arrowok="t"/>
                <v:fill type="solid"/>
              </v:shape>
              <v:shape style="position:absolute;left:5175;top:2768;width:128;height:726" coordorigin="5175,2768" coordsize="128,726" path="m5247,2768l5231,2768,5231,3417,5247,3417,5247,2768xe" filled="true" fillcolor="#000000" stroked="false">
                <v:path arrowok="t"/>
                <v:fill type="solid"/>
              </v:shape>
            </v:group>
            <v:group style="position:absolute;left:5239;top:2766;width:2;height:665" coordorigin="5239,2766" coordsize="2,665">
              <v:shape style="position:absolute;left:5239;top:2766;width:2;height:665" coordorigin="5239,2766" coordsize="0,665" path="m5239,2766l5239,3431e" filled="false" stroked="true" strokeweight=".94pt" strokecolor="#000000">
                <v:path arrowok="t"/>
              </v:shape>
            </v:group>
            <v:group style="position:absolute;left:5175;top:3417;width:128;height:77" coordorigin="5175,3417" coordsize="128,77">
              <v:shape style="position:absolute;left:5175;top:3417;width:128;height:77" coordorigin="5175,3417" coordsize="128,77" path="m5303,3417l5239,3494,5175,3417,5303,3417xe" filled="false" stroked="true" strokeweight=".140pt" strokecolor="#000000">
                <v:path arrowok="t"/>
              </v:shape>
              <v:shape style="position:absolute;left:3836;top:0;width:720;height:480" type="#_x0000_t75" stroked="false">
                <v:imagedata r:id="rId21" o:title=""/>
              </v:shape>
              <v:shape style="position:absolute;left:4802;top:148;width:1529;height:516" type="#_x0000_t202" filled="false" stroked="false">
                <v:textbox inset="0,0,0,0">
                  <w:txbxContent>
                    <w:p>
                      <w:pPr>
                        <w:spacing w:line="227" w:lineRule="exact" w:before="53"/>
                        <w:ind w:left="234" w:right="0" w:firstLine="0"/>
                        <w:jc w:val="left"/>
                        <w:rPr>
                          <w:rFonts w:ascii="宋体" w:hAnsi="宋体" w:cs="宋体" w:eastAsia="宋体" w:hint="default"/>
                          <w:sz w:val="18"/>
                          <w:szCs w:val="18"/>
                        </w:rPr>
                      </w:pPr>
                      <w:r>
                        <w:rPr>
                          <w:rFonts w:ascii="宋体" w:hAnsi="宋体" w:cs="宋体" w:eastAsia="宋体" w:hint="default"/>
                          <w:sz w:val="18"/>
                          <w:szCs w:val="18"/>
                        </w:rPr>
                        <w:t>财务总监及</w:t>
                      </w:r>
                    </w:p>
                    <w:p>
                      <w:pPr>
                        <w:spacing w:line="227" w:lineRule="exact" w:before="0"/>
                        <w:ind w:left="234" w:right="0" w:firstLine="0"/>
                        <w:jc w:val="left"/>
                        <w:rPr>
                          <w:rFonts w:ascii="宋体" w:hAnsi="宋体" w:cs="宋体" w:eastAsia="宋体" w:hint="default"/>
                          <w:sz w:val="18"/>
                          <w:szCs w:val="18"/>
                        </w:rPr>
                      </w:pPr>
                      <w:r>
                        <w:rPr>
                          <w:rFonts w:ascii="宋体" w:hAnsi="宋体" w:cs="宋体" w:eastAsia="宋体" w:hint="default"/>
                          <w:sz w:val="18"/>
                          <w:szCs w:val="18"/>
                        </w:rPr>
                        <w:t>CEO</w:t>
                      </w:r>
                      <w:r>
                        <w:rPr>
                          <w:rFonts w:ascii="宋体" w:hAnsi="宋体" w:cs="宋体" w:eastAsia="宋体" w:hint="default"/>
                          <w:spacing w:val="-45"/>
                          <w:sz w:val="18"/>
                          <w:szCs w:val="18"/>
                        </w:rPr>
                        <w:t> </w:t>
                      </w:r>
                      <w:r>
                        <w:rPr>
                          <w:rFonts w:ascii="宋体" w:hAnsi="宋体" w:cs="宋体" w:eastAsia="宋体" w:hint="default"/>
                          <w:sz w:val="18"/>
                          <w:szCs w:val="18"/>
                        </w:rPr>
                        <w:t>审批</w:t>
                      </w:r>
                    </w:p>
                  </w:txbxContent>
                </v:textbox>
                <w10:wrap type="none"/>
              </v:shape>
              <v:shape style="position:absolute;left:9;top:294;width:1529;height:800" type="#_x0000_t202" filled="false" stroked="false">
                <v:textbox inset="0,0,0,0">
                  <w:txbxContent>
                    <w:p>
                      <w:pPr>
                        <w:spacing w:line="240" w:lineRule="auto" w:before="13"/>
                        <w:rPr>
                          <w:rFonts w:ascii="宋体" w:hAnsi="宋体" w:cs="宋体" w:eastAsia="宋体" w:hint="default"/>
                          <w:sz w:val="20"/>
                          <w:szCs w:val="20"/>
                        </w:rPr>
                      </w:pPr>
                    </w:p>
                    <w:p>
                      <w:pPr>
                        <w:spacing w:before="0"/>
                        <w:ind w:left="133" w:right="0" w:firstLine="0"/>
                        <w:jc w:val="left"/>
                        <w:rPr>
                          <w:rFonts w:ascii="宋体" w:hAnsi="宋体" w:cs="宋体" w:eastAsia="宋体" w:hint="default"/>
                          <w:sz w:val="18"/>
                          <w:szCs w:val="18"/>
                        </w:rPr>
                      </w:pPr>
                      <w:r>
                        <w:rPr>
                          <w:rFonts w:ascii="宋体" w:hAnsi="宋体" w:cs="宋体" w:eastAsia="宋体" w:hint="default"/>
                          <w:sz w:val="18"/>
                          <w:szCs w:val="18"/>
                        </w:rPr>
                        <w:t>提出采购申请</w:t>
                      </w:r>
                    </w:p>
                  </w:txbxContent>
                </v:textbox>
                <w10:wrap type="none"/>
              </v:shape>
              <v:shape style="position:absolute;left:2259;top:294;width:1529;height:800" type="#_x0000_t202" filled="false" stroked="false">
                <v:textbox inset="0,0,0,0">
                  <w:txbxContent>
                    <w:p>
                      <w:pPr>
                        <w:spacing w:line="226" w:lineRule="exact" w:before="66"/>
                        <w:ind w:left="135" w:right="131" w:firstLine="0"/>
                        <w:jc w:val="center"/>
                        <w:rPr>
                          <w:rFonts w:ascii="宋体" w:hAnsi="宋体" w:cs="宋体" w:eastAsia="宋体" w:hint="default"/>
                          <w:sz w:val="18"/>
                          <w:szCs w:val="18"/>
                        </w:rPr>
                      </w:pPr>
                      <w:r>
                        <w:rPr>
                          <w:rFonts w:ascii="宋体" w:hAnsi="宋体" w:cs="宋体" w:eastAsia="宋体" w:hint="default"/>
                          <w:sz w:val="18"/>
                          <w:szCs w:val="18"/>
                        </w:rPr>
                        <w:t>申请部门负责人 及采购负责人</w:t>
                      </w:r>
                    </w:p>
                    <w:p>
                      <w:pPr>
                        <w:spacing w:before="30"/>
                        <w:ind w:left="0" w:right="104" w:firstLine="0"/>
                        <w:jc w:val="center"/>
                        <w:rPr>
                          <w:rFonts w:ascii="宋体" w:hAnsi="宋体" w:cs="宋体" w:eastAsia="宋体" w:hint="default"/>
                          <w:sz w:val="18"/>
                          <w:szCs w:val="18"/>
                        </w:rPr>
                      </w:pPr>
                      <w:r>
                        <w:rPr>
                          <w:rFonts w:ascii="宋体" w:hAnsi="宋体" w:cs="宋体" w:eastAsia="宋体" w:hint="default"/>
                          <w:sz w:val="18"/>
                          <w:szCs w:val="18"/>
                        </w:rPr>
                        <w:t>审批</w:t>
                      </w:r>
                    </w:p>
                  </w:txbxContent>
                </v:textbox>
                <w10:wrap type="none"/>
              </v:shape>
              <v:shape style="position:absolute;left:2259;top:1969;width:1529;height:800" type="#_x0000_t202" filled="false" stroked="false">
                <v:textbox inset="0,0,0,0">
                  <w:txbxContent>
                    <w:p>
                      <w:pPr>
                        <w:spacing w:line="240" w:lineRule="auto" w:before="10"/>
                        <w:rPr>
                          <w:rFonts w:ascii="宋体" w:hAnsi="宋体" w:cs="宋体" w:eastAsia="宋体" w:hint="default"/>
                          <w:sz w:val="20"/>
                          <w:szCs w:val="20"/>
                        </w:rPr>
                      </w:pPr>
                    </w:p>
                    <w:p>
                      <w:pPr>
                        <w:spacing w:before="0"/>
                        <w:ind w:left="135" w:right="0" w:firstLine="0"/>
                        <w:jc w:val="left"/>
                        <w:rPr>
                          <w:rFonts w:ascii="宋体" w:hAnsi="宋体" w:cs="宋体" w:eastAsia="宋体" w:hint="default"/>
                          <w:sz w:val="18"/>
                          <w:szCs w:val="18"/>
                        </w:rPr>
                      </w:pPr>
                      <w:r>
                        <w:rPr>
                          <w:rFonts w:ascii="宋体" w:hAnsi="宋体" w:cs="宋体" w:eastAsia="宋体" w:hint="default"/>
                          <w:sz w:val="18"/>
                          <w:szCs w:val="18"/>
                        </w:rPr>
                        <w:t>采购申请付款</w:t>
                      </w:r>
                    </w:p>
                  </w:txbxContent>
                </v:textbox>
                <w10:wrap type="none"/>
              </v:shape>
              <v:shape style="position:absolute;left:6760;top:1969;width:1529;height:800" type="#_x0000_t202" filled="false" stroked="false">
                <v:textbox inset="0,0,0,0">
                  <w:txbxContent>
                    <w:p>
                      <w:pPr>
                        <w:spacing w:line="240" w:lineRule="auto" w:before="10"/>
                        <w:rPr>
                          <w:rFonts w:ascii="宋体" w:hAnsi="宋体" w:cs="宋体" w:eastAsia="宋体" w:hint="default"/>
                          <w:sz w:val="20"/>
                          <w:szCs w:val="20"/>
                        </w:rPr>
                      </w:pPr>
                    </w:p>
                    <w:p>
                      <w:pPr>
                        <w:spacing w:before="0"/>
                        <w:ind w:left="238" w:right="0" w:firstLine="0"/>
                        <w:jc w:val="left"/>
                        <w:rPr>
                          <w:rFonts w:ascii="宋体" w:hAnsi="宋体" w:cs="宋体" w:eastAsia="宋体" w:hint="default"/>
                          <w:sz w:val="18"/>
                          <w:szCs w:val="18"/>
                        </w:rPr>
                      </w:pPr>
                      <w:r>
                        <w:rPr>
                          <w:rFonts w:ascii="宋体" w:hAnsi="宋体" w:cs="宋体" w:eastAsia="宋体" w:hint="default"/>
                          <w:sz w:val="18"/>
                          <w:szCs w:val="18"/>
                        </w:rPr>
                        <w:t>合同签署下单</w:t>
                      </w:r>
                    </w:p>
                  </w:txbxContent>
                </v:textbox>
                <w10:wrap type="none"/>
              </v:shape>
              <v:shape style="position:absolute;left:3834;top:31;width:720;height:399" type="#_x0000_t202" filled="false" stroked="false">
                <v:textbox inset="0,0,0,0">
                  <w:txbxContent>
                    <w:p>
                      <w:pPr>
                        <w:spacing w:line="171"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超过</w:t>
                      </w:r>
                    </w:p>
                    <w:p>
                      <w:pPr>
                        <w:spacing w:line="227"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一定金额</w:t>
                      </w:r>
                    </w:p>
                  </w:txbxContent>
                </v:textbox>
                <w10:wrap type="none"/>
              </v:shape>
              <v:shape style="position:absolute;left:6953;top:770;width:1260;height:524" type="#_x0000_t202" filled="false" stroked="false">
                <v:textbox inset="0,0,0,0">
                  <w:txbxContent>
                    <w:p>
                      <w:pPr>
                        <w:spacing w:line="180"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采购员汇总需求</w:t>
                      </w:r>
                    </w:p>
                    <w:p>
                      <w:pPr>
                        <w:spacing w:before="107"/>
                        <w:ind w:left="0" w:right="91" w:firstLine="0"/>
                        <w:jc w:val="center"/>
                        <w:rPr>
                          <w:rFonts w:ascii="宋体" w:hAnsi="宋体" w:cs="宋体" w:eastAsia="宋体" w:hint="default"/>
                          <w:sz w:val="18"/>
                          <w:szCs w:val="18"/>
                        </w:rPr>
                      </w:pPr>
                      <w:r>
                        <w:rPr>
                          <w:rFonts w:ascii="宋体" w:hAnsi="宋体" w:cs="宋体" w:eastAsia="宋体" w:hint="default"/>
                          <w:sz w:val="18"/>
                          <w:szCs w:val="18"/>
                        </w:rPr>
                        <w:t>询价议价</w:t>
                      </w:r>
                    </w:p>
                  </w:txbxContent>
                </v:textbox>
                <w10:wrap type="none"/>
              </v:shape>
              <v:shape style="position:absolute;left:349;top:229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财务付款</w:t>
                      </w:r>
                    </w:p>
                  </w:txbxContent>
                </v:textbox>
                <w10:wrap type="none"/>
              </v:shape>
              <v:shape style="position:absolute;left:4749;top:2296;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到货验收入库</w:t>
                      </w:r>
                    </w:p>
                  </w:txbxContent>
                </v:textbox>
                <w10:wrap type="none"/>
              </v:shape>
              <v:shape style="position:absolute;left:4569;top:3713;width:1260;height:531"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不合格按相关退</w:t>
                      </w:r>
                    </w:p>
                    <w:p>
                      <w:pPr>
                        <w:spacing w:before="115"/>
                        <w:ind w:left="115" w:right="0" w:firstLine="0"/>
                        <w:jc w:val="center"/>
                        <w:rPr>
                          <w:rFonts w:ascii="宋体" w:hAnsi="宋体" w:cs="宋体" w:eastAsia="宋体" w:hint="default"/>
                          <w:sz w:val="18"/>
                          <w:szCs w:val="18"/>
                        </w:rPr>
                      </w:pPr>
                      <w:r>
                        <w:rPr>
                          <w:rFonts w:ascii="宋体" w:hAnsi="宋体" w:cs="宋体" w:eastAsia="宋体" w:hint="default"/>
                          <w:sz w:val="18"/>
                          <w:szCs w:val="18"/>
                        </w:rPr>
                        <w:t>货制度处理</w:t>
                      </w:r>
                    </w:p>
                  </w:txbxContent>
                </v:textbox>
                <w10:wrap type="none"/>
              </v:shape>
              <v:shape style="position:absolute;left:9;top:3490;width:1529;height:799" type="#_x0000_t202" filled="false" stroked="false">
                <v:textbox inset="0,0,0,0">
                  <w:txbxContent>
                    <w:p>
                      <w:pPr>
                        <w:spacing w:line="240" w:lineRule="auto" w:before="8"/>
                        <w:rPr>
                          <w:rFonts w:ascii="宋体" w:hAnsi="宋体" w:cs="宋体" w:eastAsia="宋体" w:hint="default"/>
                          <w:sz w:val="18"/>
                          <w:szCs w:val="18"/>
                        </w:rPr>
                      </w:pPr>
                    </w:p>
                    <w:p>
                      <w:pPr>
                        <w:spacing w:before="0"/>
                        <w:ind w:left="414" w:right="0" w:firstLine="0"/>
                        <w:jc w:val="left"/>
                        <w:rPr>
                          <w:rFonts w:ascii="宋体" w:hAnsi="宋体" w:cs="宋体" w:eastAsia="宋体" w:hint="default"/>
                          <w:sz w:val="18"/>
                          <w:szCs w:val="18"/>
                        </w:rPr>
                      </w:pPr>
                      <w:r>
                        <w:rPr>
                          <w:rFonts w:ascii="宋体" w:hAnsi="宋体" w:cs="宋体" w:eastAsia="宋体" w:hint="default"/>
                          <w:sz w:val="18"/>
                          <w:szCs w:val="18"/>
                        </w:rPr>
                        <w:t>采购完成</w:t>
                      </w:r>
                    </w:p>
                  </w:txbxContent>
                </v:textbox>
                <w10:wrap type="none"/>
              </v:shape>
            </v:group>
          </v:group>
        </w:pict>
      </w:r>
      <w:r>
        <w:rPr>
          <w:rFonts w:ascii="宋体" w:hAnsi="宋体" w:cs="宋体" w:eastAsia="宋体" w:hint="default"/>
          <w:position w:val="-86"/>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09" w:lineRule="auto" w:before="44"/>
        <w:ind w:left="142" w:right="316" w:firstLine="359"/>
        <w:jc w:val="both"/>
      </w:pPr>
      <w:r>
        <w:rPr>
          <w:spacing w:val="-3"/>
        </w:rPr>
        <w:t>各需求部门制定采购需求，在</w:t>
      </w:r>
      <w:r>
        <w:rPr>
          <w:rFonts w:ascii="Times New Roman" w:hAnsi="Times New Roman" w:cs="Times New Roman" w:eastAsia="Times New Roman" w:hint="default"/>
          <w:spacing w:val="-3"/>
        </w:rPr>
        <w:t>ERP</w:t>
      </w:r>
      <w:r>
        <w:rPr>
          <w:spacing w:val="-3"/>
        </w:rPr>
        <w:t>采购系统中提出采购申请，采购申请经过需求部门负责人及采购部负责</w:t>
      </w:r>
      <w:r>
        <w:rPr/>
        <w:t> 人的审核后（超过一定金额还需要经财务总监及</w:t>
      </w:r>
      <w:r>
        <w:rPr>
          <w:rFonts w:ascii="Times New Roman" w:hAnsi="Times New Roman" w:cs="Times New Roman" w:eastAsia="Times New Roman" w:hint="default"/>
        </w:rPr>
        <w:t>CEO</w:t>
      </w:r>
      <w:r>
        <w:rPr/>
        <w:t>审批），由采购员汇总采购需求，并向《合格供应商名</w:t>
      </w:r>
      <w:r>
        <w:rPr>
          <w:spacing w:val="-56"/>
        </w:rPr>
        <w:t> </w:t>
      </w:r>
      <w:r>
        <w:rPr>
          <w:spacing w:val="-56"/>
        </w:rPr>
      </w:r>
      <w:r>
        <w:rPr/>
        <w:t>录》中的供应商询价，由采购部门组织法务等相关人员与供应商进行合同条款的协商。选取供应商并确定相</w:t>
      </w:r>
      <w:r>
        <w:rPr>
          <w:spacing w:val="-57"/>
        </w:rPr>
        <w:t> </w:t>
      </w:r>
      <w:r>
        <w:rPr>
          <w:spacing w:val="-57"/>
        </w:rPr>
      </w:r>
      <w:r>
        <w:rPr>
          <w:spacing w:val="-3"/>
        </w:rPr>
        <w:t>关条款后，采购员在</w:t>
      </w:r>
      <w:r>
        <w:rPr>
          <w:rFonts w:ascii="Times New Roman" w:hAnsi="Times New Roman" w:cs="Times New Roman" w:eastAsia="Times New Roman" w:hint="default"/>
          <w:spacing w:val="-3"/>
        </w:rPr>
        <w:t>ERP</w:t>
      </w:r>
      <w:r>
        <w:rPr>
          <w:spacing w:val="-3"/>
        </w:rPr>
        <w:t>系统发起采购合同审批。完成审批后，公司与供应商签署采购合同，采购订单生效执</w:t>
      </w:r>
      <w:r>
        <w:rPr>
          <w:spacing w:val="-52"/>
        </w:rPr>
        <w:t> </w:t>
      </w:r>
      <w:r>
        <w:rPr>
          <w:spacing w:val="-52"/>
        </w:rPr>
      </w:r>
      <w:r>
        <w:rPr/>
        <w:t>行。货到后由公司仓库人员进行接收工作，同时由质控部门人员做相应的验收工作，对验收合格的物资、材</w:t>
      </w:r>
      <w:r>
        <w:rPr>
          <w:spacing w:val="-57"/>
        </w:rPr>
        <w:t> </w:t>
      </w:r>
      <w:r>
        <w:rPr>
          <w:spacing w:val="-57"/>
        </w:rPr>
      </w:r>
      <w:r>
        <w:rPr/>
        <w:t>料及时办理入库；对验收不合格的不予入库并按照公司制定的流程进行处理。验收入库后，在和供应商约定</w:t>
      </w:r>
      <w:r>
        <w:rPr>
          <w:spacing w:val="-56"/>
        </w:rPr>
        <w:t> </w:t>
      </w:r>
      <w:r>
        <w:rPr>
          <w:spacing w:val="-56"/>
        </w:rPr>
      </w:r>
      <w:r>
        <w:rPr/>
        <w:t>的付款期内由采购员填写支出证明单，经采购负责人审批签字后，提交财务部门，申请付款结算。</w:t>
      </w:r>
    </w:p>
    <w:p>
      <w:pPr>
        <w:pStyle w:val="BodyText"/>
        <w:spacing w:line="412" w:lineRule="auto" w:before="146"/>
        <w:ind w:left="501" w:right="303"/>
        <w:jc w:val="left"/>
      </w:pPr>
      <w:r>
        <w:rPr>
          <w:rFonts w:ascii="Times New Roman" w:hAnsi="Times New Roman" w:cs="Times New Roman" w:eastAsia="Times New Roman" w:hint="default"/>
          <w:b/>
          <w:bCs/>
        </w:rPr>
        <w:t>2</w:t>
      </w:r>
      <w:r>
        <w:rPr>
          <w:rFonts w:ascii="宋体" w:hAnsi="宋体" w:cs="宋体" w:eastAsia="宋体" w:hint="default"/>
          <w:b/>
          <w:bCs/>
        </w:rPr>
        <w:t>、生产模式</w:t>
      </w:r>
      <w:r>
        <w:rPr>
          <w:rFonts w:ascii="宋体" w:hAnsi="宋体" w:cs="宋体" w:eastAsia="宋体" w:hint="default"/>
          <w:b/>
          <w:bCs/>
          <w:w w:val="99"/>
        </w:rPr>
        <w:t> </w:t>
      </w:r>
      <w:r>
        <w:rPr/>
        <w:t>公司的生产模式主要分两种类型，一种为基础科研类，主要包括基础科研类、药物研发类和部分面向研</w:t>
      </w:r>
    </w:p>
    <w:p>
      <w:pPr>
        <w:pStyle w:val="BodyText"/>
        <w:spacing w:line="182" w:lineRule="exact"/>
        <w:ind w:left="142" w:right="303"/>
        <w:jc w:val="left"/>
      </w:pPr>
      <w:r>
        <w:rPr/>
        <w:t>究者的复杂疾病类服务，一种为临床开发与应用类，主要包括生育健康类和部分复杂疾病类服务。</w:t>
      </w:r>
    </w:p>
    <w:p>
      <w:pPr>
        <w:pStyle w:val="BodyText"/>
        <w:spacing w:line="316" w:lineRule="auto" w:before="117"/>
        <w:ind w:left="142" w:right="322" w:firstLine="359"/>
        <w:jc w:val="both"/>
      </w:pPr>
      <w:r>
        <w:rPr/>
        <w:t>基础科研类采取订单型、小批量的生产模式，以订单或项目形式接入生产任务，根据历史项目数据分析 结果及项目接收趋势情况制定季度或月度生产计划，发放至各产线参考；根据项目接入情况制定短期内的小</w:t>
      </w:r>
      <w:r>
        <w:rPr>
          <w:spacing w:val="-54"/>
        </w:rPr>
        <w:t> </w:t>
      </w:r>
      <w:r>
        <w:rPr>
          <w:spacing w:val="-54"/>
        </w:rPr>
      </w:r>
      <w:r>
        <w:rPr/>
        <w:t>批量生产计划（周计划、日计划），发放至各产线执行。</w:t>
      </w:r>
    </w:p>
    <w:p>
      <w:pPr>
        <w:pStyle w:val="BodyText"/>
        <w:spacing w:line="319" w:lineRule="auto" w:before="59"/>
        <w:ind w:left="142" w:right="325" w:firstLine="359"/>
        <w:jc w:val="right"/>
      </w:pPr>
      <w:r>
        <w:rPr/>
        <w:t>临床开发与应用类采取流程式生产的生产方式，根据历史任务量情况分析结果及市场趋势分析制定季度 或月度生产计划，发放至各产线参考；根据实际任务接收情况制定周计划和日计划，发放至各产线执行。执</w:t>
      </w:r>
      <w:r>
        <w:rPr>
          <w:spacing w:val="-66"/>
        </w:rPr>
        <w:t> </w:t>
      </w:r>
      <w:r>
        <w:rPr>
          <w:spacing w:val="-66"/>
        </w:rPr>
      </w:r>
      <w:r>
        <w:rPr/>
        <w:t>行过程中采取流程式作业，在各流程式作业的关键节点设置质控操作，确保产品数据可靠性和质量稳定性。</w:t>
      </w:r>
    </w:p>
    <w:p>
      <w:pPr>
        <w:pStyle w:val="BodyText"/>
        <w:spacing w:line="316" w:lineRule="auto" w:before="55"/>
        <w:ind w:left="142" w:right="327" w:firstLine="359"/>
        <w:jc w:val="both"/>
      </w:pPr>
      <w:r>
        <w:rPr/>
        <w:t>公司内部有严格的质量控制流程，包括原材料的检测、实验室环境的监测、各类设备的定期校准、生产 关键节点的质控、数据的质控等，通过对生产环节的严格控制，确保产出结果的准确性。</w:t>
      </w:r>
    </w:p>
    <w:p>
      <w:pPr>
        <w:pStyle w:val="BodyText"/>
        <w:spacing w:line="240" w:lineRule="auto" w:before="59"/>
        <w:ind w:left="501" w:right="303"/>
        <w:jc w:val="left"/>
      </w:pPr>
      <w:r>
        <w:rPr/>
        <w:t>同时，公司自主生产部分用于临床应用服务的测序仪和配套试剂，作为公司自身生产使用。</w:t>
      </w:r>
    </w:p>
    <w:p>
      <w:pPr>
        <w:spacing w:line="240" w:lineRule="auto" w:before="3"/>
        <w:rPr>
          <w:rFonts w:ascii="宋体" w:hAnsi="宋体" w:cs="宋体" w:eastAsia="宋体" w:hint="default"/>
          <w:sz w:val="15"/>
          <w:szCs w:val="15"/>
        </w:rPr>
      </w:pPr>
    </w:p>
    <w:p>
      <w:pPr>
        <w:pStyle w:val="Heading4"/>
        <w:spacing w:line="240" w:lineRule="auto" w:before="0"/>
        <w:ind w:left="501" w:right="303"/>
        <w:jc w:val="left"/>
        <w:rPr>
          <w:b w:val="0"/>
          <w:bCs w:val="0"/>
        </w:rPr>
      </w:pPr>
      <w:r>
        <w:rPr>
          <w:rFonts w:ascii="Times New Roman" w:hAnsi="Times New Roman" w:cs="Times New Roman" w:eastAsia="Times New Roman" w:hint="default"/>
        </w:rPr>
        <w:t>3</w:t>
      </w:r>
      <w:r>
        <w:rPr/>
        <w:t>、营销模式</w:t>
      </w:r>
      <w:r>
        <w:rPr>
          <w:b w:val="0"/>
          <w:bCs w:val="0"/>
        </w:rPr>
      </w:r>
    </w:p>
    <w:p>
      <w:pPr>
        <w:pStyle w:val="BodyText"/>
        <w:spacing w:line="420" w:lineRule="atLeast" w:before="9"/>
        <w:ind w:left="501" w:right="303" w:hanging="3"/>
        <w:jc w:val="left"/>
      </w:pPr>
      <w:r>
        <w:rPr/>
        <w:t>（</w:t>
      </w:r>
      <w:r>
        <w:rPr>
          <w:rFonts w:ascii="Times New Roman" w:hAnsi="Times New Roman" w:cs="Times New Roman" w:eastAsia="Times New Roman" w:hint="default"/>
        </w:rPr>
        <w:t>1</w:t>
      </w:r>
      <w:r>
        <w:rPr/>
        <w:t>）销售模式 </w:t>
      </w:r>
      <w:r>
        <w:rPr>
          <w:spacing w:val="-3"/>
        </w:rPr>
        <w:t>按销售渠道和客户类型的不同特点，公司实行直销和代理的销售模式。公司通过全球各地设立的子公司、</w:t>
      </w:r>
    </w:p>
    <w:p>
      <w:pPr>
        <w:pStyle w:val="BodyText"/>
        <w:spacing w:line="316" w:lineRule="auto" w:before="76"/>
        <w:ind w:left="142" w:right="303"/>
        <w:jc w:val="left"/>
      </w:pPr>
      <w:r>
        <w:rPr/>
        <w:t>分公司建立营销网络并提供技术咨询服务，一直以来推行知识营销策略的方式来保证公司销售收入的快速增</w:t>
      </w:r>
      <w:r>
        <w:rPr>
          <w:spacing w:val="-57"/>
        </w:rPr>
        <w:t> </w:t>
      </w:r>
      <w:r>
        <w:rPr>
          <w:spacing w:val="-57"/>
        </w:rPr>
      </w:r>
      <w:r>
        <w:rPr/>
        <w:t>长：</w:t>
      </w:r>
    </w:p>
    <w:p>
      <w:pPr>
        <w:pStyle w:val="BodyText"/>
        <w:spacing w:line="240" w:lineRule="auto" w:before="139"/>
        <w:ind w:left="501" w:right="303"/>
        <w:jc w:val="left"/>
      </w:pPr>
      <w:r>
        <w:rPr/>
        <w:t>①公司通过引进专业人才作为内部讲师，内部讲师通过不断学习产品专业知识并对销售人员进行培训，</w:t>
      </w:r>
    </w:p>
    <w:p>
      <w:pPr>
        <w:spacing w:after="0" w:line="240" w:lineRule="auto"/>
        <w:jc w:val="left"/>
        <w:sectPr>
          <w:pgSz w:w="11910" w:h="16840"/>
          <w:pgMar w:header="880" w:footer="974" w:top="1100" w:bottom="1160" w:left="1560" w:right="1380"/>
        </w:sectPr>
      </w:pPr>
    </w:p>
    <w:p>
      <w:pPr>
        <w:spacing w:line="240" w:lineRule="auto" w:before="0"/>
        <w:rPr>
          <w:rFonts w:ascii="宋体" w:hAnsi="宋体" w:cs="宋体" w:eastAsia="宋体" w:hint="default"/>
          <w:sz w:val="22"/>
          <w:szCs w:val="22"/>
        </w:rPr>
      </w:pPr>
    </w:p>
    <w:p>
      <w:pPr>
        <w:pStyle w:val="BodyText"/>
        <w:spacing w:line="240" w:lineRule="auto" w:before="44"/>
        <w:ind w:left="142" w:right="0"/>
        <w:jc w:val="both"/>
      </w:pPr>
      <w:r>
        <w:rPr/>
        <w:t>打造强有力的知识营销队伍，通过与客户的专业交流来达到项目推广的目的。</w:t>
      </w:r>
    </w:p>
    <w:p>
      <w:pPr>
        <w:spacing w:line="240" w:lineRule="auto" w:before="0"/>
        <w:rPr>
          <w:rFonts w:ascii="宋体" w:hAnsi="宋体" w:cs="宋体" w:eastAsia="宋体" w:hint="default"/>
          <w:sz w:val="15"/>
          <w:szCs w:val="15"/>
        </w:rPr>
      </w:pPr>
    </w:p>
    <w:p>
      <w:pPr>
        <w:pStyle w:val="BodyText"/>
        <w:spacing w:line="316" w:lineRule="auto"/>
        <w:ind w:left="142" w:right="145" w:firstLine="359"/>
        <w:jc w:val="both"/>
      </w:pPr>
      <w:r>
        <w:rPr/>
        <w:t>②公司与全球各领域专家建立良好的合作关系，每年定期组织自办或参加不同级别的学术会议、专家学 术培训班，与众专家进行学习交流、疑难讨论、现场演示操作等，旨在使不同领域专家充分了解与公司推广</w:t>
      </w:r>
      <w:r>
        <w:rPr>
          <w:spacing w:val="-57"/>
        </w:rPr>
        <w:t> </w:t>
      </w:r>
      <w:r>
        <w:rPr>
          <w:spacing w:val="-57"/>
        </w:rPr>
      </w:r>
      <w:r>
        <w:rPr/>
        <w:t>产品密切相关的学科领域新进展，并及时解决其平时在工作中遇到的疑难与困惑。</w:t>
      </w:r>
    </w:p>
    <w:p>
      <w:pPr>
        <w:pStyle w:val="BodyText"/>
        <w:spacing w:line="316" w:lineRule="auto" w:before="139"/>
        <w:ind w:left="142" w:right="139" w:firstLine="359"/>
        <w:jc w:val="both"/>
      </w:pPr>
      <w:r>
        <w:rPr>
          <w:spacing w:val="-4"/>
        </w:rPr>
        <w:t>③公司每年印制大量的产品资料，通过展板、展架、宣传单页等形式，发放到客户手中，从而达到项目推</w:t>
      </w:r>
      <w:r>
        <w:rPr/>
        <w:t> 广的目的。</w:t>
      </w:r>
    </w:p>
    <w:p>
      <w:pPr>
        <w:pStyle w:val="BodyText"/>
        <w:spacing w:line="316" w:lineRule="auto" w:before="139"/>
        <w:ind w:left="142" w:right="142" w:firstLine="359"/>
        <w:jc w:val="both"/>
      </w:pPr>
      <w:r>
        <w:rPr/>
        <w:t>公司针对不同的产品类型，销售模式侧重度也不同。对于基础研究类服务，公司主要采用直销模式；对 于临床应用开发类服务，公司主要实行直销和代理模式。</w:t>
      </w:r>
    </w:p>
    <w:p>
      <w:pPr>
        <w:pStyle w:val="BodyText"/>
        <w:spacing w:line="432" w:lineRule="exact" w:before="3"/>
        <w:ind w:left="501" w:right="128"/>
        <w:jc w:val="left"/>
      </w:pPr>
      <w:r>
        <w:rPr/>
        <w:t>①直销模式下的销售情况 对于公司内部销售资源可实现覆盖的区域，公司实行直销的销售模式。直销模式更便于公司自主掌控市</w:t>
      </w:r>
    </w:p>
    <w:p>
      <w:pPr>
        <w:pStyle w:val="BodyText"/>
        <w:spacing w:line="240" w:lineRule="auto" w:before="15"/>
        <w:ind w:left="142" w:right="0"/>
        <w:jc w:val="both"/>
      </w:pPr>
      <w:r>
        <w:rPr/>
        <w:t>场资源。</w:t>
      </w:r>
    </w:p>
    <w:p>
      <w:pPr>
        <w:spacing w:line="240" w:lineRule="auto" w:before="0"/>
        <w:rPr>
          <w:rFonts w:ascii="宋体" w:hAnsi="宋体" w:cs="宋体" w:eastAsia="宋体" w:hint="default"/>
          <w:sz w:val="15"/>
          <w:szCs w:val="15"/>
        </w:rPr>
      </w:pPr>
    </w:p>
    <w:p>
      <w:pPr>
        <w:pStyle w:val="BodyText"/>
        <w:spacing w:line="314" w:lineRule="auto"/>
        <w:ind w:left="142" w:right="136" w:firstLine="359"/>
        <w:jc w:val="both"/>
      </w:pPr>
      <w:r>
        <w:rPr>
          <w:spacing w:val="-3"/>
        </w:rPr>
        <w:t>公司现已建成覆盖欧洲、美洲、亚太地区、北上广武等中国主要大型城市的子公司、分公司、业务中心和</w:t>
      </w:r>
      <w:r>
        <w:rPr/>
        <w:t> </w:t>
      </w:r>
      <w:r>
        <w:rPr>
          <w:spacing w:val="-1"/>
        </w:rPr>
        <w:t>办事处，服务覆盖全球</w:t>
      </w:r>
      <w:r>
        <w:rPr>
          <w:rFonts w:ascii="Times New Roman" w:hAnsi="Times New Roman" w:cs="Times New Roman" w:eastAsia="Times New Roman" w:hint="default"/>
          <w:spacing w:val="-1"/>
        </w:rPr>
        <w:t>100</w:t>
      </w:r>
      <w:r>
        <w:rPr>
          <w:spacing w:val="-1"/>
        </w:rPr>
        <w:t>多个国家和地区的营销网络。对于基础研究类服务、临床应用开发类服务销售流程</w:t>
      </w:r>
      <w:r>
        <w:rPr/>
        <w:t> 和销售特点主要为：与客户单位签署协议；客户单位通过物流系统寄送样品并支付款项；公司接到样品及款</w:t>
      </w:r>
      <w:r>
        <w:rPr>
          <w:spacing w:val="-57"/>
        </w:rPr>
        <w:t> </w:t>
      </w:r>
      <w:r>
        <w:rPr>
          <w:spacing w:val="-57"/>
        </w:rPr>
      </w:r>
      <w:r>
        <w:rPr/>
        <w:t>项后录入系统，并开始检测；约定周期内完成项目交付，并完成尾款收回。对于仪器试剂销售类销售流程和</w:t>
      </w:r>
      <w:r>
        <w:rPr>
          <w:spacing w:val="-57"/>
        </w:rPr>
        <w:t> </w:t>
      </w:r>
      <w:r>
        <w:rPr>
          <w:spacing w:val="-57"/>
        </w:rPr>
      </w:r>
      <w:r>
        <w:rPr/>
        <w:t>销售特点主要为：与客户单位签署协议；公司根据协议约定要求配送仪器、试剂到客户指定地点，客户验收</w:t>
      </w:r>
      <w:r>
        <w:rPr>
          <w:spacing w:val="-57"/>
        </w:rPr>
        <w:t> </w:t>
      </w:r>
      <w:r>
        <w:rPr>
          <w:spacing w:val="-57"/>
        </w:rPr>
      </w:r>
      <w:r>
        <w:rPr/>
        <w:t>合格，仪器进行装机、技术转移等服务后，完成交付。客户根据协议约定支付款项。</w:t>
      </w:r>
    </w:p>
    <w:p>
      <w:pPr>
        <w:pStyle w:val="BodyText"/>
        <w:spacing w:line="432" w:lineRule="exact" w:before="5"/>
        <w:ind w:left="501" w:right="128"/>
        <w:jc w:val="left"/>
      </w:pPr>
      <w:r>
        <w:rPr/>
        <w:t>②代理模式下的销售情况 由于临床应用服务的国内终端客户主要为医院、体检机构等医疗机构，存在数量众多、分布广泛、需求</w:t>
      </w:r>
    </w:p>
    <w:p>
      <w:pPr>
        <w:pStyle w:val="BodyText"/>
        <w:spacing w:line="316" w:lineRule="auto" w:before="15"/>
        <w:ind w:left="142" w:right="141"/>
        <w:jc w:val="both"/>
      </w:pPr>
      <w:r>
        <w:rPr/>
        <w:t>各异的特点；海外市场存在国家众多、距离遥远、各国文化经济和习惯差异较大的特点，所以针对海外市场</w:t>
      </w:r>
      <w:r>
        <w:rPr>
          <w:spacing w:val="-57"/>
        </w:rPr>
        <w:t> </w:t>
      </w:r>
      <w:r>
        <w:rPr>
          <w:spacing w:val="-57"/>
        </w:rPr>
      </w:r>
      <w:r>
        <w:rPr/>
        <w:t>和国内现有销售渠道难以有效覆盖的区域，公司借助代理机构和第三方检测公司的现有渠道和资源快速开展</w:t>
      </w:r>
      <w:r>
        <w:rPr>
          <w:spacing w:val="-54"/>
        </w:rPr>
        <w:t> </w:t>
      </w:r>
      <w:r>
        <w:rPr>
          <w:spacing w:val="-54"/>
        </w:rPr>
      </w:r>
      <w:r>
        <w:rPr/>
        <w:t>业务。</w:t>
      </w:r>
    </w:p>
    <w:p>
      <w:pPr>
        <w:pStyle w:val="BodyText"/>
        <w:spacing w:line="316" w:lineRule="auto" w:before="139"/>
        <w:ind w:left="142" w:right="145" w:firstLine="359"/>
        <w:jc w:val="both"/>
      </w:pPr>
      <w:r>
        <w:rPr/>
        <w:t>代理模式的销售流程和销售特点主要为：代理商签署代理协议；代理商依据前期约定，支付保证金；代 理公司或医疗机构直接通过物流系统寄送样品和系统下单；公司接到样品和系统记录，开始检测服务；约定</w:t>
      </w:r>
      <w:r>
        <w:rPr>
          <w:spacing w:val="-57"/>
        </w:rPr>
        <w:t> </w:t>
      </w:r>
      <w:r>
        <w:rPr>
          <w:spacing w:val="-57"/>
        </w:rPr>
      </w:r>
      <w:r>
        <w:rPr/>
        <w:t>周期内完成项目交付，生成报告；定期账款核对和代理商评估。</w:t>
      </w:r>
    </w:p>
    <w:p>
      <w:pPr>
        <w:pStyle w:val="BodyText"/>
        <w:spacing w:line="240" w:lineRule="auto" w:before="139"/>
        <w:ind w:left="499" w:right="254"/>
        <w:jc w:val="left"/>
      </w:pPr>
      <w:r>
        <w:rPr/>
        <w:t>（</w:t>
      </w:r>
      <w:r>
        <w:rPr>
          <w:rFonts w:ascii="Times New Roman" w:hAnsi="Times New Roman" w:cs="Times New Roman" w:eastAsia="Times New Roman" w:hint="default"/>
        </w:rPr>
        <w:t>2</w:t>
      </w:r>
      <w:r>
        <w:rPr/>
        <w:t>）盈利模式</w:t>
      </w:r>
    </w:p>
    <w:p>
      <w:pPr>
        <w:spacing w:line="240" w:lineRule="auto" w:before="2"/>
        <w:rPr>
          <w:rFonts w:ascii="宋体" w:hAnsi="宋体" w:cs="宋体" w:eastAsia="宋体" w:hint="default"/>
          <w:sz w:val="13"/>
          <w:szCs w:val="13"/>
        </w:rPr>
      </w:pPr>
    </w:p>
    <w:tbl>
      <w:tblPr>
        <w:tblW w:w="0" w:type="auto"/>
        <w:jc w:val="left"/>
        <w:tblInd w:w="142" w:type="dxa"/>
        <w:tblLayout w:type="fixed"/>
        <w:tblCellMar>
          <w:top w:w="0" w:type="dxa"/>
          <w:left w:w="0" w:type="dxa"/>
          <w:bottom w:w="0" w:type="dxa"/>
          <w:right w:w="0" w:type="dxa"/>
        </w:tblCellMar>
        <w:tblLook w:val="01E0"/>
      </w:tblPr>
      <w:tblGrid>
        <w:gridCol w:w="955"/>
        <w:gridCol w:w="2677"/>
        <w:gridCol w:w="1270"/>
        <w:gridCol w:w="1270"/>
        <w:gridCol w:w="2305"/>
      </w:tblGrid>
      <w:tr>
        <w:trPr>
          <w:trHeight w:val="644" w:hRule="exact"/>
        </w:trPr>
        <w:tc>
          <w:tcPr>
            <w:tcW w:w="95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6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89" w:right="0"/>
              <w:jc w:val="left"/>
              <w:rPr>
                <w:rFonts w:ascii="宋体" w:hAnsi="宋体" w:cs="宋体" w:eastAsia="宋体" w:hint="default"/>
                <w:sz w:val="18"/>
                <w:szCs w:val="18"/>
              </w:rPr>
            </w:pPr>
            <w:r>
              <w:rPr>
                <w:rFonts w:ascii="宋体" w:hAnsi="宋体" w:cs="宋体" w:eastAsia="宋体" w:hint="default"/>
                <w:b/>
                <w:bCs/>
                <w:sz w:val="18"/>
                <w:szCs w:val="18"/>
              </w:rPr>
              <w:t>主要客户群体</w:t>
            </w:r>
            <w:r>
              <w:rPr>
                <w:rFonts w:ascii="宋体" w:hAnsi="宋体" w:cs="宋体" w:eastAsia="宋体" w:hint="default"/>
                <w:sz w:val="18"/>
                <w:szCs w:val="18"/>
              </w:rPr>
            </w:r>
          </w:p>
        </w:tc>
        <w:tc>
          <w:tcPr>
            <w:tcW w:w="127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268" w:right="267" w:firstLine="180"/>
              <w:jc w:val="left"/>
              <w:rPr>
                <w:rFonts w:ascii="宋体" w:hAnsi="宋体" w:cs="宋体" w:eastAsia="宋体" w:hint="default"/>
                <w:sz w:val="18"/>
                <w:szCs w:val="18"/>
              </w:rPr>
            </w:pPr>
            <w:r>
              <w:rPr>
                <w:rFonts w:ascii="宋体" w:hAnsi="宋体" w:cs="宋体" w:eastAsia="宋体" w:hint="default"/>
                <w:b/>
                <w:bCs/>
                <w:sz w:val="18"/>
                <w:szCs w:val="18"/>
              </w:rPr>
              <w:t>主要</w:t>
            </w:r>
            <w:r>
              <w:rPr>
                <w:rFonts w:ascii="宋体" w:hAnsi="宋体" w:cs="宋体" w:eastAsia="宋体" w:hint="default"/>
                <w:b/>
                <w:bCs/>
                <w:spacing w:val="2"/>
                <w:w w:val="99"/>
                <w:sz w:val="18"/>
                <w:szCs w:val="18"/>
              </w:rPr>
              <w:t> </w:t>
            </w:r>
            <w:r>
              <w:rPr>
                <w:rFonts w:ascii="宋体" w:hAnsi="宋体" w:cs="宋体" w:eastAsia="宋体" w:hint="default"/>
                <w:b/>
                <w:bCs/>
                <w:sz w:val="18"/>
                <w:szCs w:val="18"/>
              </w:rPr>
              <w:t>销售模式</w:t>
            </w:r>
            <w:r>
              <w:rPr>
                <w:rFonts w:ascii="宋体" w:hAnsi="宋体" w:cs="宋体" w:eastAsia="宋体" w:hint="default"/>
                <w:sz w:val="18"/>
                <w:szCs w:val="18"/>
              </w:rPr>
            </w:r>
          </w:p>
        </w:tc>
        <w:tc>
          <w:tcPr>
            <w:tcW w:w="1270" w:type="dxa"/>
            <w:tcBorders>
              <w:top w:val="single" w:sz="12" w:space="0" w:color="000000"/>
              <w:left w:val="single" w:sz="4" w:space="0" w:color="000000"/>
              <w:bottom w:val="single" w:sz="4" w:space="0" w:color="000000"/>
              <w:right w:val="single" w:sz="4" w:space="0" w:color="000000"/>
            </w:tcBorders>
          </w:tcPr>
          <w:p>
            <w:pPr>
              <w:pStyle w:val="TableParagraph"/>
              <w:spacing w:line="300" w:lineRule="auto" w:before="10"/>
              <w:ind w:left="357" w:right="151" w:hanging="204"/>
              <w:jc w:val="left"/>
              <w:rPr>
                <w:rFonts w:ascii="宋体" w:hAnsi="宋体" w:cs="宋体" w:eastAsia="宋体" w:hint="default"/>
                <w:sz w:val="18"/>
                <w:szCs w:val="18"/>
              </w:rPr>
            </w:pPr>
            <w:r>
              <w:rPr>
                <w:rFonts w:ascii="宋体" w:hAnsi="宋体" w:cs="宋体" w:eastAsia="宋体" w:hint="default"/>
                <w:b/>
                <w:bCs/>
                <w:sz w:val="18"/>
                <w:szCs w:val="18"/>
              </w:rPr>
              <w:t>获取合同</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订</w:t>
            </w:r>
            <w:r>
              <w:rPr>
                <w:rFonts w:ascii="宋体" w:hAnsi="宋体" w:cs="宋体" w:eastAsia="宋体" w:hint="default"/>
                <w:b/>
                <w:bCs/>
                <w:w w:val="99"/>
                <w:sz w:val="18"/>
                <w:szCs w:val="18"/>
              </w:rPr>
              <w:t> </w:t>
            </w:r>
            <w:r>
              <w:rPr>
                <w:rFonts w:ascii="宋体" w:hAnsi="宋体" w:cs="宋体" w:eastAsia="宋体" w:hint="default"/>
                <w:b/>
                <w:bCs/>
                <w:sz w:val="18"/>
                <w:szCs w:val="18"/>
              </w:rPr>
              <w:t>单方式</w:t>
            </w:r>
            <w:r>
              <w:rPr>
                <w:rFonts w:ascii="宋体" w:hAnsi="宋体" w:cs="宋体" w:eastAsia="宋体" w:hint="default"/>
                <w:sz w:val="18"/>
                <w:szCs w:val="18"/>
              </w:rPr>
            </w:r>
          </w:p>
        </w:tc>
        <w:tc>
          <w:tcPr>
            <w:tcW w:w="2305" w:type="dxa"/>
            <w:tcBorders>
              <w:top w:val="single" w:sz="12" w:space="0" w:color="000000"/>
              <w:left w:val="single" w:sz="4" w:space="0" w:color="000000"/>
              <w:bottom w:val="single" w:sz="4" w:space="0" w:color="000000"/>
              <w:right w:val="single" w:sz="12" w:space="0" w:color="000000"/>
            </w:tcBorders>
          </w:tcPr>
          <w:p>
            <w:pPr>
              <w:pStyle w:val="TableParagraph"/>
              <w:spacing w:line="300" w:lineRule="auto" w:before="10"/>
              <w:ind w:left="693" w:right="569" w:hanging="118"/>
              <w:jc w:val="left"/>
              <w:rPr>
                <w:rFonts w:ascii="宋体" w:hAnsi="宋体" w:cs="宋体" w:eastAsia="宋体" w:hint="default"/>
                <w:sz w:val="18"/>
                <w:szCs w:val="18"/>
              </w:rPr>
            </w:pPr>
            <w:r>
              <w:rPr>
                <w:rFonts w:ascii="宋体" w:hAnsi="宋体" w:cs="宋体" w:eastAsia="宋体" w:hint="default"/>
                <w:b/>
                <w:bCs/>
                <w:sz w:val="18"/>
                <w:szCs w:val="18"/>
              </w:rPr>
              <w:t>出售产品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服务</w:t>
            </w:r>
            <w:r>
              <w:rPr>
                <w:rFonts w:ascii="宋体" w:hAnsi="宋体" w:cs="宋体" w:eastAsia="宋体" w:hint="default"/>
                <w:b/>
                <w:bCs/>
                <w:spacing w:val="2"/>
                <w:w w:val="99"/>
                <w:sz w:val="18"/>
                <w:szCs w:val="18"/>
              </w:rPr>
              <w:t> </w:t>
            </w:r>
            <w:r>
              <w:rPr>
                <w:rFonts w:ascii="宋体" w:hAnsi="宋体" w:cs="宋体" w:eastAsia="宋体" w:hint="default"/>
                <w:b/>
                <w:bCs/>
                <w:sz w:val="18"/>
                <w:szCs w:val="18"/>
              </w:rPr>
              <w:t>的表现形式</w:t>
            </w:r>
            <w:r>
              <w:rPr>
                <w:rFonts w:ascii="宋体" w:hAnsi="宋体" w:cs="宋体" w:eastAsia="宋体" w:hint="default"/>
                <w:sz w:val="18"/>
                <w:szCs w:val="18"/>
              </w:rPr>
            </w:r>
          </w:p>
        </w:tc>
      </w:tr>
      <w:tr>
        <w:trPr>
          <w:trHeight w:val="862" w:hRule="exact"/>
        </w:trPr>
        <w:tc>
          <w:tcPr>
            <w:tcW w:w="955"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25"/>
              <w:ind w:left="93" w:right="91"/>
              <w:jc w:val="left"/>
              <w:rPr>
                <w:rFonts w:ascii="宋体" w:hAnsi="宋体" w:cs="宋体" w:eastAsia="宋体" w:hint="default"/>
                <w:sz w:val="18"/>
                <w:szCs w:val="18"/>
              </w:rPr>
            </w:pPr>
            <w:r>
              <w:rPr>
                <w:rFonts w:ascii="宋体" w:hAnsi="宋体" w:cs="宋体" w:eastAsia="宋体" w:hint="default"/>
                <w:spacing w:val="7"/>
                <w:sz w:val="18"/>
                <w:szCs w:val="18"/>
              </w:rPr>
              <w:t>生育健康 </w:t>
            </w:r>
            <w:r>
              <w:rPr>
                <w:rFonts w:ascii="宋体" w:hAnsi="宋体" w:cs="宋体" w:eastAsia="宋体" w:hint="default"/>
                <w:sz w:val="18"/>
                <w:szCs w:val="18"/>
              </w:rPr>
              <w:t>类服务</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5"/>
              <w:ind w:left="103" w:right="101"/>
              <w:jc w:val="left"/>
              <w:rPr>
                <w:rFonts w:ascii="宋体" w:hAnsi="宋体" w:cs="宋体" w:eastAsia="宋体" w:hint="default"/>
                <w:sz w:val="18"/>
                <w:szCs w:val="18"/>
              </w:rPr>
            </w:pPr>
            <w:r>
              <w:rPr>
                <w:rFonts w:ascii="宋体" w:hAnsi="宋体" w:cs="宋体" w:eastAsia="宋体" w:hint="default"/>
                <w:spacing w:val="-5"/>
                <w:sz w:val="18"/>
                <w:szCs w:val="18"/>
              </w:rPr>
              <w:t>国内外的各级医院、体检机构等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医疗卫生机构和大众客户</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直销、代理</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商业谈判</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招投标</w:t>
            </w:r>
          </w:p>
        </w:tc>
        <w:tc>
          <w:tcPr>
            <w:tcW w:w="2305"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125"/>
              <w:ind w:left="100" w:right="94"/>
              <w:jc w:val="left"/>
              <w:rPr>
                <w:rFonts w:ascii="宋体" w:hAnsi="宋体" w:cs="宋体" w:eastAsia="宋体" w:hint="default"/>
                <w:sz w:val="18"/>
                <w:szCs w:val="18"/>
              </w:rPr>
            </w:pPr>
            <w:r>
              <w:rPr>
                <w:rFonts w:ascii="宋体" w:hAnsi="宋体" w:cs="宋体" w:eastAsia="宋体" w:hint="default"/>
                <w:spacing w:val="-6"/>
                <w:sz w:val="18"/>
                <w:szCs w:val="18"/>
              </w:rPr>
              <w:t>主要为检测报告、含少量试</w:t>
            </w:r>
            <w:r>
              <w:rPr>
                <w:rFonts w:ascii="宋体" w:hAnsi="宋体" w:cs="宋体" w:eastAsia="宋体" w:hint="default"/>
                <w:sz w:val="18"/>
                <w:szCs w:val="18"/>
              </w:rPr>
              <w:t> 剂</w:t>
            </w:r>
          </w:p>
        </w:tc>
      </w:tr>
      <w:tr>
        <w:trPr>
          <w:trHeight w:val="634" w:hRule="exact"/>
        </w:trPr>
        <w:tc>
          <w:tcPr>
            <w:tcW w:w="955"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0"/>
              <w:ind w:left="93" w:right="91"/>
              <w:jc w:val="left"/>
              <w:rPr>
                <w:rFonts w:ascii="宋体" w:hAnsi="宋体" w:cs="宋体" w:eastAsia="宋体" w:hint="default"/>
                <w:sz w:val="18"/>
                <w:szCs w:val="18"/>
              </w:rPr>
            </w:pPr>
            <w:r>
              <w:rPr>
                <w:rFonts w:ascii="宋体" w:hAnsi="宋体" w:cs="宋体" w:eastAsia="宋体" w:hint="default"/>
                <w:spacing w:val="7"/>
                <w:sz w:val="18"/>
                <w:szCs w:val="18"/>
              </w:rPr>
              <w:t>基础科研 </w:t>
            </w:r>
            <w:r>
              <w:rPr>
                <w:rFonts w:ascii="宋体" w:hAnsi="宋体" w:cs="宋体" w:eastAsia="宋体" w:hint="default"/>
                <w:sz w:val="18"/>
                <w:szCs w:val="18"/>
              </w:rPr>
              <w:t>类服务</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5"/>
                <w:sz w:val="18"/>
                <w:szCs w:val="18"/>
              </w:rPr>
              <w:t>国内外的科研院校、研究所、独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立实验室、制药公司等机构</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直销</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商业谈判</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招投标</w:t>
            </w:r>
          </w:p>
        </w:tc>
        <w:tc>
          <w:tcPr>
            <w:tcW w:w="2305"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10"/>
              <w:ind w:left="100" w:right="94"/>
              <w:jc w:val="left"/>
              <w:rPr>
                <w:rFonts w:ascii="宋体" w:hAnsi="宋体" w:cs="宋体" w:eastAsia="宋体" w:hint="default"/>
                <w:sz w:val="18"/>
                <w:szCs w:val="18"/>
              </w:rPr>
            </w:pPr>
            <w:r>
              <w:rPr>
                <w:rFonts w:ascii="宋体" w:hAnsi="宋体" w:cs="宋体" w:eastAsia="宋体" w:hint="default"/>
                <w:spacing w:val="-6"/>
                <w:sz w:val="18"/>
                <w:szCs w:val="18"/>
              </w:rPr>
              <w:t>主要为项目结题报告、相关</w:t>
            </w:r>
            <w:r>
              <w:rPr>
                <w:rFonts w:ascii="宋体" w:hAnsi="宋体" w:cs="宋体" w:eastAsia="宋体" w:hint="default"/>
                <w:sz w:val="18"/>
                <w:szCs w:val="18"/>
              </w:rPr>
              <w:t> 测序分析数据</w:t>
            </w:r>
          </w:p>
        </w:tc>
      </w:tr>
      <w:tr>
        <w:trPr>
          <w:trHeight w:val="1260" w:hRule="exact"/>
        </w:trPr>
        <w:tc>
          <w:tcPr>
            <w:tcW w:w="9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pacing w:val="7"/>
                <w:sz w:val="18"/>
                <w:szCs w:val="18"/>
              </w:rPr>
              <w:t>复杂疾病 </w:t>
            </w:r>
            <w:r>
              <w:rPr>
                <w:rFonts w:ascii="宋体" w:hAnsi="宋体" w:cs="宋体" w:eastAsia="宋体" w:hint="default"/>
                <w:sz w:val="18"/>
                <w:szCs w:val="18"/>
              </w:rPr>
              <w:t>类服务</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03" w:right="101"/>
              <w:jc w:val="both"/>
              <w:rPr>
                <w:rFonts w:ascii="宋体" w:hAnsi="宋体" w:cs="宋体" w:eastAsia="宋体" w:hint="default"/>
                <w:sz w:val="18"/>
                <w:szCs w:val="18"/>
              </w:rPr>
            </w:pPr>
            <w:r>
              <w:rPr>
                <w:rFonts w:ascii="宋体" w:hAnsi="宋体" w:cs="宋体" w:eastAsia="宋体" w:hint="default"/>
                <w:spacing w:val="-5"/>
                <w:sz w:val="18"/>
                <w:szCs w:val="18"/>
              </w:rPr>
              <w:t>国内外的各级医院、体检机构等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医疗卫生机构和大众客户；国内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外的科研院校、研究所、独立实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验室、制药公司等机构</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直销、代理、</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商业谈判</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招投标</w:t>
            </w:r>
          </w:p>
        </w:tc>
        <w:tc>
          <w:tcPr>
            <w:tcW w:w="23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0" w:right="22"/>
              <w:jc w:val="left"/>
              <w:rPr>
                <w:rFonts w:ascii="宋体" w:hAnsi="宋体" w:cs="宋体" w:eastAsia="宋体" w:hint="default"/>
                <w:sz w:val="18"/>
                <w:szCs w:val="18"/>
              </w:rPr>
            </w:pPr>
            <w:r>
              <w:rPr>
                <w:rFonts w:ascii="宋体" w:hAnsi="宋体" w:cs="宋体" w:eastAsia="宋体" w:hint="default"/>
                <w:spacing w:val="-6"/>
                <w:sz w:val="18"/>
                <w:szCs w:val="18"/>
              </w:rPr>
              <w:t>主要为检测报告、项目结题</w:t>
            </w:r>
            <w:r>
              <w:rPr>
                <w:rFonts w:ascii="宋体" w:hAnsi="宋体" w:cs="宋体" w:eastAsia="宋体" w:hint="default"/>
                <w:sz w:val="18"/>
                <w:szCs w:val="18"/>
              </w:rPr>
              <w:t> 报告、相关测序分析数据、 试剂产品等</w:t>
            </w:r>
          </w:p>
        </w:tc>
      </w:tr>
      <w:tr>
        <w:trPr>
          <w:trHeight w:val="641" w:hRule="exact"/>
        </w:trPr>
        <w:tc>
          <w:tcPr>
            <w:tcW w:w="955" w:type="dxa"/>
            <w:tcBorders>
              <w:top w:val="single" w:sz="4" w:space="0" w:color="000000"/>
              <w:left w:val="single" w:sz="12" w:space="0" w:color="000000"/>
              <w:bottom w:val="single" w:sz="12" w:space="0" w:color="000000"/>
              <w:right w:val="single" w:sz="4" w:space="0" w:color="000000"/>
            </w:tcBorders>
          </w:tcPr>
          <w:p>
            <w:pPr>
              <w:pStyle w:val="TableParagraph"/>
              <w:spacing w:line="319" w:lineRule="auto" w:before="10"/>
              <w:ind w:left="93" w:right="91"/>
              <w:jc w:val="left"/>
              <w:rPr>
                <w:rFonts w:ascii="宋体" w:hAnsi="宋体" w:cs="宋体" w:eastAsia="宋体" w:hint="default"/>
                <w:sz w:val="18"/>
                <w:szCs w:val="18"/>
              </w:rPr>
            </w:pPr>
            <w:r>
              <w:rPr>
                <w:rFonts w:ascii="宋体" w:hAnsi="宋体" w:cs="宋体" w:eastAsia="宋体" w:hint="default"/>
                <w:spacing w:val="7"/>
                <w:sz w:val="18"/>
                <w:szCs w:val="18"/>
              </w:rPr>
              <w:t>药物研发 </w:t>
            </w:r>
            <w:r>
              <w:rPr>
                <w:rFonts w:ascii="宋体" w:hAnsi="宋体" w:cs="宋体" w:eastAsia="宋体" w:hint="default"/>
                <w:sz w:val="18"/>
                <w:szCs w:val="18"/>
              </w:rPr>
              <w:t>类服务</w:t>
            </w:r>
          </w:p>
        </w:tc>
        <w:tc>
          <w:tcPr>
            <w:tcW w:w="26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国内外制药机构</w:t>
            </w:r>
          </w:p>
        </w:tc>
        <w:tc>
          <w:tcPr>
            <w:tcW w:w="12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直销</w:t>
            </w:r>
          </w:p>
        </w:tc>
        <w:tc>
          <w:tcPr>
            <w:tcW w:w="12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商业谈判</w:t>
            </w:r>
          </w:p>
        </w:tc>
        <w:tc>
          <w:tcPr>
            <w:tcW w:w="2305" w:type="dxa"/>
            <w:tcBorders>
              <w:top w:val="single" w:sz="4" w:space="0" w:color="000000"/>
              <w:left w:val="single" w:sz="4" w:space="0" w:color="000000"/>
              <w:bottom w:val="single" w:sz="12" w:space="0" w:color="000000"/>
              <w:right w:val="single" w:sz="12" w:space="0" w:color="000000"/>
            </w:tcBorders>
          </w:tcPr>
          <w:p>
            <w:pPr>
              <w:pStyle w:val="TableParagraph"/>
              <w:spacing w:line="319" w:lineRule="auto" w:before="10"/>
              <w:ind w:left="100" w:right="94"/>
              <w:jc w:val="left"/>
              <w:rPr>
                <w:rFonts w:ascii="宋体" w:hAnsi="宋体" w:cs="宋体" w:eastAsia="宋体" w:hint="default"/>
                <w:sz w:val="18"/>
                <w:szCs w:val="18"/>
              </w:rPr>
            </w:pPr>
            <w:r>
              <w:rPr>
                <w:rFonts w:ascii="宋体" w:hAnsi="宋体" w:cs="宋体" w:eastAsia="宋体" w:hint="default"/>
                <w:spacing w:val="-6"/>
                <w:sz w:val="18"/>
                <w:szCs w:val="18"/>
              </w:rPr>
              <w:t>主要为项目结题报告、相关</w:t>
            </w:r>
            <w:r>
              <w:rPr>
                <w:rFonts w:ascii="宋体" w:hAnsi="宋体" w:cs="宋体" w:eastAsia="宋体" w:hint="default"/>
                <w:sz w:val="18"/>
                <w:szCs w:val="18"/>
              </w:rPr>
              <w:t> 测序分析数据</w:t>
            </w:r>
          </w:p>
        </w:tc>
      </w:tr>
    </w:tbl>
    <w:p>
      <w:pPr>
        <w:spacing w:line="240" w:lineRule="auto" w:before="10"/>
        <w:rPr>
          <w:rFonts w:ascii="宋体" w:hAnsi="宋体" w:cs="宋体" w:eastAsia="宋体" w:hint="default"/>
          <w:sz w:val="6"/>
          <w:szCs w:val="6"/>
        </w:rPr>
      </w:pPr>
    </w:p>
    <w:p>
      <w:pPr>
        <w:pStyle w:val="BodyText"/>
        <w:spacing w:line="240" w:lineRule="auto" w:before="44"/>
        <w:ind w:left="499" w:right="254"/>
        <w:jc w:val="left"/>
      </w:pPr>
      <w:r>
        <w:rPr/>
        <w:t>（</w:t>
      </w:r>
      <w:r>
        <w:rPr>
          <w:rFonts w:ascii="Times New Roman" w:hAnsi="Times New Roman" w:cs="Times New Roman" w:eastAsia="Times New Roman" w:hint="default"/>
        </w:rPr>
        <w:t>3</w:t>
      </w:r>
      <w:r>
        <w:rPr/>
        <w:t>）定价模式</w:t>
      </w:r>
    </w:p>
    <w:p>
      <w:pPr>
        <w:spacing w:after="0" w:line="240" w:lineRule="auto"/>
        <w:jc w:val="left"/>
        <w:sectPr>
          <w:pgSz w:w="11910" w:h="16840"/>
          <w:pgMar w:header="880" w:footer="974" w:top="1100" w:bottom="1160" w:left="1560" w:right="1560"/>
        </w:sectPr>
      </w:pPr>
    </w:p>
    <w:p>
      <w:pPr>
        <w:spacing w:line="240" w:lineRule="auto" w:before="0"/>
        <w:rPr>
          <w:rFonts w:ascii="宋体" w:hAnsi="宋体" w:cs="宋体" w:eastAsia="宋体" w:hint="default"/>
          <w:sz w:val="22"/>
          <w:szCs w:val="22"/>
        </w:rPr>
      </w:pPr>
    </w:p>
    <w:p>
      <w:pPr>
        <w:pStyle w:val="BodyText"/>
        <w:spacing w:line="316" w:lineRule="auto" w:before="44"/>
        <w:ind w:left="142" w:right="183" w:firstLine="359"/>
        <w:jc w:val="left"/>
      </w:pPr>
      <w:r>
        <w:rPr/>
        <w:t>公司不同服务或产品的价格综合考虑政府指导价格、服务或产品成本、市场竞争水平、销售渠道费用及 公司竞争策略等因素确定。</w:t>
      </w:r>
    </w:p>
    <w:p>
      <w:pPr>
        <w:pStyle w:val="BodyText"/>
        <w:spacing w:line="316" w:lineRule="auto" w:before="59"/>
        <w:ind w:left="142" w:right="205" w:firstLine="359"/>
        <w:jc w:val="both"/>
      </w:pPr>
      <w:r>
        <w:rPr/>
        <w:t>公司销售给不同客户的同类服务或产品价格有一定的价格区间，但不存在重大差异。随着测序技术的进 步，同类服务或产品价格在报告期内呈现下降趋势。在此基础上，公司销售给订单型服务各类客户的价格因</w:t>
      </w:r>
      <w:r>
        <w:rPr>
          <w:spacing w:val="-57"/>
        </w:rPr>
        <w:t> </w:t>
      </w:r>
      <w:r>
        <w:rPr>
          <w:spacing w:val="-57"/>
        </w:rPr>
      </w:r>
      <w:r>
        <w:rPr/>
        <w:t>区域政府定价差异、客户特点不同，相互间存在一定程度的差异；公司销售给项目型服务各类客户的价格则</w:t>
      </w:r>
      <w:r>
        <w:rPr>
          <w:spacing w:val="-58"/>
        </w:rPr>
        <w:t> </w:t>
      </w:r>
      <w:r>
        <w:rPr>
          <w:spacing w:val="-58"/>
        </w:rPr>
      </w:r>
      <w:r>
        <w:rPr/>
        <w:t>因合同本身内容差别和客户特点不同，存在一定程度的差异。</w:t>
      </w:r>
    </w:p>
    <w:p>
      <w:pPr>
        <w:pStyle w:val="BodyText"/>
        <w:spacing w:line="432" w:lineRule="exact" w:before="3"/>
        <w:ind w:left="501" w:right="183"/>
        <w:jc w:val="left"/>
      </w:pPr>
      <w:r>
        <w:rPr>
          <w:rFonts w:ascii="Times New Roman" w:hAnsi="Times New Roman" w:cs="Times New Roman" w:eastAsia="Times New Roman" w:hint="default"/>
          <w:b/>
          <w:bCs/>
        </w:rPr>
        <w:t>4</w:t>
      </w:r>
      <w:r>
        <w:rPr>
          <w:rFonts w:ascii="宋体" w:hAnsi="宋体" w:cs="宋体" w:eastAsia="宋体" w:hint="default"/>
          <w:b/>
          <w:bCs/>
        </w:rPr>
        <w:t>、服务模式</w:t>
      </w:r>
      <w:r>
        <w:rPr>
          <w:rFonts w:ascii="宋体" w:hAnsi="宋体" w:cs="宋体" w:eastAsia="宋体" w:hint="default"/>
          <w:b/>
          <w:bCs/>
          <w:w w:val="99"/>
        </w:rPr>
        <w:t> </w:t>
      </w:r>
      <w:r>
        <w:rPr/>
        <w:t>公司致力于通过差异化发展策略实现优质服务的目标，公司提供从售前支持、项目支持、到售后帮助等</w:t>
      </w:r>
    </w:p>
    <w:p>
      <w:pPr>
        <w:pStyle w:val="BodyText"/>
        <w:spacing w:line="240" w:lineRule="auto" w:before="15"/>
        <w:ind w:left="142" w:right="183"/>
        <w:jc w:val="left"/>
      </w:pPr>
      <w:r>
        <w:rPr/>
        <w:t>完整服务，在服务流程的每个关键节点都能第一时间响应客户的需求。</w:t>
      </w:r>
    </w:p>
    <w:p>
      <w:pPr>
        <w:pStyle w:val="BodyText"/>
        <w:spacing w:line="420" w:lineRule="atLeast" w:before="25"/>
        <w:ind w:left="501" w:right="183" w:hanging="3"/>
        <w:jc w:val="left"/>
      </w:pPr>
      <w:r>
        <w:rPr/>
        <w:t>（</w:t>
      </w:r>
      <w:r>
        <w:rPr>
          <w:rFonts w:ascii="Times New Roman" w:hAnsi="Times New Roman" w:cs="Times New Roman" w:eastAsia="Times New Roman" w:hint="default"/>
        </w:rPr>
        <w:t>1</w:t>
      </w:r>
      <w:r>
        <w:rPr/>
        <w:t>）检测技术服务 针对需要基础科研服务的专家客户，公司提供前期意向接触、技术咨询、方案设计等方面的支持；签订</w:t>
      </w:r>
    </w:p>
    <w:p>
      <w:pPr>
        <w:pStyle w:val="BodyText"/>
        <w:spacing w:line="309" w:lineRule="auto" w:before="76"/>
        <w:ind w:left="142" w:right="93"/>
        <w:jc w:val="left"/>
      </w:pPr>
      <w:r>
        <w:rPr>
          <w:spacing w:val="-3"/>
        </w:rPr>
        <w:t>合同后，在客户样品准备阶段，技术人员也会随访、跟踪，提供必要的技术指导；项目启动后，项目管理人员</w:t>
      </w:r>
      <w:r>
        <w:rPr>
          <w:spacing w:val="-83"/>
        </w:rPr>
        <w:t> </w:t>
      </w:r>
      <w:r>
        <w:rPr>
          <w:spacing w:val="-83"/>
        </w:rPr>
      </w:r>
      <w:r>
        <w:rPr/>
        <w:t>会定期沟通进展，及时反馈问题和执行客户的最新要求；项目交付后，售后客服会持续提供</w:t>
      </w:r>
      <w:r>
        <w:rPr>
          <w:rFonts w:ascii="Times New Roman" w:hAnsi="Times New Roman" w:cs="Times New Roman" w:eastAsia="Times New Roman" w:hint="default"/>
        </w:rPr>
        <w:t>6</w:t>
      </w:r>
      <w:r>
        <w:rPr/>
        <w:t>个月咨询服务，</w:t>
      </w:r>
      <w:r>
        <w:rPr>
          <w:spacing w:val="-51"/>
        </w:rPr>
        <w:t> </w:t>
      </w:r>
      <w:r>
        <w:rPr>
          <w:spacing w:val="-51"/>
        </w:rPr>
      </w:r>
      <w:r>
        <w:rPr/>
        <w:t>收集和处理客户的疑问，解读项目报告，提供丰富的个性化分析以及后续验证的咨询和技术服务。</w:t>
      </w:r>
    </w:p>
    <w:p>
      <w:pPr>
        <w:spacing w:line="240" w:lineRule="auto" w:before="12"/>
        <w:rPr>
          <w:rFonts w:ascii="宋体" w:hAnsi="宋体" w:cs="宋体" w:eastAsia="宋体" w:hint="default"/>
          <w:sz w:val="6"/>
          <w:szCs w:val="6"/>
        </w:rPr>
      </w:pPr>
    </w:p>
    <w:p>
      <w:pPr>
        <w:spacing w:line="1166" w:lineRule="exact"/>
        <w:ind w:left="141"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5061204" cy="740663"/>
            <wp:effectExtent l="0" t="0" r="0" b="0"/>
            <wp:docPr id="3" name="image10.png" descr=""/>
            <wp:cNvGraphicFramePr>
              <a:graphicFrameLocks noChangeAspect="1"/>
            </wp:cNvGraphicFramePr>
            <a:graphic>
              <a:graphicData uri="http://schemas.openxmlformats.org/drawingml/2006/picture">
                <pic:pic>
                  <pic:nvPicPr>
                    <pic:cNvPr id="4" name="image10.png"/>
                    <pic:cNvPicPr/>
                  </pic:nvPicPr>
                  <pic:blipFill>
                    <a:blip r:embed="rId22" cstate="print"/>
                    <a:stretch>
                      <a:fillRect/>
                    </a:stretch>
                  </pic:blipFill>
                  <pic:spPr>
                    <a:xfrm>
                      <a:off x="0" y="0"/>
                      <a:ext cx="5061204" cy="740663"/>
                    </a:xfrm>
                    <a:prstGeom prst="rect">
                      <a:avLst/>
                    </a:prstGeom>
                  </pic:spPr>
                </pic:pic>
              </a:graphicData>
            </a:graphic>
          </wp:inline>
        </w:drawing>
      </w:r>
      <w:r>
        <w:rPr>
          <w:rFonts w:ascii="宋体" w:hAnsi="宋体" w:cs="宋体" w:eastAsia="宋体" w:hint="default"/>
          <w:position w:val="-22"/>
          <w:sz w:val="20"/>
          <w:szCs w:val="20"/>
        </w:rPr>
      </w:r>
    </w:p>
    <w:p>
      <w:pPr>
        <w:pStyle w:val="BodyText"/>
        <w:spacing w:line="319" w:lineRule="auto" w:before="94"/>
        <w:ind w:left="142" w:right="91" w:firstLine="359"/>
        <w:jc w:val="left"/>
      </w:pPr>
      <w:r>
        <w:rPr>
          <w:spacing w:val="-1"/>
        </w:rPr>
        <w:t>针对需要临床检测服务的医院及大众客户，主要通过专业营销人员面向医疗客户讲解产品临床应用价值，</w:t>
      </w:r>
      <w:r>
        <w:rPr/>
        <w:t> 为临床诊疗服务提供科学、规范指导作用；针对大众客户，通过咨询专业客服人员，客户最终通过有资质的</w:t>
      </w:r>
      <w:r>
        <w:rPr>
          <w:spacing w:val="-57"/>
        </w:rPr>
        <w:t> </w:t>
      </w:r>
      <w:r>
        <w:rPr>
          <w:spacing w:val="-57"/>
        </w:rPr>
      </w:r>
      <w:r>
        <w:rPr>
          <w:spacing w:val="-3"/>
        </w:rPr>
        <w:t>医疗机构（医院、体检中心、门诊部等）进行咨询、诊疗、采样、付费等一系列服务，然后医疗机构委托各地</w:t>
      </w:r>
      <w:r>
        <w:rPr>
          <w:spacing w:val="-82"/>
        </w:rPr>
        <w:t> </w:t>
      </w:r>
      <w:r>
        <w:rPr>
          <w:spacing w:val="-82"/>
        </w:rPr>
      </w:r>
      <w:r>
        <w:rPr/>
        <w:t>临检中心（所）进行检测服务。待客户收到检测报告后，可通过电话咨询相应医疗机构进行后续咨询诊疗服</w:t>
      </w:r>
      <w:r>
        <w:rPr>
          <w:spacing w:val="-56"/>
        </w:rPr>
        <w:t> </w:t>
      </w:r>
      <w:r>
        <w:rPr>
          <w:spacing w:val="-56"/>
        </w:rPr>
      </w:r>
      <w:r>
        <w:rPr/>
        <w:t>务。</w:t>
      </w:r>
    </w:p>
    <w:p>
      <w:pPr>
        <w:spacing w:line="240" w:lineRule="auto" w:before="4"/>
        <w:rPr>
          <w:rFonts w:ascii="宋体" w:hAnsi="宋体" w:cs="宋体" w:eastAsia="宋体" w:hint="default"/>
          <w:sz w:val="5"/>
          <w:szCs w:val="5"/>
        </w:rPr>
      </w:pPr>
    </w:p>
    <w:p>
      <w:pPr>
        <w:spacing w:line="1195" w:lineRule="exact"/>
        <w:ind w:left="231" w:right="0" w:firstLine="0"/>
        <w:rPr>
          <w:rFonts w:ascii="宋体" w:hAnsi="宋体" w:cs="宋体" w:eastAsia="宋体" w:hint="default"/>
          <w:sz w:val="20"/>
          <w:szCs w:val="20"/>
        </w:rPr>
      </w:pPr>
      <w:r>
        <w:rPr>
          <w:rFonts w:ascii="宋体" w:hAnsi="宋体" w:cs="宋体" w:eastAsia="宋体" w:hint="default"/>
          <w:position w:val="-23"/>
          <w:sz w:val="20"/>
          <w:szCs w:val="20"/>
        </w:rPr>
        <w:drawing>
          <wp:inline distT="0" distB="0" distL="0" distR="0">
            <wp:extent cx="5179847" cy="758951"/>
            <wp:effectExtent l="0" t="0" r="0" b="0"/>
            <wp:docPr id="5" name="image11.jpeg" descr=""/>
            <wp:cNvGraphicFramePr>
              <a:graphicFrameLocks noChangeAspect="1"/>
            </wp:cNvGraphicFramePr>
            <a:graphic>
              <a:graphicData uri="http://schemas.openxmlformats.org/drawingml/2006/picture">
                <pic:pic>
                  <pic:nvPicPr>
                    <pic:cNvPr id="6" name="image11.jpeg"/>
                    <pic:cNvPicPr/>
                  </pic:nvPicPr>
                  <pic:blipFill>
                    <a:blip r:embed="rId23" cstate="print"/>
                    <a:stretch>
                      <a:fillRect/>
                    </a:stretch>
                  </pic:blipFill>
                  <pic:spPr>
                    <a:xfrm>
                      <a:off x="0" y="0"/>
                      <a:ext cx="5179847" cy="758951"/>
                    </a:xfrm>
                    <a:prstGeom prst="rect">
                      <a:avLst/>
                    </a:prstGeom>
                  </pic:spPr>
                </pic:pic>
              </a:graphicData>
            </a:graphic>
          </wp:inline>
        </w:drawing>
      </w:r>
      <w:r>
        <w:rPr>
          <w:rFonts w:ascii="宋体" w:hAnsi="宋体" w:cs="宋体" w:eastAsia="宋体" w:hint="default"/>
          <w:position w:val="-23"/>
          <w:sz w:val="20"/>
          <w:szCs w:val="20"/>
        </w:rPr>
      </w:r>
    </w:p>
    <w:p>
      <w:pPr>
        <w:pStyle w:val="BodyText"/>
        <w:spacing w:line="420" w:lineRule="atLeast"/>
        <w:ind w:left="501" w:right="183" w:hanging="3"/>
        <w:jc w:val="left"/>
      </w:pPr>
      <w:r>
        <w:rPr/>
        <w:t>（</w:t>
      </w:r>
      <w:r>
        <w:rPr>
          <w:rFonts w:ascii="Times New Roman" w:hAnsi="Times New Roman" w:cs="Times New Roman" w:eastAsia="Times New Roman" w:hint="default"/>
        </w:rPr>
        <w:t>2</w:t>
      </w:r>
      <w:r>
        <w:rPr/>
        <w:t>）客户服务 公司建立了客户服务中心团队，针对全球不同地区设置官方客服热线，拥有一支高素质的专业客服团队</w:t>
      </w:r>
    </w:p>
    <w:p>
      <w:pPr>
        <w:pStyle w:val="BodyText"/>
        <w:spacing w:line="316" w:lineRule="auto" w:before="77"/>
        <w:ind w:left="142" w:right="188"/>
        <w:jc w:val="left"/>
      </w:pPr>
      <w:r>
        <w:rPr>
          <w:spacing w:val="-3"/>
        </w:rPr>
        <w:t>和先进、高效的话务管理支撑系统，通过此话务支撑平台建立信息库和知识库，并以电话、网络等多种方式，</w:t>
      </w:r>
      <w:r>
        <w:rPr>
          <w:spacing w:val="-82"/>
        </w:rPr>
        <w:t> </w:t>
      </w:r>
      <w:r>
        <w:rPr>
          <w:spacing w:val="-82"/>
        </w:rPr>
      </w:r>
      <w:r>
        <w:rPr/>
        <w:t>满足客户关于业务咨询、业务查询、投诉反馈等多样化、个性化的服务需求。</w:t>
      </w:r>
    </w:p>
    <w:p>
      <w:pPr>
        <w:pStyle w:val="BodyText"/>
        <w:spacing w:line="415" w:lineRule="auto" w:before="139"/>
        <w:ind w:left="501" w:right="183" w:hanging="3"/>
        <w:jc w:val="left"/>
      </w:pPr>
      <w:r>
        <w:rPr/>
        <w:t>（</w:t>
      </w:r>
      <w:r>
        <w:rPr>
          <w:rFonts w:ascii="Times New Roman" w:hAnsi="Times New Roman" w:cs="Times New Roman" w:eastAsia="Times New Roman" w:hint="default"/>
        </w:rPr>
        <w:t>3</w:t>
      </w:r>
      <w:r>
        <w:rPr/>
        <w:t>）网络信息共享服务 公司根据不同客户类型的实际诉求，提供高效的网络信息共享服务。针对专家客户，提供网络资源共享</w:t>
      </w:r>
    </w:p>
    <w:p>
      <w:pPr>
        <w:pStyle w:val="BodyText"/>
        <w:spacing w:line="194" w:lineRule="exact"/>
        <w:ind w:left="142" w:right="93"/>
        <w:jc w:val="left"/>
      </w:pPr>
      <w:r>
        <w:rPr/>
        <w:t>服务，具体包括：远程报告查询与下载、数据传输共享、在线知识库共享等。针对大众客户，通过建设</w:t>
      </w:r>
      <w:r>
        <w:rPr>
          <w:rFonts w:ascii="Times New Roman" w:hAnsi="Times New Roman" w:cs="Times New Roman" w:eastAsia="Times New Roman" w:hint="default"/>
        </w:rPr>
        <w:t>PC</w:t>
      </w:r>
      <w:r>
        <w:rPr/>
        <w:t>、</w:t>
      </w:r>
    </w:p>
    <w:p>
      <w:pPr>
        <w:pStyle w:val="BodyText"/>
        <w:spacing w:line="240" w:lineRule="auto" w:before="63"/>
        <w:ind w:left="142" w:right="183"/>
        <w:jc w:val="left"/>
      </w:pPr>
      <w:r>
        <w:rPr/>
        <w:t>移动端的实时查询系统，满足客户便捷了解检测状态的需要，同时共享最新医疗健康信息。</w:t>
      </w:r>
    </w:p>
    <w:p>
      <w:pPr>
        <w:spacing w:line="240" w:lineRule="auto" w:before="0"/>
        <w:rPr>
          <w:rFonts w:ascii="宋体" w:hAnsi="宋体" w:cs="宋体" w:eastAsia="宋体" w:hint="default"/>
          <w:sz w:val="18"/>
          <w:szCs w:val="18"/>
        </w:rPr>
      </w:pPr>
    </w:p>
    <w:p>
      <w:pPr>
        <w:spacing w:line="430" w:lineRule="atLeast" w:before="119"/>
        <w:ind w:left="501" w:right="183" w:hanging="89"/>
        <w:jc w:val="left"/>
        <w:rPr>
          <w:rFonts w:ascii="宋体" w:hAnsi="宋体" w:cs="宋体" w:eastAsia="宋体" w:hint="default"/>
          <w:sz w:val="18"/>
          <w:szCs w:val="18"/>
        </w:rPr>
      </w:pPr>
      <w:r>
        <w:rPr>
          <w:rFonts w:ascii="宋体" w:hAnsi="宋体" w:cs="宋体" w:eastAsia="宋体" w:hint="default"/>
          <w:b/>
          <w:bCs/>
          <w:sz w:val="18"/>
          <w:szCs w:val="18"/>
        </w:rPr>
        <w:t>（四）主要的业绩驱动因素</w:t>
      </w:r>
      <w:r>
        <w:rPr>
          <w:rFonts w:ascii="宋体" w:hAnsi="宋体" w:cs="宋体" w:eastAsia="宋体" w:hint="default"/>
          <w:b/>
          <w:bCs/>
          <w:w w:val="99"/>
          <w:sz w:val="18"/>
          <w:szCs w:val="18"/>
        </w:rPr>
        <w:t> </w:t>
      </w:r>
      <w:r>
        <w:rPr>
          <w:rFonts w:ascii="宋体" w:hAnsi="宋体" w:cs="宋体" w:eastAsia="宋体" w:hint="default"/>
          <w:sz w:val="18"/>
          <w:szCs w:val="18"/>
        </w:rPr>
        <w:t>随着中国精准医学计划的布局实施和人们健康意识的提高，越来越多的普通老百姓会将基因检测作为首</w:t>
      </w:r>
    </w:p>
    <w:p>
      <w:pPr>
        <w:pStyle w:val="BodyText"/>
        <w:spacing w:line="316" w:lineRule="auto" w:before="77"/>
        <w:ind w:left="142" w:right="183"/>
        <w:jc w:val="left"/>
      </w:pPr>
      <w:r>
        <w:rPr/>
        <w:t>选的疾病诊断手段。驱动基因组学应用行业发展的主要因素是：政策持续利好、产业发展空间巨大与技术持</w:t>
      </w:r>
      <w:r>
        <w:rPr>
          <w:spacing w:val="-52"/>
        </w:rPr>
        <w:t> </w:t>
      </w:r>
      <w:r>
        <w:rPr>
          <w:spacing w:val="-52"/>
        </w:rPr>
      </w:r>
      <w:r>
        <w:rPr/>
        <w:t>续进步。</w:t>
      </w:r>
    </w:p>
    <w:p>
      <w:pPr>
        <w:spacing w:after="0" w:line="316" w:lineRule="auto"/>
        <w:jc w:val="left"/>
        <w:sectPr>
          <w:pgSz w:w="11910" w:h="16840"/>
          <w:pgMar w:header="880" w:footer="974" w:top="1100" w:bottom="1160" w:left="1560" w:right="1500"/>
        </w:sectPr>
      </w:pPr>
    </w:p>
    <w:p>
      <w:pPr>
        <w:spacing w:line="240" w:lineRule="auto" w:before="3"/>
        <w:rPr>
          <w:rFonts w:ascii="宋体" w:hAnsi="宋体" w:cs="宋体" w:eastAsia="宋体" w:hint="default"/>
          <w:sz w:val="22"/>
          <w:szCs w:val="22"/>
        </w:rPr>
      </w:pPr>
    </w:p>
    <w:p>
      <w:pPr>
        <w:pStyle w:val="Heading4"/>
        <w:spacing w:line="240" w:lineRule="auto"/>
        <w:ind w:left="501" w:right="254"/>
        <w:jc w:val="left"/>
        <w:rPr>
          <w:b w:val="0"/>
          <w:bCs w:val="0"/>
        </w:rPr>
      </w:pPr>
      <w:r>
        <w:rPr>
          <w:rFonts w:ascii="Times New Roman" w:hAnsi="Times New Roman" w:cs="Times New Roman" w:eastAsia="Times New Roman" w:hint="default"/>
        </w:rPr>
        <w:t>1</w:t>
      </w:r>
      <w:r>
        <w:rPr/>
        <w:t>、政策持续利好</w:t>
      </w:r>
      <w:r>
        <w:rPr>
          <w:b w:val="0"/>
          <w:bCs w:val="0"/>
        </w:rPr>
      </w:r>
    </w:p>
    <w:p>
      <w:pPr>
        <w:spacing w:line="240" w:lineRule="auto" w:before="10"/>
        <w:rPr>
          <w:rFonts w:ascii="宋体" w:hAnsi="宋体" w:cs="宋体" w:eastAsia="宋体" w:hint="default"/>
          <w:b/>
          <w:bCs/>
          <w:sz w:val="13"/>
          <w:szCs w:val="13"/>
        </w:rPr>
      </w:pPr>
    </w:p>
    <w:p>
      <w:pPr>
        <w:pStyle w:val="BodyText"/>
        <w:spacing w:line="309" w:lineRule="auto"/>
        <w:ind w:left="142" w:right="135" w:firstLine="359"/>
        <w:jc w:val="both"/>
      </w:pPr>
      <w:r>
        <w:rPr>
          <w:rFonts w:ascii="Times New Roman" w:hAnsi="Times New Roman" w:cs="Times New Roman" w:eastAsia="Times New Roman" w:hint="default"/>
          <w:spacing w:val="-3"/>
        </w:rPr>
        <w:t>2013</w:t>
      </w:r>
      <w:r>
        <w:rPr>
          <w:spacing w:val="-3"/>
        </w:rPr>
        <w:t>年，国务院发布了《关于促进健康服务业发展的若干意见》（国发</w:t>
      </w:r>
      <w:r>
        <w:rPr>
          <w:rFonts w:ascii="Times New Roman" w:hAnsi="Times New Roman" w:cs="Times New Roman" w:eastAsia="Times New Roman" w:hint="default"/>
          <w:spacing w:val="-3"/>
        </w:rPr>
        <w:t>40</w:t>
      </w:r>
      <w:r>
        <w:rPr>
          <w:spacing w:val="-3"/>
        </w:rPr>
        <w:t>号文）。到</w:t>
      </w:r>
      <w:r>
        <w:rPr>
          <w:rFonts w:ascii="Times New Roman" w:hAnsi="Times New Roman" w:cs="Times New Roman" w:eastAsia="Times New Roman" w:hint="default"/>
          <w:spacing w:val="-3"/>
        </w:rPr>
        <w:t>2020</w:t>
      </w:r>
      <w:r>
        <w:rPr>
          <w:spacing w:val="-3"/>
        </w:rPr>
        <w:t>年，基本建立覆</w:t>
      </w:r>
      <w:r>
        <w:rPr/>
        <w:t> </w:t>
      </w:r>
      <w:r>
        <w:rPr>
          <w:spacing w:val="-3"/>
        </w:rPr>
        <w:t>盖全生命周期、内涵丰富、结构合理的健康服务业体系，打造一批知名品牌和良性循环的健康服务产业集群，</w:t>
      </w:r>
      <w:r>
        <w:rPr>
          <w:spacing w:val="-84"/>
        </w:rPr>
        <w:t> </w:t>
      </w:r>
      <w:r>
        <w:rPr>
          <w:spacing w:val="-84"/>
        </w:rPr>
      </w:r>
      <w:r>
        <w:rPr/>
        <w:t>并形成一定的国际竞争力，基本满足广大人民群众的健康服务需求。</w:t>
      </w:r>
    </w:p>
    <w:p>
      <w:pPr>
        <w:pStyle w:val="BodyText"/>
        <w:spacing w:line="309" w:lineRule="auto" w:before="65"/>
        <w:ind w:left="142" w:right="135" w:firstLine="359"/>
        <w:jc w:val="both"/>
      </w:pPr>
      <w:r>
        <w:rPr>
          <w:rFonts w:ascii="Times New Roman" w:hAnsi="Times New Roman" w:cs="Times New Roman" w:eastAsia="Times New Roman" w:hint="default"/>
          <w:spacing w:val="-3"/>
        </w:rPr>
        <w:t>2014</w:t>
      </w:r>
      <w:r>
        <w:rPr>
          <w:spacing w:val="-3"/>
        </w:rPr>
        <w:t>年，国务院办公厅发布《关于加快发展商业健康保险的若干意见》（国办发〔</w:t>
      </w:r>
      <w:r>
        <w:rPr>
          <w:rFonts w:ascii="Times New Roman" w:hAnsi="Times New Roman" w:cs="Times New Roman" w:eastAsia="Times New Roman" w:hint="default"/>
          <w:spacing w:val="-3"/>
        </w:rPr>
        <w:t>2014</w:t>
      </w:r>
      <w:r>
        <w:rPr>
          <w:spacing w:val="-3"/>
        </w:rPr>
        <w:t>〕</w:t>
      </w:r>
      <w:r>
        <w:rPr>
          <w:rFonts w:ascii="Times New Roman" w:hAnsi="Times New Roman" w:cs="Times New Roman" w:eastAsia="Times New Roman" w:hint="default"/>
          <w:spacing w:val="-3"/>
        </w:rPr>
        <w:t>50</w:t>
      </w:r>
      <w:r>
        <w:rPr>
          <w:spacing w:val="-3"/>
        </w:rPr>
        <w:t>号文），支持</w:t>
      </w:r>
      <w:r>
        <w:rPr/>
        <w:t> 健康产业科技创新，实现商业健康保险运行机制较为完善、服务能力明显提升、服务领域更加广泛、投保人</w:t>
      </w:r>
      <w:r>
        <w:rPr>
          <w:spacing w:val="-57"/>
        </w:rPr>
        <w:t> </w:t>
      </w:r>
      <w:r>
        <w:rPr>
          <w:spacing w:val="-57"/>
        </w:rPr>
      </w:r>
      <w:r>
        <w:rPr/>
        <w:t>数大幅增加，商业健康保险赔付支出占卫生总费用的比重显著提高。</w:t>
      </w:r>
    </w:p>
    <w:p>
      <w:pPr>
        <w:pStyle w:val="BodyText"/>
        <w:spacing w:line="300" w:lineRule="auto" w:before="62"/>
        <w:ind w:left="142" w:right="138" w:firstLine="359"/>
        <w:jc w:val="both"/>
      </w:pPr>
      <w:r>
        <w:rPr/>
        <w:t>继</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月美国发布以基因检测为主的</w:t>
      </w:r>
      <w:r>
        <w:rPr>
          <w:rFonts w:ascii="Times New Roman" w:hAnsi="Times New Roman" w:cs="Times New Roman" w:eastAsia="Times New Roman" w:hint="default"/>
        </w:rPr>
        <w:t>“</w:t>
      </w:r>
      <w:r>
        <w:rPr/>
        <w:t>精准医疗</w:t>
      </w:r>
      <w:r>
        <w:rPr>
          <w:rFonts w:ascii="Times New Roman" w:hAnsi="Times New Roman" w:cs="Times New Roman" w:eastAsia="Times New Roman" w:hint="default"/>
        </w:rPr>
        <w:t>”</w:t>
      </w:r>
      <w:r>
        <w:rPr/>
        <w:t>计划之后，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月，国家卫计委和科技部先后召 </w:t>
      </w:r>
      <w:r>
        <w:rPr>
          <w:spacing w:val="-1"/>
        </w:rPr>
        <w:t>开精准医学战略专家会议，拟到</w:t>
      </w:r>
      <w:r>
        <w:rPr>
          <w:rFonts w:ascii="Times New Roman" w:hAnsi="Times New Roman" w:cs="Times New Roman" w:eastAsia="Times New Roman" w:hint="default"/>
          <w:spacing w:val="-1"/>
        </w:rPr>
        <w:t>2030</w:t>
      </w:r>
      <w:r>
        <w:rPr>
          <w:spacing w:val="-1"/>
        </w:rPr>
        <w:t>年前，合计投入</w:t>
      </w:r>
      <w:r>
        <w:rPr>
          <w:rFonts w:ascii="Times New Roman" w:hAnsi="Times New Roman" w:cs="Times New Roman" w:eastAsia="Times New Roman" w:hint="default"/>
          <w:spacing w:val="-1"/>
        </w:rPr>
        <w:t>600</w:t>
      </w:r>
      <w:r>
        <w:rPr>
          <w:spacing w:val="-1"/>
        </w:rPr>
        <w:t>亿人民币，开展</w:t>
      </w:r>
      <w:r>
        <w:rPr>
          <w:rFonts w:ascii="Times New Roman" w:hAnsi="Times New Roman" w:cs="Times New Roman" w:eastAsia="Times New Roman" w:hint="default"/>
          <w:spacing w:val="-1"/>
        </w:rPr>
        <w:t>“</w:t>
      </w:r>
      <w:r>
        <w:rPr>
          <w:spacing w:val="-1"/>
        </w:rPr>
        <w:t>精准医疗</w:t>
      </w:r>
      <w:r>
        <w:rPr>
          <w:rFonts w:ascii="Times New Roman" w:hAnsi="Times New Roman" w:cs="Times New Roman" w:eastAsia="Times New Roman" w:hint="default"/>
          <w:spacing w:val="-1"/>
        </w:rPr>
        <w:t>”</w:t>
      </w:r>
      <w:r>
        <w:rPr>
          <w:spacing w:val="-1"/>
        </w:rPr>
        <w:t>。我国精准医学时代即将</w:t>
      </w:r>
      <w:r>
        <w:rPr>
          <w:spacing w:val="-72"/>
        </w:rPr>
        <w:t> </w:t>
      </w:r>
      <w:r>
        <w:rPr>
          <w:spacing w:val="-72"/>
        </w:rPr>
      </w:r>
      <w:r>
        <w:rPr/>
        <w:t>到来，极大的推动行业发展。</w:t>
      </w:r>
    </w:p>
    <w:p>
      <w:pPr>
        <w:pStyle w:val="BodyText"/>
        <w:spacing w:line="312" w:lineRule="auto" w:before="73"/>
        <w:ind w:left="142" w:right="132" w:firstLine="359"/>
        <w:jc w:val="both"/>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月，国家发改委印发《</w:t>
      </w:r>
      <w:r>
        <w:rPr>
          <w:rFonts w:ascii="Times New Roman" w:hAnsi="Times New Roman" w:cs="Times New Roman" w:eastAsia="Times New Roman" w:hint="default"/>
          <w:spacing w:val="-3"/>
        </w:rPr>
        <w:t>“</w:t>
      </w:r>
      <w:r>
        <w:rPr>
          <w:spacing w:val="-3"/>
        </w:rPr>
        <w:t>十三五</w:t>
      </w:r>
      <w:r>
        <w:rPr>
          <w:rFonts w:ascii="Times New Roman" w:hAnsi="Times New Roman" w:cs="Times New Roman" w:eastAsia="Times New Roman" w:hint="default"/>
          <w:spacing w:val="-3"/>
        </w:rPr>
        <w:t>”</w:t>
      </w:r>
      <w:r>
        <w:rPr>
          <w:spacing w:val="-3"/>
        </w:rPr>
        <w:t>生物产业发展规划》。规划指出，要打造标准化基因检测、基因</w:t>
      </w:r>
      <w:r>
        <w:rPr/>
        <w:t> 数据解读、液体活检、中药检测等专业化独立第三方服务机构，推动检测和诊断新兴技术在生物产业各领域</w:t>
      </w:r>
      <w:r>
        <w:rPr>
          <w:spacing w:val="-55"/>
        </w:rPr>
        <w:t> </w:t>
      </w:r>
      <w:r>
        <w:rPr>
          <w:spacing w:val="-55"/>
        </w:rPr>
      </w:r>
      <w:r>
        <w:rPr/>
        <w:t>的应用转化。培育符合国际规范的基因治疗、细胞治疗、免疫治疗等专业化服务平台，加速新型治疗技术的</w:t>
      </w:r>
      <w:r>
        <w:rPr>
          <w:spacing w:val="-57"/>
        </w:rPr>
        <w:t> </w:t>
      </w:r>
      <w:r>
        <w:rPr>
          <w:spacing w:val="-57"/>
        </w:rPr>
      </w:r>
      <w:r>
        <w:rPr>
          <w:spacing w:val="-3"/>
        </w:rPr>
        <w:t>应用转化。通过生物产业的发展，基因检测能力（含孕前、产前、新生儿）覆盖出生人口 </w:t>
      </w:r>
      <w:r>
        <w:rPr>
          <w:rFonts w:ascii="Times New Roman" w:hAnsi="Times New Roman" w:cs="Times New Roman" w:eastAsia="Times New Roman" w:hint="default"/>
        </w:rPr>
        <w:t>50%</w:t>
      </w:r>
      <w:r>
        <w:rPr>
          <w:rFonts w:ascii="Times New Roman" w:hAnsi="Times New Roman" w:cs="Times New Roman" w:eastAsia="Times New Roman" w:hint="default"/>
          <w:spacing w:val="30"/>
        </w:rPr>
        <w:t> </w:t>
      </w:r>
      <w:r>
        <w:rPr>
          <w:spacing w:val="-3"/>
        </w:rPr>
        <w:t>以上，社会化</w:t>
      </w:r>
      <w:r>
        <w:rPr/>
        <w:t> 检测服务受众大幅增加。以个人基因组信息为基础，结合蛋白质组、代谢组等相关内环境信息，整合不同数</w:t>
      </w:r>
      <w:r>
        <w:rPr>
          <w:spacing w:val="-57"/>
        </w:rPr>
        <w:t> </w:t>
      </w:r>
      <w:r>
        <w:rPr>
          <w:spacing w:val="-57"/>
        </w:rPr>
      </w:r>
      <w:r>
        <w:rPr>
          <w:spacing w:val="-3"/>
        </w:rPr>
        <w:t>据层面的生物学信息库，利用基因测序、影像、大数据分析等手段，在产前胎儿罕见病筛查、肿瘤、遗传性疾</w:t>
      </w:r>
      <w:r>
        <w:rPr>
          <w:spacing w:val="-81"/>
        </w:rPr>
        <w:t> </w:t>
      </w:r>
      <w:r>
        <w:rPr>
          <w:spacing w:val="-81"/>
        </w:rPr>
      </w:r>
      <w:r>
        <w:rPr/>
        <w:t>病等方面实现精准的预防、诊断和治疗。</w:t>
      </w:r>
    </w:p>
    <w:p>
      <w:pPr>
        <w:pStyle w:val="BodyText"/>
        <w:spacing w:line="314" w:lineRule="auto" w:before="63"/>
        <w:ind w:left="142" w:right="164" w:firstLine="359"/>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月，科技部印发《</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生物技术创新专项规划》。规划指出，在生命科学与生物技术领域 有较强基础的若干领域，重点部署具有重大影响、能够显著改变科技与经济社会等竞争格局的颠覆性生物技 术，集中优势资源，着力原始创新，打造我国生物技术竞争新优势。发展新一代基因测序技术，重视单分子 技术在其中的应用和测序数据的分析解读；发展单细胞分离、基因组扩增、转录组扩增和单细胞基因组分析 技术；发展生物大分子的单分子检测、荧光原位杂交技术和降噪技术；发展蛋白质测序技术、新型质谱和微 流控芯片等技术；发展基因和蛋白质精准测量技术，推动生物检测技术向微量、痕量、单分子、高通量等方 向发展。</w:t>
      </w:r>
    </w:p>
    <w:p>
      <w:pPr>
        <w:pStyle w:val="BodyText"/>
        <w:spacing w:line="432" w:lineRule="exact" w:before="5"/>
        <w:ind w:left="501" w:right="123"/>
        <w:jc w:val="left"/>
      </w:pPr>
      <w:r>
        <w:rPr>
          <w:rFonts w:ascii="Times New Roman" w:hAnsi="Times New Roman" w:cs="Times New Roman" w:eastAsia="Times New Roman" w:hint="default"/>
          <w:b/>
          <w:bCs/>
        </w:rPr>
        <w:t>2</w:t>
      </w:r>
      <w:r>
        <w:rPr>
          <w:rFonts w:ascii="宋体" w:hAnsi="宋体" w:cs="宋体" w:eastAsia="宋体" w:hint="default"/>
          <w:b/>
          <w:bCs/>
        </w:rPr>
        <w:t>、产业发展空间巨大</w:t>
      </w:r>
      <w:r>
        <w:rPr>
          <w:rFonts w:ascii="宋体" w:hAnsi="宋体" w:cs="宋体" w:eastAsia="宋体" w:hint="default"/>
          <w:b/>
          <w:bCs/>
          <w:w w:val="99"/>
        </w:rPr>
        <w:t> </w:t>
      </w:r>
      <w:r>
        <w:rPr>
          <w:spacing w:val="-3"/>
        </w:rPr>
        <w:t>随着基因组学技术的高速发展，临床诊断、药物、个体化治疗、农业等领域发生了巨大的变革，并且随着</w:t>
      </w:r>
    </w:p>
    <w:p>
      <w:pPr>
        <w:pStyle w:val="BodyText"/>
        <w:spacing w:line="314" w:lineRule="auto" w:before="15"/>
        <w:ind w:left="142" w:right="134"/>
        <w:jc w:val="both"/>
      </w:pPr>
      <w:r>
        <w:rPr/>
        <w:t>社会各界对基因组学应用行业的关注度越来越高，各领域基于基因组学应用的需求也越来越大。在医疗健康</w:t>
      </w:r>
      <w:r>
        <w:rPr>
          <w:spacing w:val="-57"/>
        </w:rPr>
        <w:t> </w:t>
      </w:r>
      <w:r>
        <w:rPr>
          <w:spacing w:val="-57"/>
        </w:rPr>
      </w:r>
      <w:r>
        <w:rPr/>
        <w:t>领域，中国</w:t>
      </w:r>
      <w:r>
        <w:rPr>
          <w:rFonts w:ascii="Times New Roman" w:hAnsi="Times New Roman" w:cs="Times New Roman" w:eastAsia="Times New Roman" w:hint="default"/>
        </w:rPr>
        <w:t>2015</w:t>
      </w:r>
      <w:r>
        <w:rPr/>
        <w:t>年有</w:t>
      </w:r>
      <w:r>
        <w:rPr>
          <w:rFonts w:ascii="Times New Roman" w:hAnsi="Times New Roman" w:cs="Times New Roman" w:eastAsia="Times New Roman" w:hint="default"/>
        </w:rPr>
        <w:t>429.2</w:t>
      </w:r>
      <w:r>
        <w:rPr/>
        <w:t>万癌症新增病例、</w:t>
      </w:r>
      <w:r>
        <w:rPr>
          <w:rFonts w:ascii="Times New Roman" w:hAnsi="Times New Roman" w:cs="Times New Roman" w:eastAsia="Times New Roman" w:hint="default"/>
        </w:rPr>
        <w:t>281.4</w:t>
      </w:r>
      <w:r>
        <w:rPr/>
        <w:t>万癌症死亡病例；每年</w:t>
      </w:r>
      <w:r>
        <w:rPr>
          <w:rFonts w:ascii="Times New Roman" w:hAnsi="Times New Roman" w:cs="Times New Roman" w:eastAsia="Times New Roman" w:hint="default"/>
        </w:rPr>
        <w:t>300</w:t>
      </w:r>
      <w:r>
        <w:rPr/>
        <w:t>万心血管疾病死亡病例，高血压</w:t>
      </w:r>
      <w:r>
        <w:rPr>
          <w:spacing w:val="-55"/>
        </w:rPr>
        <w:t> </w:t>
      </w:r>
      <w:r>
        <w:rPr>
          <w:spacing w:val="-55"/>
        </w:rPr>
      </w:r>
      <w:r>
        <w:rPr>
          <w:spacing w:val="-2"/>
        </w:rPr>
        <w:t>患者累计</w:t>
      </w:r>
      <w:r>
        <w:rPr>
          <w:rFonts w:ascii="Times New Roman" w:hAnsi="Times New Roman" w:cs="Times New Roman" w:eastAsia="Times New Roman" w:hint="default"/>
          <w:spacing w:val="-2"/>
        </w:rPr>
        <w:t>2.6</w:t>
      </w:r>
      <w:r>
        <w:rPr>
          <w:spacing w:val="-2"/>
        </w:rPr>
        <w:t>亿；每年全国新生儿</w:t>
      </w:r>
      <w:r>
        <w:rPr>
          <w:rFonts w:ascii="Times New Roman" w:hAnsi="Times New Roman" w:cs="Times New Roman" w:eastAsia="Times New Roman" w:hint="default"/>
          <w:spacing w:val="-2"/>
        </w:rPr>
        <w:t>1,600</w:t>
      </w:r>
      <w:r>
        <w:rPr>
          <w:spacing w:val="-2"/>
        </w:rPr>
        <w:t>万，出生缺陷人群</w:t>
      </w:r>
      <w:r>
        <w:rPr>
          <w:rFonts w:ascii="Times New Roman" w:hAnsi="Times New Roman" w:cs="Times New Roman" w:eastAsia="Times New Roman" w:hint="default"/>
          <w:spacing w:val="-2"/>
        </w:rPr>
        <w:t>90</w:t>
      </w:r>
      <w:r>
        <w:rPr>
          <w:spacing w:val="-2"/>
        </w:rPr>
        <w:t>万。研究与实践表明，基因检测技术可以通过更精</w:t>
      </w:r>
      <w:r>
        <w:rPr>
          <w:spacing w:val="-41"/>
        </w:rPr>
        <w:t> </w:t>
      </w:r>
      <w:r>
        <w:rPr>
          <w:spacing w:val="-41"/>
        </w:rPr>
      </w:r>
      <w:r>
        <w:rPr>
          <w:spacing w:val="-3"/>
        </w:rPr>
        <w:t>确的诊断，评估潜在疾病的发生风险，提供更有效、更有针对性的治疗，预防和干预疾病的发生和治疗。基因</w:t>
      </w:r>
      <w:r>
        <w:rPr>
          <w:spacing w:val="-83"/>
        </w:rPr>
        <w:t> </w:t>
      </w:r>
      <w:r>
        <w:rPr>
          <w:spacing w:val="-83"/>
        </w:rPr>
      </w:r>
      <w:r>
        <w:rPr/>
        <w:t>检测可以提前用于肿瘤、心血管疾病等易感基因以及新生儿产前的基因检测，尽早提示患病风险，及时给予</w:t>
      </w:r>
      <w:r>
        <w:rPr>
          <w:spacing w:val="-57"/>
        </w:rPr>
        <w:t> </w:t>
      </w:r>
      <w:r>
        <w:rPr>
          <w:spacing w:val="-57"/>
        </w:rPr>
      </w:r>
      <w:r>
        <w:rPr>
          <w:spacing w:val="-3"/>
        </w:rPr>
        <w:t>饮食及治疗建议，使得患者患病的概率大幅下降。另外传统医疗以病人的临床症状和体征，结合性别、年龄、</w:t>
      </w:r>
      <w:r>
        <w:rPr>
          <w:spacing w:val="-82"/>
        </w:rPr>
        <w:t> </w:t>
      </w:r>
      <w:r>
        <w:rPr>
          <w:spacing w:val="-82"/>
        </w:rPr>
      </w:r>
      <w:r>
        <w:rPr>
          <w:spacing w:val="-3"/>
        </w:rPr>
        <w:t>身高、体重、既往病史、家族疾病史、实验室和影像学评估等数据确定治疗药物和使用剂量、剂型。基因检测</w:t>
      </w:r>
      <w:r>
        <w:rPr>
          <w:spacing w:val="-81"/>
        </w:rPr>
        <w:t> </w:t>
      </w:r>
      <w:r>
        <w:rPr>
          <w:spacing w:val="-81"/>
        </w:rPr>
      </w:r>
      <w:r>
        <w:rPr/>
        <w:t>是以患者个人基因组信息为基础决定治疗方针，针对肿瘤、心血管疾病等可以给予个性化的治疗方式，能够</w:t>
      </w:r>
      <w:r>
        <w:rPr>
          <w:spacing w:val="-57"/>
        </w:rPr>
        <w:t> </w:t>
      </w:r>
      <w:r>
        <w:rPr>
          <w:spacing w:val="-57"/>
        </w:rPr>
      </w:r>
      <w:r>
        <w:rPr>
          <w:spacing w:val="-3"/>
        </w:rPr>
        <w:t>更精确、更高效地治疗疾病。截至目前，国内对基因检测的监管体系基本形成，产业发展进入正轨，发展走上</w:t>
      </w:r>
      <w:r>
        <w:rPr>
          <w:spacing w:val="-83"/>
        </w:rPr>
        <w:t> </w:t>
      </w:r>
      <w:r>
        <w:rPr>
          <w:spacing w:val="-83"/>
        </w:rPr>
      </w:r>
      <w:r>
        <w:rPr/>
        <w:t>快车道。此外，公众自身健康意识的不断提升，对于基因检测价值的认知不断提高，将为基因检测行业带来</w:t>
      </w:r>
      <w:r>
        <w:rPr>
          <w:spacing w:val="-57"/>
        </w:rPr>
        <w:t> </w:t>
      </w:r>
      <w:r>
        <w:rPr>
          <w:spacing w:val="-57"/>
        </w:rPr>
      </w:r>
      <w:r>
        <w:rPr/>
        <w:t>巨大的市场价值。</w:t>
      </w:r>
    </w:p>
    <w:p>
      <w:pPr>
        <w:pStyle w:val="BodyText"/>
        <w:spacing w:line="312" w:lineRule="auto" w:before="59"/>
        <w:ind w:left="142" w:right="139" w:firstLine="359"/>
        <w:jc w:val="both"/>
      </w:pPr>
      <w:r>
        <w:rPr>
          <w:spacing w:val="-3"/>
        </w:rPr>
        <w:t>国内体外诊断试剂业务仍处于初创期发展阶段，当前免疫诊断仍处于主导地位。市场占比中，分子诊断、</w:t>
      </w:r>
      <w:r>
        <w:rPr/>
        <w:t> </w:t>
      </w:r>
      <w:r>
        <w:rPr>
          <w:rFonts w:ascii="Times New Roman" w:hAnsi="Times New Roman" w:cs="Times New Roman" w:eastAsia="Times New Roman" w:hint="default"/>
        </w:rPr>
        <w:t>POCT</w:t>
      </w:r>
      <w:r>
        <w:rPr/>
        <w:t>市场占比提升，临床生化、免疫诊断市场占比下降。</w:t>
      </w:r>
      <w:r>
        <w:rPr>
          <w:rFonts w:ascii="Times New Roman" w:hAnsi="Times New Roman" w:cs="Times New Roman" w:eastAsia="Times New Roman" w:hint="default"/>
        </w:rPr>
        <w:t>POCT</w:t>
      </w:r>
      <w:r>
        <w:rPr/>
        <w:t>产品是当前炙手可热的产品，仍有较大提升</w:t>
      </w:r>
      <w:r>
        <w:rPr>
          <w:spacing w:val="-73"/>
        </w:rPr>
        <w:t> </w:t>
      </w:r>
      <w:r>
        <w:rPr>
          <w:spacing w:val="-73"/>
        </w:rPr>
      </w:r>
      <w:r>
        <w:rPr/>
        <w:t>空间；化学发光技术是当前的主流，而伴随磁微粒技术的发展，未来行业前景值得期待；以核酸检测和基因</w:t>
      </w:r>
      <w:r>
        <w:rPr>
          <w:spacing w:val="-57"/>
        </w:rPr>
        <w:t> </w:t>
      </w:r>
      <w:r>
        <w:rPr>
          <w:spacing w:val="-57"/>
        </w:rPr>
      </w:r>
      <w:r>
        <w:rPr/>
        <w:t>测序产品为代表的分子诊断是未来行业发展的必然趋势。北京吉比爱凭借明星产品及拳头产品，形成强大的</w:t>
      </w:r>
      <w:r>
        <w:rPr>
          <w:spacing w:val="-55"/>
        </w:rPr>
        <w:t> </w:t>
      </w:r>
      <w:r>
        <w:rPr>
          <w:spacing w:val="-55"/>
        </w:rPr>
      </w:r>
      <w:r>
        <w:rPr/>
        <w:t>市场竞争力，如以</w:t>
      </w:r>
      <w:r>
        <w:rPr>
          <w:rFonts w:ascii="Times New Roman" w:hAnsi="Times New Roman" w:cs="Times New Roman" w:eastAsia="Times New Roman" w:hint="default"/>
        </w:rPr>
        <w:t>HPV</w:t>
      </w:r>
      <w:r>
        <w:rPr/>
        <w:t>为代表的核酸检测产品、肿瘤标志物等化学发光产品、血筛等酶免产品均在市场上具</w:t>
      </w:r>
      <w:r>
        <w:rPr>
          <w:spacing w:val="-57"/>
        </w:rPr>
        <w:t> </w:t>
      </w:r>
      <w:r>
        <w:rPr>
          <w:spacing w:val="-57"/>
        </w:rPr>
      </w:r>
      <w:r>
        <w:rPr/>
        <w:t>有较大的影响力。</w:t>
      </w:r>
    </w:p>
    <w:p>
      <w:pPr>
        <w:spacing w:after="0" w:line="312" w:lineRule="auto"/>
        <w:jc w:val="both"/>
        <w:sectPr>
          <w:footerReference w:type="default" r:id="rId24"/>
          <w:pgSz w:w="11910" w:h="16840"/>
          <w:pgMar w:footer="974" w:header="880" w:top="1100" w:bottom="1160" w:left="1560" w:right="1560"/>
          <w:pgNumType w:start="22"/>
        </w:sectPr>
      </w:pPr>
    </w:p>
    <w:p>
      <w:pPr>
        <w:spacing w:line="240" w:lineRule="auto" w:before="3"/>
        <w:rPr>
          <w:rFonts w:ascii="宋体" w:hAnsi="宋体" w:cs="宋体" w:eastAsia="宋体" w:hint="default"/>
          <w:sz w:val="22"/>
          <w:szCs w:val="22"/>
        </w:rPr>
      </w:pPr>
    </w:p>
    <w:p>
      <w:pPr>
        <w:pStyle w:val="Heading4"/>
        <w:spacing w:line="240" w:lineRule="auto"/>
        <w:ind w:left="501" w:right="254"/>
        <w:jc w:val="left"/>
        <w:rPr>
          <w:b w:val="0"/>
          <w:bCs w:val="0"/>
        </w:rPr>
      </w:pPr>
      <w:r>
        <w:rPr>
          <w:rFonts w:ascii="Times New Roman" w:hAnsi="Times New Roman" w:cs="Times New Roman" w:eastAsia="Times New Roman" w:hint="default"/>
        </w:rPr>
        <w:t>3</w:t>
      </w:r>
      <w:r>
        <w:rPr/>
        <w:t>、技术持续进步</w:t>
      </w:r>
      <w:r>
        <w:rPr>
          <w:b w:val="0"/>
          <w:bCs w:val="0"/>
        </w:rPr>
      </w:r>
    </w:p>
    <w:p>
      <w:pPr>
        <w:spacing w:line="240" w:lineRule="auto" w:before="10"/>
        <w:rPr>
          <w:rFonts w:ascii="宋体" w:hAnsi="宋体" w:cs="宋体" w:eastAsia="宋体" w:hint="default"/>
          <w:b/>
          <w:bCs/>
          <w:sz w:val="13"/>
          <w:szCs w:val="13"/>
        </w:rPr>
      </w:pPr>
    </w:p>
    <w:p>
      <w:pPr>
        <w:pStyle w:val="BodyText"/>
        <w:spacing w:line="309" w:lineRule="auto"/>
        <w:ind w:left="142" w:right="135" w:firstLine="359"/>
        <w:jc w:val="both"/>
      </w:pPr>
      <w:r>
        <w:rPr>
          <w:spacing w:val="-3"/>
        </w:rPr>
        <w:t>新一代基因测序等新型高通量技术的高速发展，是基因组学应用行业发展的重要驱动力。据研究机构</w:t>
      </w:r>
      <w:r>
        <w:rPr>
          <w:rFonts w:ascii="Times New Roman" w:hAnsi="Times New Roman" w:cs="Times New Roman" w:eastAsia="Times New Roman" w:hint="default"/>
          <w:spacing w:val="-3"/>
        </w:rPr>
        <w:t>BCC</w:t>
      </w:r>
      <w:r>
        <w:rPr>
          <w:rFonts w:ascii="Times New Roman" w:hAnsi="Times New Roman" w:cs="Times New Roman" w:eastAsia="Times New Roman" w:hint="default"/>
        </w:rPr>
        <w:t> Research</w:t>
      </w:r>
      <w:r>
        <w:rPr/>
        <w:t>统计，</w:t>
      </w:r>
      <w:r>
        <w:rPr>
          <w:rFonts w:ascii="Times New Roman" w:hAnsi="Times New Roman" w:cs="Times New Roman" w:eastAsia="Times New Roman" w:hint="default"/>
        </w:rPr>
        <w:t>2015</w:t>
      </w:r>
      <w:r>
        <w:rPr/>
        <w:t>年全球基因测序市场规模是</w:t>
      </w:r>
      <w:r>
        <w:rPr>
          <w:rFonts w:ascii="Times New Roman" w:hAnsi="Times New Roman" w:cs="Times New Roman" w:eastAsia="Times New Roman" w:hint="default"/>
        </w:rPr>
        <w:t>59</w:t>
      </w:r>
      <w:r>
        <w:rPr/>
        <w:t>亿美元，预计以年复合增长率</w:t>
      </w:r>
      <w:r>
        <w:rPr>
          <w:rFonts w:ascii="Times New Roman" w:hAnsi="Times New Roman" w:cs="Times New Roman" w:eastAsia="Times New Roman" w:hint="default"/>
        </w:rPr>
        <w:t>18.7%</w:t>
      </w:r>
      <w:r>
        <w:rPr/>
        <w:t>或更快的速度增长。而 传统的基因检测技术，如基因芯片技术等，将逐步被基因测序技术替代。在医疗健康应用上，新一代基因测</w:t>
      </w:r>
      <w:r>
        <w:rPr>
          <w:spacing w:val="-57"/>
        </w:rPr>
        <w:t> </w:t>
      </w:r>
      <w:r>
        <w:rPr>
          <w:spacing w:val="-57"/>
        </w:rPr>
      </w:r>
      <w:r>
        <w:rPr/>
        <w:t>序技术常见于癌症检测和产前检测方面，技术的多元化和持续发展使得检测的广度、精度、准确度都有了巨</w:t>
      </w:r>
      <w:r>
        <w:rPr>
          <w:spacing w:val="-57"/>
        </w:rPr>
        <w:t> </w:t>
      </w:r>
      <w:r>
        <w:rPr>
          <w:spacing w:val="-57"/>
        </w:rPr>
      </w:r>
      <w:r>
        <w:rPr/>
        <w:t>大的提升。华大基因自主测序仪为基础科学研究产品提供了更广阔平台。</w:t>
      </w:r>
    </w:p>
    <w:p>
      <w:pPr>
        <w:pStyle w:val="BodyText"/>
        <w:spacing w:line="319" w:lineRule="auto" w:before="65"/>
        <w:ind w:left="142" w:right="136" w:firstLine="359"/>
        <w:jc w:val="both"/>
      </w:pPr>
      <w:r>
        <w:rPr/>
        <w:t>移动互联网技术、大数据处理技术也是基因组学应用行业发展的关键驱动力。移动互联网技术影响基因 </w:t>
      </w:r>
      <w:r>
        <w:rPr>
          <w:spacing w:val="-3"/>
        </w:rPr>
        <w:t>组学应用的提供方式，例如基因组学在医疗健康应用领域中，移动互联网技术加速向医疗健康服务行业渗透，</w:t>
      </w:r>
      <w:r>
        <w:rPr>
          <w:spacing w:val="-82"/>
        </w:rPr>
        <w:t> </w:t>
      </w:r>
      <w:r>
        <w:rPr>
          <w:spacing w:val="-82"/>
        </w:rPr>
      </w:r>
      <w:r>
        <w:rPr/>
        <w:t>使得渠道网络化，线上线下联动，提升服务效率和覆盖度，为消费者提供更大的选择空间。大数据相关技术</w:t>
      </w:r>
      <w:r>
        <w:rPr>
          <w:spacing w:val="-57"/>
        </w:rPr>
        <w:t> </w:t>
      </w:r>
      <w:r>
        <w:rPr>
          <w:spacing w:val="-57"/>
        </w:rPr>
      </w:r>
      <w:r>
        <w:rPr/>
        <w:t>帮助人们多维度理解基因的功能，并且提供更可靠的基因知识，大数据的共享为数据的关联和知识的整合提</w:t>
      </w:r>
      <w:r>
        <w:rPr>
          <w:spacing w:val="-57"/>
        </w:rPr>
        <w:t> </w:t>
      </w:r>
      <w:r>
        <w:rPr>
          <w:spacing w:val="-57"/>
        </w:rPr>
      </w:r>
      <w:r>
        <w:rPr/>
        <w:t>供可能。</w:t>
      </w:r>
    </w:p>
    <w:p>
      <w:pPr>
        <w:pStyle w:val="Heading4"/>
        <w:spacing w:line="240" w:lineRule="auto" w:before="137"/>
        <w:ind w:left="413" w:right="254"/>
        <w:jc w:val="left"/>
        <w:rPr>
          <w:b w:val="0"/>
          <w:bCs w:val="0"/>
        </w:rPr>
      </w:pPr>
      <w:r>
        <w:rPr/>
        <w:t>（五）行业发展格局与公司行业地位</w:t>
      </w:r>
      <w:r>
        <w:rPr>
          <w:b w:val="0"/>
          <w:bCs w:val="0"/>
        </w:rPr>
      </w:r>
    </w:p>
    <w:p>
      <w:pPr>
        <w:spacing w:line="240" w:lineRule="auto" w:before="0"/>
        <w:rPr>
          <w:rFonts w:ascii="宋体" w:hAnsi="宋体" w:cs="宋体" w:eastAsia="宋体" w:hint="default"/>
          <w:b/>
          <w:bCs/>
          <w:sz w:val="15"/>
          <w:szCs w:val="15"/>
        </w:rPr>
      </w:pPr>
    </w:p>
    <w:p>
      <w:pPr>
        <w:pStyle w:val="Heading4"/>
        <w:spacing w:line="240" w:lineRule="auto" w:before="0"/>
        <w:ind w:left="499" w:right="254"/>
        <w:jc w:val="left"/>
        <w:rPr>
          <w:b w:val="0"/>
          <w:bCs w:val="0"/>
        </w:rPr>
      </w:pPr>
      <w:r>
        <w:rPr>
          <w:rFonts w:ascii="Times New Roman" w:hAnsi="Times New Roman" w:cs="Times New Roman" w:eastAsia="Times New Roman" w:hint="default"/>
        </w:rPr>
        <w:t>1</w:t>
      </w:r>
      <w:r>
        <w:rPr/>
        <w:t>、行业发展概况及趋势</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left="142" w:right="132" w:firstLine="359"/>
        <w:jc w:val="both"/>
      </w:pPr>
      <w:r>
        <w:rPr>
          <w:rFonts w:ascii="Times New Roman" w:hAnsi="Times New Roman" w:cs="Times New Roman" w:eastAsia="Times New Roman" w:hint="default"/>
          <w:spacing w:val="-3"/>
        </w:rPr>
        <w:t>21</w:t>
      </w:r>
      <w:r>
        <w:rPr>
          <w:spacing w:val="-3"/>
        </w:rPr>
        <w:t>世纪被称为生命科学的时代，生物技术在医疗卫生、农业、环保、轻化工、食品保健等重要领域对改善</w:t>
      </w:r>
      <w:r>
        <w:rPr/>
        <w:t> 人类健康状况及生存环境、提高农牧业以及工业的产量与质量正在发挥着越来越重要的作用。国务院</w:t>
      </w:r>
      <w:r>
        <w:rPr>
          <w:rFonts w:ascii="Times New Roman" w:hAnsi="Times New Roman" w:cs="Times New Roman" w:eastAsia="Times New Roman" w:hint="default"/>
        </w:rPr>
        <w:t>2012</w:t>
      </w:r>
      <w:r>
        <w:rPr/>
        <w:t>年</w:t>
      </w:r>
      <w:r>
        <w:rPr>
          <w:spacing w:val="-50"/>
        </w:rPr>
        <w:t> </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日印发了《生物产业发展规划》，文件指出</w:t>
      </w:r>
      <w:r>
        <w:rPr>
          <w:rFonts w:ascii="Times New Roman" w:hAnsi="Times New Roman" w:cs="Times New Roman" w:eastAsia="Times New Roman" w:hint="default"/>
          <w:spacing w:val="-1"/>
        </w:rPr>
        <w:t>“</w:t>
      </w:r>
      <w:r>
        <w:rPr>
          <w:spacing w:val="-1"/>
        </w:rPr>
        <w:t>生物产业是国家确定的一项战略性新兴产业，预计到</w:t>
      </w:r>
      <w:r>
        <w:rPr>
          <w:rFonts w:ascii="Times New Roman" w:hAnsi="Times New Roman" w:cs="Times New Roman" w:eastAsia="Times New Roman" w:hint="default"/>
          <w:spacing w:val="-1"/>
        </w:rPr>
        <w:t>2020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年生物产业将成为我国经济的支柱产业</w:t>
      </w:r>
      <w:r>
        <w:rPr>
          <w:rFonts w:ascii="Times New Roman" w:hAnsi="Times New Roman" w:cs="Times New Roman" w:eastAsia="Times New Roman" w:hint="default"/>
        </w:rPr>
        <w:t>”</w:t>
      </w:r>
      <w:r>
        <w:rPr/>
        <w:t>。</w:t>
      </w:r>
      <w:r>
        <w:rPr>
          <w:spacing w:val="56"/>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月，国家发展改革委印发的《</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生物产业发展规</w:t>
      </w:r>
      <w:r>
        <w:rPr>
          <w:spacing w:val="-79"/>
        </w:rPr>
        <w:t> </w:t>
      </w:r>
      <w:r>
        <w:rPr>
          <w:spacing w:val="-79"/>
        </w:rPr>
      </w:r>
      <w:r>
        <w:rPr/>
        <w:t>划》指出，</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以来，我国生物产业复合增长率达到</w:t>
      </w:r>
      <w:r>
        <w:rPr>
          <w:rFonts w:ascii="Times New Roman" w:hAnsi="Times New Roman" w:cs="Times New Roman" w:eastAsia="Times New Roman" w:hint="default"/>
        </w:rPr>
        <w:t>15%</w:t>
      </w:r>
      <w:r>
        <w:rPr/>
        <w:t>以上，</w:t>
      </w:r>
      <w:r>
        <w:rPr>
          <w:rFonts w:ascii="Times New Roman" w:hAnsi="Times New Roman" w:cs="Times New Roman" w:eastAsia="Times New Roman" w:hint="default"/>
        </w:rPr>
        <w:t>2015</w:t>
      </w:r>
      <w:r>
        <w:rPr/>
        <w:t>年产业规模超过</w:t>
      </w:r>
      <w:r>
        <w:rPr>
          <w:rFonts w:ascii="Times New Roman" w:hAnsi="Times New Roman" w:cs="Times New Roman" w:eastAsia="Times New Roman" w:hint="default"/>
        </w:rPr>
        <w:t>3.5</w:t>
      </w:r>
      <w:r>
        <w:rPr/>
        <w:t>万亿元。到</w:t>
      </w:r>
      <w:r>
        <w:rPr>
          <w:rFonts w:ascii="Times New Roman" w:hAnsi="Times New Roman" w:cs="Times New Roman" w:eastAsia="Times New Roman" w:hint="default"/>
        </w:rPr>
        <w:t>2020 </w:t>
      </w:r>
      <w:r>
        <w:rPr/>
        <w:t>年，生物产业规模达到</w:t>
      </w:r>
      <w:r>
        <w:rPr>
          <w:rFonts w:ascii="Times New Roman" w:hAnsi="Times New Roman" w:cs="Times New Roman" w:eastAsia="Times New Roman" w:hint="default"/>
        </w:rPr>
        <w:t>8-10</w:t>
      </w:r>
      <w:r>
        <w:rPr/>
        <w:t>万亿元，生物产业增加值占</w:t>
      </w:r>
      <w:r>
        <w:rPr>
          <w:rFonts w:ascii="Times New Roman" w:hAnsi="Times New Roman" w:cs="Times New Roman" w:eastAsia="Times New Roman" w:hint="default"/>
        </w:rPr>
        <w:t>GDP</w:t>
      </w:r>
      <w:r>
        <w:rPr/>
        <w:t>的比重超过</w:t>
      </w:r>
      <w:r>
        <w:rPr>
          <w:rFonts w:ascii="Times New Roman" w:hAnsi="Times New Roman" w:cs="Times New Roman" w:eastAsia="Times New Roman" w:hint="default"/>
        </w:rPr>
        <w:t>4%</w:t>
      </w:r>
      <w:r>
        <w:rPr/>
        <w:t>，成为国民经济的主导产业。</w:t>
      </w:r>
    </w:p>
    <w:p>
      <w:pPr>
        <w:pStyle w:val="BodyText"/>
        <w:spacing w:line="316" w:lineRule="auto" w:before="133"/>
        <w:ind w:left="142" w:right="139" w:firstLine="359"/>
        <w:jc w:val="both"/>
      </w:pPr>
      <w:r>
        <w:rPr/>
        <w:t>基因组学是研究生物基因组的组成，组内各基因的精确结构、相互关系及表达调控的科学。基因组学应 </w:t>
      </w:r>
      <w:r>
        <w:rPr>
          <w:spacing w:val="-3"/>
        </w:rPr>
        <w:t>用行业通过新型的基因测序仪分析生物样本（组织、细胞、血液样本等）的基因组信息，并将这些信息用于临</w:t>
      </w:r>
      <w:r>
        <w:rPr>
          <w:spacing w:val="-87"/>
        </w:rPr>
        <w:t> </w:t>
      </w:r>
      <w:r>
        <w:rPr>
          <w:spacing w:val="-87"/>
        </w:rPr>
      </w:r>
      <w:r>
        <w:rPr/>
        <w:t>床医学诊断、个体化用药指导、疾病发病机理研究、生命调控机制研究等领域。</w:t>
      </w:r>
    </w:p>
    <w:p>
      <w:pPr>
        <w:pStyle w:val="BodyText"/>
        <w:spacing w:line="304" w:lineRule="auto" w:before="139"/>
        <w:ind w:left="142" w:right="135" w:firstLine="359"/>
        <w:jc w:val="both"/>
      </w:pPr>
      <w:r>
        <w:rPr/>
        <w:t>从</w:t>
      </w:r>
      <w:r>
        <w:rPr>
          <w:rFonts w:ascii="Times New Roman" w:hAnsi="Times New Roman" w:cs="Times New Roman" w:eastAsia="Times New Roman" w:hint="default"/>
        </w:rPr>
        <w:t>1988</w:t>
      </w:r>
      <w:r>
        <w:rPr/>
        <w:t>年人类基因组计划启动开始，基因组学应用的壮阔前景开始展现在人类面前。</w:t>
      </w:r>
      <w:r>
        <w:rPr>
          <w:rFonts w:ascii="Times New Roman" w:hAnsi="Times New Roman" w:cs="Times New Roman" w:eastAsia="Times New Roman" w:hint="default"/>
        </w:rPr>
        <w:t>1998</w:t>
      </w:r>
      <w:r>
        <w:rPr/>
        <w:t>年毛细管测序 技术问世，测序提速</w:t>
      </w:r>
      <w:r>
        <w:rPr>
          <w:rFonts w:ascii="Times New Roman" w:hAnsi="Times New Roman" w:cs="Times New Roman" w:eastAsia="Times New Roman" w:hint="default"/>
        </w:rPr>
        <w:t>10</w:t>
      </w:r>
      <w:r>
        <w:rPr/>
        <w:t>倍，原计划</w:t>
      </w:r>
      <w:r>
        <w:rPr>
          <w:rFonts w:ascii="Times New Roman" w:hAnsi="Times New Roman" w:cs="Times New Roman" w:eastAsia="Times New Roman" w:hint="default"/>
        </w:rPr>
        <w:t>15</w:t>
      </w:r>
      <w:r>
        <w:rPr/>
        <w:t>年完成的人类基因组计划加快进度。</w:t>
      </w:r>
      <w:r>
        <w:rPr>
          <w:rFonts w:ascii="Times New Roman" w:hAnsi="Times New Roman" w:cs="Times New Roman" w:eastAsia="Times New Roman" w:hint="default"/>
        </w:rPr>
        <w:t>2006</w:t>
      </w:r>
      <w:r>
        <w:rPr/>
        <w:t>年第二代测序仪诞生，成本下</w:t>
      </w:r>
      <w:r>
        <w:rPr>
          <w:spacing w:val="-56"/>
        </w:rPr>
        <w:t> </w:t>
      </w:r>
      <w:r>
        <w:rPr>
          <w:spacing w:val="-56"/>
        </w:rPr>
      </w:r>
      <w:r>
        <w:rPr>
          <w:spacing w:val="-3"/>
        </w:rPr>
        <w:t>降百倍，形成</w:t>
      </w:r>
      <w:r>
        <w:rPr>
          <w:rFonts w:ascii="Times New Roman" w:hAnsi="Times New Roman" w:cs="Times New Roman" w:eastAsia="Times New Roman" w:hint="default"/>
          <w:spacing w:val="-3"/>
        </w:rPr>
        <w:t>“</w:t>
      </w:r>
      <w:r>
        <w:rPr>
          <w:spacing w:val="-3"/>
        </w:rPr>
        <w:t>超摩尔定律</w:t>
      </w:r>
      <w:r>
        <w:rPr>
          <w:rFonts w:ascii="Times New Roman" w:hAnsi="Times New Roman" w:cs="Times New Roman" w:eastAsia="Times New Roman" w:hint="default"/>
          <w:spacing w:val="-3"/>
        </w:rPr>
        <w:t>”</w:t>
      </w:r>
      <w:r>
        <w:rPr>
          <w:spacing w:val="-3"/>
        </w:rPr>
        <w:t>之势。随着测序成本的显著降低和生物信息分析能力的显著上升，美国等西方发达</w:t>
      </w:r>
      <w:r>
        <w:rPr>
          <w:spacing w:val="-61"/>
        </w:rPr>
        <w:t> </w:t>
      </w:r>
      <w:r>
        <w:rPr>
          <w:spacing w:val="-61"/>
        </w:rPr>
      </w:r>
      <w:r>
        <w:rPr/>
        <w:t>国家已在这一领域做出前瞻式布局：鼓励高端测序仪的研发和商业化、建立配套的生物信息计算平台、推进</w:t>
      </w:r>
      <w:r>
        <w:rPr>
          <w:spacing w:val="-57"/>
        </w:rPr>
        <w:t> </w:t>
      </w:r>
      <w:r>
        <w:rPr>
          <w:spacing w:val="-57"/>
        </w:rPr>
      </w:r>
      <w:r>
        <w:rPr>
          <w:spacing w:val="-2"/>
        </w:rPr>
        <w:t>基因组领域的科学研发和临床转化。近几年来基因测序市场飞速发展，从</w:t>
      </w:r>
      <w:r>
        <w:rPr>
          <w:rFonts w:ascii="Times New Roman" w:hAnsi="Times New Roman" w:cs="Times New Roman" w:eastAsia="Times New Roman" w:hint="default"/>
          <w:spacing w:val="-2"/>
        </w:rPr>
        <w:t>2007</w:t>
      </w:r>
      <w:r>
        <w:rPr>
          <w:spacing w:val="-2"/>
        </w:rPr>
        <w:t>年的</w:t>
      </w:r>
      <w:r>
        <w:rPr>
          <w:rFonts w:ascii="Times New Roman" w:hAnsi="Times New Roman" w:cs="Times New Roman" w:eastAsia="Times New Roman" w:hint="default"/>
          <w:spacing w:val="-2"/>
        </w:rPr>
        <w:t>7.94</w:t>
      </w:r>
      <w:r>
        <w:rPr>
          <w:spacing w:val="-2"/>
        </w:rPr>
        <w:t>亿美元增长到</w:t>
      </w:r>
      <w:r>
        <w:rPr>
          <w:rFonts w:ascii="Times New Roman" w:hAnsi="Times New Roman" w:cs="Times New Roman" w:eastAsia="Times New Roman" w:hint="default"/>
          <w:spacing w:val="-2"/>
        </w:rPr>
        <w:t>2015</w:t>
      </w:r>
      <w:r>
        <w:rPr>
          <w:spacing w:val="-2"/>
        </w:rPr>
        <w:t>年的</w:t>
      </w:r>
      <w:r>
        <w:rPr>
          <w:spacing w:val="-78"/>
        </w:rPr>
        <w:t> </w:t>
      </w:r>
      <w:r>
        <w:rPr>
          <w:rFonts w:ascii="Times New Roman" w:hAnsi="Times New Roman" w:cs="Times New Roman" w:eastAsia="Times New Roman" w:hint="default"/>
        </w:rPr>
        <w:t>59</w:t>
      </w:r>
      <w:r>
        <w:rPr/>
        <w:t>亿美元，预计未来几年依旧会保持快速增长，</w:t>
      </w:r>
      <w:r>
        <w:rPr>
          <w:rFonts w:ascii="Times New Roman" w:hAnsi="Times New Roman" w:cs="Times New Roman" w:eastAsia="Times New Roman" w:hint="default"/>
        </w:rPr>
        <w:t>2020</w:t>
      </w:r>
      <w:r>
        <w:rPr/>
        <w:t>年将达到</w:t>
      </w:r>
      <w:r>
        <w:rPr>
          <w:rFonts w:ascii="Times New Roman" w:hAnsi="Times New Roman" w:cs="Times New Roman" w:eastAsia="Times New Roman" w:hint="default"/>
        </w:rPr>
        <w:t>138</w:t>
      </w:r>
      <w:r>
        <w:rPr/>
        <w:t>亿美元，年复合增长率为</w:t>
      </w:r>
      <w:r>
        <w:rPr>
          <w:rFonts w:ascii="Times New Roman" w:hAnsi="Times New Roman" w:cs="Times New Roman" w:eastAsia="Times New Roman" w:hint="default"/>
        </w:rPr>
        <w:t>18.7%</w:t>
      </w:r>
      <w:r>
        <w:rPr/>
        <w:t>。</w:t>
      </w:r>
    </w:p>
    <w:p>
      <w:pPr>
        <w:pStyle w:val="BodyText"/>
        <w:spacing w:line="304" w:lineRule="auto" w:before="129"/>
        <w:ind w:left="142" w:right="135" w:firstLine="359"/>
        <w:jc w:val="both"/>
      </w:pPr>
      <w:r>
        <w:rPr>
          <w:spacing w:val="-1"/>
        </w:rPr>
        <w:t>在可预见的未来，基因组学相关产业将在四大领域取得突破性的发展：</w:t>
      </w:r>
      <w:r>
        <w:rPr>
          <w:rFonts w:ascii="Times New Roman" w:hAnsi="Times New Roman" w:cs="Times New Roman" w:eastAsia="Times New Roman" w:hint="default"/>
          <w:spacing w:val="-1"/>
        </w:rPr>
        <w:t>1</w:t>
      </w:r>
      <w:r>
        <w:rPr>
          <w:spacing w:val="-1"/>
        </w:rPr>
        <w:t>、基因技术将被广泛应用于复杂</w:t>
      </w:r>
      <w:r>
        <w:rPr/>
        <w:t> </w:t>
      </w:r>
      <w:r>
        <w:rPr>
          <w:spacing w:val="-3"/>
        </w:rPr>
        <w:t>疾病、农业基因组学、微生物学和宏基因组学等研究领域，将对人类健康、农业和环境保护带来巨大的变革；</w:t>
      </w:r>
      <w:r>
        <w:rPr>
          <w:spacing w:val="-82"/>
        </w:rPr>
        <w:t> </w:t>
      </w:r>
      <w:r>
        <w:rPr>
          <w:spacing w:val="-82"/>
        </w:rPr>
      </w:r>
      <w:r>
        <w:rPr>
          <w:rFonts w:ascii="Times New Roman" w:hAnsi="Times New Roman" w:cs="Times New Roman" w:eastAsia="Times New Roman" w:hint="default"/>
          <w:spacing w:val="-3"/>
        </w:rPr>
        <w:t>2</w:t>
      </w:r>
      <w:r>
        <w:rPr>
          <w:spacing w:val="-3"/>
        </w:rPr>
        <w:t>、基因技术应用于生殖健康，将显著降低出生缺陷，提高人类健康水平；</w:t>
      </w:r>
      <w:r>
        <w:rPr>
          <w:rFonts w:ascii="Times New Roman" w:hAnsi="Times New Roman" w:cs="Times New Roman" w:eastAsia="Times New Roman" w:hint="default"/>
          <w:spacing w:val="-3"/>
        </w:rPr>
        <w:t>3</w:t>
      </w:r>
      <w:r>
        <w:rPr>
          <w:spacing w:val="-3"/>
        </w:rPr>
        <w:t>、肿瘤基因组研究将揭示肿瘤的发</w:t>
      </w:r>
      <w:r>
        <w:rPr>
          <w:spacing w:val="-80"/>
        </w:rPr>
        <w:t> </w:t>
      </w:r>
      <w:r>
        <w:rPr>
          <w:spacing w:val="-80"/>
        </w:rPr>
      </w:r>
      <w:r>
        <w:rPr>
          <w:spacing w:val="-1"/>
        </w:rPr>
        <w:t>病机制，肿瘤基因组测序技术成为肿瘤的个体化治疗的基础；</w:t>
      </w:r>
      <w:r>
        <w:rPr>
          <w:rFonts w:ascii="Times New Roman" w:hAnsi="Times New Roman" w:cs="Times New Roman" w:eastAsia="Times New Roman" w:hint="default"/>
          <w:spacing w:val="-1"/>
        </w:rPr>
        <w:t>4</w:t>
      </w:r>
      <w:r>
        <w:rPr>
          <w:spacing w:val="-1"/>
        </w:rPr>
        <w:t>、基因组技术与传统临床医学的最新科研结果</w:t>
      </w:r>
      <w:r>
        <w:rPr>
          <w:spacing w:val="-88"/>
        </w:rPr>
        <w:t> </w:t>
      </w:r>
      <w:r>
        <w:rPr>
          <w:spacing w:val="-88"/>
        </w:rPr>
      </w:r>
      <w:r>
        <w:rPr/>
        <w:t>结合，形成精准医疗，为疾病诊断、治疗、临床决策带来革命性的改变。</w:t>
      </w:r>
    </w:p>
    <w:p>
      <w:pPr>
        <w:pStyle w:val="BodyText"/>
        <w:spacing w:line="415" w:lineRule="auto" w:before="148"/>
        <w:ind w:left="501" w:right="128" w:hanging="3"/>
        <w:jc w:val="left"/>
      </w:pPr>
      <w:r>
        <w:rPr>
          <w:rFonts w:ascii="Times New Roman" w:hAnsi="Times New Roman" w:cs="Times New Roman" w:eastAsia="Times New Roman" w:hint="default"/>
          <w:b/>
          <w:bCs/>
        </w:rPr>
        <w:t>2</w:t>
      </w:r>
      <w:r>
        <w:rPr>
          <w:rFonts w:ascii="宋体" w:hAnsi="宋体" w:cs="宋体" w:eastAsia="宋体" w:hint="default"/>
          <w:b/>
          <w:bCs/>
        </w:rPr>
        <w:t>、行业发展竞争格局</w:t>
      </w:r>
      <w:r>
        <w:rPr>
          <w:rFonts w:ascii="宋体" w:hAnsi="宋体" w:cs="宋体" w:eastAsia="宋体" w:hint="default"/>
          <w:b/>
          <w:bCs/>
          <w:w w:val="99"/>
        </w:rPr>
        <w:t> </w:t>
      </w:r>
      <w:r>
        <w:rPr/>
        <w:t>基因组相关产业已形成了包含科学发现、技术发明、产业发展的完整产业链条。基因芯片的代表企业是</w:t>
      </w:r>
    </w:p>
    <w:p>
      <w:pPr>
        <w:pStyle w:val="BodyText"/>
        <w:spacing w:line="194" w:lineRule="exact"/>
        <w:ind w:left="142" w:right="0"/>
        <w:jc w:val="left"/>
      </w:pPr>
      <w:r>
        <w:rPr>
          <w:spacing w:val="3"/>
        </w:rPr>
        <w:t>美国的</w:t>
      </w:r>
      <w:r>
        <w:rPr>
          <w:rFonts w:ascii="Times New Roman" w:hAnsi="Times New Roman" w:cs="Times New Roman" w:eastAsia="Times New Roman" w:hint="default"/>
          <w:spacing w:val="3"/>
        </w:rPr>
        <w:t>Affymetrix</w:t>
      </w:r>
      <w:r>
        <w:rPr>
          <w:spacing w:val="3"/>
        </w:rPr>
        <w:t>公司（已于</w:t>
      </w:r>
      <w:r>
        <w:rPr>
          <w:rFonts w:ascii="Times New Roman" w:hAnsi="Times New Roman" w:cs="Times New Roman" w:eastAsia="Times New Roman" w:hint="default"/>
          <w:spacing w:val="3"/>
        </w:rPr>
        <w:t>2016</w:t>
      </w:r>
      <w:r>
        <w:rPr>
          <w:spacing w:val="3"/>
        </w:rPr>
        <w:t>年被</w:t>
      </w:r>
      <w:r>
        <w:rPr>
          <w:rFonts w:ascii="Times New Roman" w:hAnsi="Times New Roman" w:cs="Times New Roman" w:eastAsia="Times New Roman" w:hint="default"/>
          <w:spacing w:val="3"/>
        </w:rPr>
        <w:t>Thermo  </w:t>
      </w:r>
      <w:r>
        <w:rPr>
          <w:rFonts w:ascii="Times New Roman" w:hAnsi="Times New Roman" w:cs="Times New Roman" w:eastAsia="Times New Roman" w:hint="default"/>
        </w:rPr>
        <w:t>Fisher</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5"/>
        </w:rPr>
        <w:t>Scientific</w:t>
      </w:r>
      <w:r>
        <w:rPr>
          <w:spacing w:val="5"/>
        </w:rPr>
        <w:t>收购）。新一代基因测序的代表企业是美国</w:t>
      </w:r>
    </w:p>
    <w:p>
      <w:pPr>
        <w:pStyle w:val="BodyText"/>
        <w:spacing w:line="300" w:lineRule="auto" w:before="63"/>
        <w:ind w:left="142" w:right="128"/>
        <w:jc w:val="left"/>
      </w:pPr>
      <w:r>
        <w:rPr>
          <w:rFonts w:ascii="Times New Roman" w:hAnsi="Times New Roman" w:cs="Times New Roman" w:eastAsia="Times New Roman" w:hint="default"/>
        </w:rPr>
        <w:t>Illumina,</w:t>
      </w:r>
      <w:r>
        <w:rPr>
          <w:rFonts w:ascii="Times New Roman" w:hAnsi="Times New Roman" w:cs="Times New Roman" w:eastAsia="Times New Roman" w:hint="default"/>
          <w:spacing w:val="-13"/>
        </w:rPr>
        <w:t> </w:t>
      </w:r>
      <w:r>
        <w:rPr>
          <w:rFonts w:ascii="Times New Roman" w:hAnsi="Times New Roman" w:cs="Times New Roman" w:eastAsia="Times New Roman" w:hint="default"/>
        </w:rPr>
        <w:t>Inc.</w:t>
      </w:r>
      <w:r>
        <w:rPr/>
        <w:t>、</w:t>
      </w:r>
      <w:r>
        <w:rPr>
          <w:rFonts w:ascii="Times New Roman" w:hAnsi="Times New Roman" w:cs="Times New Roman" w:eastAsia="Times New Roman" w:hint="default"/>
        </w:rPr>
        <w:t>Life</w:t>
      </w:r>
      <w:r>
        <w:rPr>
          <w:rFonts w:ascii="Times New Roman" w:hAnsi="Times New Roman" w:cs="Times New Roman" w:eastAsia="Times New Roman" w:hint="default"/>
          <w:spacing w:val="-14"/>
        </w:rPr>
        <w:t> </w:t>
      </w:r>
      <w:r>
        <w:rPr>
          <w:rFonts w:ascii="Times New Roman" w:hAnsi="Times New Roman" w:cs="Times New Roman" w:eastAsia="Times New Roman" w:hint="default"/>
        </w:rPr>
        <w:t>Technologies</w:t>
      </w:r>
      <w:r>
        <w:rPr/>
        <w:t>（已于</w:t>
      </w:r>
      <w:r>
        <w:rPr>
          <w:rFonts w:ascii="Times New Roman" w:hAnsi="Times New Roman" w:cs="Times New Roman" w:eastAsia="Times New Roman" w:hint="default"/>
        </w:rPr>
        <w:t>2013</w:t>
      </w:r>
      <w:r>
        <w:rPr/>
        <w:t>年被</w:t>
      </w:r>
      <w:r>
        <w:rPr>
          <w:rFonts w:ascii="Times New Roman" w:hAnsi="Times New Roman" w:cs="Times New Roman" w:eastAsia="Times New Roman" w:hint="default"/>
        </w:rPr>
        <w:t>Thermo</w:t>
      </w:r>
      <w:r>
        <w:rPr>
          <w:rFonts w:ascii="Times New Roman" w:hAnsi="Times New Roman" w:cs="Times New Roman" w:eastAsia="Times New Roman" w:hint="default"/>
          <w:spacing w:val="-12"/>
        </w:rPr>
        <w:t> </w:t>
      </w:r>
      <w:r>
        <w:rPr>
          <w:rFonts w:ascii="Times New Roman" w:hAnsi="Times New Roman" w:cs="Times New Roman" w:eastAsia="Times New Roman" w:hint="default"/>
        </w:rPr>
        <w:t>Fisher</w:t>
      </w:r>
      <w:r>
        <w:rPr>
          <w:rFonts w:ascii="Times New Roman" w:hAnsi="Times New Roman" w:cs="Times New Roman" w:eastAsia="Times New Roman" w:hint="default"/>
          <w:spacing w:val="-13"/>
        </w:rPr>
        <w:t> </w:t>
      </w:r>
      <w:r>
        <w:rPr>
          <w:rFonts w:ascii="Times New Roman" w:hAnsi="Times New Roman" w:cs="Times New Roman" w:eastAsia="Times New Roman" w:hint="default"/>
        </w:rPr>
        <w:t>Scientific</w:t>
      </w:r>
      <w:r>
        <w:rPr/>
        <w:t>收购）、</w:t>
      </w:r>
      <w:r>
        <w:rPr>
          <w:rFonts w:ascii="Times New Roman" w:hAnsi="Times New Roman" w:cs="Times New Roman" w:eastAsia="Times New Roman" w:hint="default"/>
        </w:rPr>
        <w:t>Pacific</w:t>
      </w:r>
      <w:r>
        <w:rPr>
          <w:rFonts w:ascii="Times New Roman" w:hAnsi="Times New Roman" w:cs="Times New Roman" w:eastAsia="Times New Roman" w:hint="default"/>
          <w:spacing w:val="-14"/>
        </w:rPr>
        <w:t> </w:t>
      </w:r>
      <w:r>
        <w:rPr>
          <w:rFonts w:ascii="Times New Roman" w:hAnsi="Times New Roman" w:cs="Times New Roman" w:eastAsia="Times New Roman" w:hint="default"/>
        </w:rPr>
        <w:t>Biosciences</w:t>
      </w:r>
      <w:r>
        <w:rPr/>
        <w:t>以及瑞士的 罗氏公司。</w:t>
      </w:r>
    </w:p>
    <w:p>
      <w:pPr>
        <w:pStyle w:val="BodyText"/>
        <w:spacing w:line="316" w:lineRule="auto" w:before="152"/>
        <w:ind w:left="142" w:right="135" w:firstLine="359"/>
        <w:jc w:val="both"/>
      </w:pPr>
      <w:r>
        <w:rPr/>
        <w:t>新一代基因测序技术已被用于临床医学服务，代表性的应用有无创产前基因检测。中国的代表企业是华 大基因和贝瑞基因。国外代表企业包括</w:t>
      </w:r>
      <w:r>
        <w:rPr>
          <w:rFonts w:ascii="Times New Roman" w:hAnsi="Times New Roman" w:cs="Times New Roman" w:eastAsia="Times New Roman" w:hint="default"/>
        </w:rPr>
        <w:t>Sequenom</w:t>
      </w:r>
      <w:r>
        <w:rPr/>
        <w:t>（已被</w:t>
      </w:r>
      <w:r>
        <w:rPr>
          <w:rFonts w:ascii="Times New Roman" w:hAnsi="Times New Roman" w:cs="Times New Roman" w:eastAsia="Times New Roman" w:hint="default"/>
        </w:rPr>
        <w:t>LabCorp</w:t>
      </w:r>
      <w:r>
        <w:rPr/>
        <w:t>收购）、</w:t>
      </w:r>
      <w:r>
        <w:rPr>
          <w:rFonts w:ascii="Times New Roman" w:hAnsi="Times New Roman" w:cs="Times New Roman" w:eastAsia="Times New Roman" w:hint="default"/>
        </w:rPr>
        <w:t>Verinata</w:t>
      </w:r>
      <w:r>
        <w:rPr>
          <w:rFonts w:ascii="Times New Roman" w:hAnsi="Times New Roman" w:cs="Times New Roman" w:eastAsia="Times New Roman" w:hint="default"/>
          <w:spacing w:val="-34"/>
        </w:rPr>
        <w:t> </w:t>
      </w:r>
      <w:r>
        <w:rPr>
          <w:rFonts w:ascii="Times New Roman" w:hAnsi="Times New Roman" w:cs="Times New Roman" w:eastAsia="Times New Roman" w:hint="default"/>
        </w:rPr>
        <w:t>Health</w:t>
      </w:r>
      <w:r>
        <w:rPr/>
        <w:t>（已被</w:t>
      </w:r>
      <w:r>
        <w:rPr>
          <w:rFonts w:ascii="Times New Roman" w:hAnsi="Times New Roman" w:cs="Times New Roman" w:eastAsia="Times New Roman" w:hint="default"/>
        </w:rPr>
        <w:t>Illumina,</w:t>
      </w:r>
      <w:r>
        <w:rPr>
          <w:rFonts w:ascii="Times New Roman" w:hAnsi="Times New Roman" w:cs="Times New Roman" w:eastAsia="Times New Roman" w:hint="default"/>
          <w:spacing w:val="-34"/>
        </w:rPr>
        <w:t> </w:t>
      </w:r>
      <w:r>
        <w:rPr>
          <w:rFonts w:ascii="Times New Roman" w:hAnsi="Times New Roman" w:cs="Times New Roman" w:eastAsia="Times New Roman" w:hint="default"/>
        </w:rPr>
        <w:t>Inc.</w:t>
      </w:r>
      <w:r>
        <w:rPr/>
        <w:t>收</w:t>
      </w:r>
    </w:p>
    <w:p>
      <w:pPr>
        <w:spacing w:after="0" w:line="316" w:lineRule="auto"/>
        <w:jc w:val="both"/>
        <w:sectPr>
          <w:pgSz w:w="11910" w:h="16840"/>
          <w:pgMar w:header="880" w:footer="974" w:top="1100" w:bottom="1160" w:left="1560" w:right="1560"/>
        </w:sectPr>
      </w:pPr>
    </w:p>
    <w:p>
      <w:pPr>
        <w:spacing w:line="240" w:lineRule="auto" w:before="0"/>
        <w:rPr>
          <w:rFonts w:ascii="宋体" w:hAnsi="宋体" w:cs="宋体" w:eastAsia="宋体" w:hint="default"/>
          <w:sz w:val="22"/>
          <w:szCs w:val="22"/>
        </w:rPr>
      </w:pPr>
    </w:p>
    <w:p>
      <w:pPr>
        <w:pStyle w:val="BodyText"/>
        <w:spacing w:line="300" w:lineRule="auto" w:before="44"/>
        <w:ind w:left="642" w:right="0"/>
        <w:jc w:val="left"/>
      </w:pPr>
      <w:r>
        <w:rPr>
          <w:spacing w:val="-3"/>
        </w:rPr>
        <w:t>购）、</w:t>
      </w:r>
      <w:r>
        <w:rPr>
          <w:rFonts w:ascii="Times New Roman" w:hAnsi="Times New Roman" w:cs="Times New Roman" w:eastAsia="Times New Roman" w:hint="default"/>
          <w:spacing w:val="-3"/>
        </w:rPr>
        <w:t>Ariosa</w:t>
      </w:r>
      <w:r>
        <w:rPr>
          <w:spacing w:val="-3"/>
        </w:rPr>
        <w:t>（已被瑞士罗氏公司收购）、</w:t>
      </w:r>
      <w:r>
        <w:rPr>
          <w:rFonts w:ascii="Times New Roman" w:hAnsi="Times New Roman" w:cs="Times New Roman" w:eastAsia="Times New Roman" w:hint="default"/>
          <w:spacing w:val="-3"/>
        </w:rPr>
        <w:t>LifeCodexx</w:t>
      </w:r>
      <w:r>
        <w:rPr>
          <w:spacing w:val="-3"/>
        </w:rPr>
        <w:t>、和</w:t>
      </w:r>
      <w:r>
        <w:rPr>
          <w:rFonts w:ascii="Times New Roman" w:hAnsi="Times New Roman" w:cs="Times New Roman" w:eastAsia="Times New Roman" w:hint="default"/>
          <w:spacing w:val="-3"/>
        </w:rPr>
        <w:t>Natera</w:t>
      </w:r>
      <w:r>
        <w:rPr>
          <w:spacing w:val="-3"/>
        </w:rPr>
        <w:t>。美国的个人基因组服务机构发展领先，代表</w:t>
      </w:r>
      <w:r>
        <w:rPr>
          <w:spacing w:val="-75"/>
        </w:rPr>
        <w:t> </w:t>
      </w:r>
      <w:r>
        <w:rPr>
          <w:spacing w:val="-75"/>
        </w:rPr>
      </w:r>
      <w:r>
        <w:rPr/>
        <w:t>企业有</w:t>
      </w:r>
      <w:r>
        <w:rPr>
          <w:rFonts w:ascii="Times New Roman" w:hAnsi="Times New Roman" w:cs="Times New Roman" w:eastAsia="Times New Roman" w:hint="default"/>
        </w:rPr>
        <w:t>23andMe</w:t>
      </w:r>
      <w:r>
        <w:rPr/>
        <w:t>、</w:t>
      </w:r>
      <w:r>
        <w:rPr>
          <w:rFonts w:ascii="Times New Roman" w:hAnsi="Times New Roman" w:cs="Times New Roman" w:eastAsia="Times New Roman" w:hint="default"/>
        </w:rPr>
        <w:t>Helix</w:t>
      </w:r>
      <w:r>
        <w:rPr/>
        <w:t>和</w:t>
      </w:r>
      <w:r>
        <w:rPr>
          <w:rFonts w:ascii="Times New Roman" w:hAnsi="Times New Roman" w:cs="Times New Roman" w:eastAsia="Times New Roman" w:hint="default"/>
        </w:rPr>
        <w:t>Ancestry</w:t>
      </w:r>
      <w:r>
        <w:rPr/>
        <w:t>。</w:t>
      </w:r>
    </w:p>
    <w:p>
      <w:pPr>
        <w:pStyle w:val="BodyText"/>
        <w:spacing w:line="309" w:lineRule="auto" w:before="133"/>
        <w:ind w:left="642" w:right="657" w:firstLine="359"/>
        <w:jc w:val="both"/>
      </w:pPr>
      <w:r>
        <w:rPr/>
        <w:t>中国基因组学应用行业的发展基本与全球发展同步，发展初期主要通过引进国外的第二代测序仪以用于 开发下游的应用。</w:t>
      </w:r>
      <w:r>
        <w:rPr>
          <w:rFonts w:ascii="Times New Roman" w:hAnsi="Times New Roman" w:cs="Times New Roman" w:eastAsia="Times New Roman" w:hint="default"/>
        </w:rPr>
        <w:t>2008</w:t>
      </w:r>
      <w:r>
        <w:rPr/>
        <w:t>年，将第二代测序技术用于研究基因与性状之间的关联，</w:t>
      </w:r>
      <w:r>
        <w:rPr>
          <w:rFonts w:ascii="Times New Roman" w:hAnsi="Times New Roman" w:cs="Times New Roman" w:eastAsia="Times New Roman" w:hint="default"/>
        </w:rPr>
        <w:t>2010</w:t>
      </w:r>
      <w:r>
        <w:rPr/>
        <w:t>年，开发出可用于临床</w:t>
      </w:r>
      <w:r>
        <w:rPr>
          <w:spacing w:val="-54"/>
        </w:rPr>
        <w:t> </w:t>
      </w:r>
      <w:r>
        <w:rPr>
          <w:spacing w:val="-54"/>
        </w:rPr>
      </w:r>
      <w:r>
        <w:rPr/>
        <w:t>的应用，代表产品是无创产前基因检测，国内代表企业是华大基因、贝瑞基因等。新一代</w:t>
      </w:r>
      <w:r>
        <w:rPr>
          <w:rFonts w:ascii="Times New Roman" w:hAnsi="Times New Roman" w:cs="Times New Roman" w:eastAsia="Times New Roman" w:hint="default"/>
        </w:rPr>
        <w:t>DNA</w:t>
      </w:r>
      <w:r>
        <w:rPr/>
        <w:t>测序技术也被</w:t>
      </w:r>
      <w:r>
        <w:rPr>
          <w:spacing w:val="-79"/>
        </w:rPr>
        <w:t> </w:t>
      </w:r>
      <w:r>
        <w:rPr/>
        <w:t>广泛的应用于科研机构、制药企业、种子公司及其它生物公司的研发工作，国内代表企业是华大基因、诺禾</w:t>
      </w:r>
      <w:r>
        <w:rPr>
          <w:spacing w:val="-57"/>
        </w:rPr>
        <w:t> </w:t>
      </w:r>
      <w:r>
        <w:rPr>
          <w:spacing w:val="-57"/>
        </w:rPr>
      </w:r>
      <w:r>
        <w:rPr/>
        <w:t>致源、美吉生物、药明康德等。</w:t>
      </w:r>
    </w:p>
    <w:p>
      <w:pPr>
        <w:pStyle w:val="BodyText"/>
        <w:spacing w:line="432" w:lineRule="exact" w:before="9"/>
        <w:ind w:left="1001" w:right="0" w:hanging="3"/>
        <w:jc w:val="left"/>
      </w:pPr>
      <w:r>
        <w:rPr>
          <w:rFonts w:ascii="Times New Roman" w:hAnsi="Times New Roman" w:cs="Times New Roman" w:eastAsia="Times New Roman" w:hint="default"/>
          <w:b/>
          <w:bCs/>
        </w:rPr>
        <w:t>3</w:t>
      </w:r>
      <w:r>
        <w:rPr>
          <w:rFonts w:ascii="宋体" w:hAnsi="宋体" w:cs="宋体" w:eastAsia="宋体" w:hint="default"/>
          <w:b/>
          <w:bCs/>
        </w:rPr>
        <w:t>、公司所处行业地位</w:t>
      </w:r>
      <w:r>
        <w:rPr>
          <w:rFonts w:ascii="宋体" w:hAnsi="宋体" w:cs="宋体" w:eastAsia="宋体" w:hint="default"/>
          <w:b/>
          <w:bCs/>
          <w:w w:val="99"/>
        </w:rPr>
        <w:t> </w:t>
      </w:r>
      <w:r>
        <w:rPr/>
        <w:t>经过多年的科研积累和产业发展，华大基因已建立含有新一代组学技术，特别是基因测序和质谱检测领</w:t>
      </w:r>
    </w:p>
    <w:p>
      <w:pPr>
        <w:pStyle w:val="BodyText"/>
        <w:spacing w:line="319" w:lineRule="auto" w:before="15"/>
        <w:ind w:left="642" w:right="0"/>
        <w:jc w:val="left"/>
      </w:pPr>
      <w:r>
        <w:rPr/>
        <w:t>域的人才中心、标准中心、研发中心、样本中心及数据中心。公司已成为全球少数具备全产业链资源的多组</w:t>
      </w:r>
      <w:r>
        <w:rPr>
          <w:spacing w:val="-57"/>
        </w:rPr>
        <w:t> </w:t>
      </w:r>
      <w:r>
        <w:rPr>
          <w:spacing w:val="-57"/>
        </w:rPr>
      </w:r>
      <w:r>
        <w:rPr/>
        <w:t>学科学技术服务提供商和医疗服务运营商。</w:t>
      </w:r>
    </w:p>
    <w:p>
      <w:pPr>
        <w:spacing w:line="240" w:lineRule="auto" w:before="3"/>
        <w:rPr>
          <w:rFonts w:ascii="宋体" w:hAnsi="宋体" w:cs="宋体" w:eastAsia="宋体" w:hint="default"/>
          <w:sz w:val="24"/>
          <w:szCs w:val="24"/>
        </w:rPr>
      </w:pPr>
    </w:p>
    <w:p>
      <w:pPr>
        <w:pStyle w:val="Heading4"/>
        <w:spacing w:line="240" w:lineRule="auto" w:before="0"/>
        <w:ind w:left="642" w:right="0"/>
        <w:jc w:val="left"/>
        <w:rPr>
          <w:b w:val="0"/>
          <w:bCs w:val="0"/>
        </w:rPr>
      </w:pPr>
      <w:r>
        <w:rPr/>
        <w:t>二、主要资产重大变化情况</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43"/>
        <w:ind w:left="642"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03" w:type="dxa"/>
        <w:tblLayout w:type="fixed"/>
        <w:tblCellMar>
          <w:top w:w="0" w:type="dxa"/>
          <w:left w:w="0" w:type="dxa"/>
          <w:bottom w:w="0" w:type="dxa"/>
          <w:right w:w="0" w:type="dxa"/>
        </w:tblCellMar>
        <w:tblLook w:val="01E0"/>
      </w:tblPr>
      <w:tblGrid>
        <w:gridCol w:w="3051"/>
        <w:gridCol w:w="6519"/>
      </w:tblGrid>
      <w:tr>
        <w:trPr>
          <w:trHeight w:val="185"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固定资产增长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30.81%</w:t>
            </w:r>
            <w:r>
              <w:rPr>
                <w:rFonts w:ascii="宋体" w:hAnsi="宋体" w:cs="宋体" w:eastAsia="宋体" w:hint="default"/>
                <w:sz w:val="18"/>
                <w:szCs w:val="18"/>
              </w:rPr>
              <w:t>，主要系生产规模扩大，设备投入增加所致。</w:t>
            </w: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在建工程较期初增加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460.42%</w:t>
            </w:r>
            <w:r>
              <w:rPr>
                <w:rFonts w:ascii="宋体" w:hAnsi="宋体" w:cs="宋体" w:eastAsia="宋体" w:hint="default"/>
                <w:sz w:val="18"/>
                <w:szCs w:val="18"/>
              </w:rPr>
              <w:t>，主要系待安装设备增加所致。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32.55%</w:t>
            </w:r>
            <w:r>
              <w:rPr>
                <w:rFonts w:ascii="宋体" w:hAnsi="宋体" w:cs="宋体" w:eastAsia="宋体" w:hint="default"/>
                <w:sz w:val="18"/>
                <w:szCs w:val="18"/>
              </w:rPr>
              <w:t>，主要系销售规模扩大所致。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预付账款增长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57.23%</w:t>
            </w:r>
            <w:r>
              <w:rPr>
                <w:rFonts w:ascii="宋体" w:hAnsi="宋体" w:cs="宋体" w:eastAsia="宋体" w:hint="default"/>
                <w:sz w:val="18"/>
                <w:szCs w:val="18"/>
              </w:rPr>
              <w:t>，主要系生产规模扩大，预付材料、服务款增加所致。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23"/>
              <w:jc w:val="left"/>
              <w:rPr>
                <w:rFonts w:ascii="宋体" w:hAnsi="宋体" w:cs="宋体" w:eastAsia="宋体" w:hint="default"/>
                <w:sz w:val="18"/>
                <w:szCs w:val="18"/>
              </w:rPr>
            </w:pPr>
            <w:r>
              <w:rPr>
                <w:rFonts w:ascii="宋体" w:hAnsi="宋体" w:cs="宋体" w:eastAsia="宋体" w:hint="default"/>
                <w:sz w:val="18"/>
                <w:szCs w:val="18"/>
              </w:rPr>
              <w:t>存货增长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88.31%</w:t>
            </w:r>
            <w:r>
              <w:rPr>
                <w:rFonts w:ascii="宋体" w:hAnsi="宋体" w:cs="宋体" w:eastAsia="宋体" w:hint="default"/>
                <w:sz w:val="18"/>
                <w:szCs w:val="18"/>
              </w:rPr>
              <w:t>，主要系销售规模扩大，相应的原材料、在产品以及产成品增加 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可供出售金融资产增长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138.63%</w:t>
            </w:r>
            <w:r>
              <w:rPr>
                <w:rFonts w:ascii="宋体" w:hAnsi="宋体" w:cs="宋体" w:eastAsia="宋体" w:hint="default"/>
                <w:sz w:val="18"/>
                <w:szCs w:val="18"/>
              </w:rPr>
              <w:t>，主要系公司对外投资增加所致。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其他非流动资产减少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56.88%</w:t>
            </w:r>
            <w:r>
              <w:rPr>
                <w:rFonts w:ascii="宋体" w:hAnsi="宋体" w:cs="宋体" w:eastAsia="宋体" w:hint="default"/>
                <w:sz w:val="18"/>
                <w:szCs w:val="18"/>
              </w:rPr>
              <w:t>，主要系预付设备款下降所致。</w:t>
            </w:r>
          </w:p>
        </w:tc>
      </w:tr>
    </w:tbl>
    <w:p>
      <w:pPr>
        <w:spacing w:line="240" w:lineRule="auto" w:before="7"/>
        <w:rPr>
          <w:rFonts w:ascii="宋体" w:hAnsi="宋体" w:cs="宋体" w:eastAsia="宋体" w:hint="default"/>
          <w:b/>
          <w:bCs/>
          <w:sz w:val="20"/>
          <w:szCs w:val="20"/>
        </w:rPr>
      </w:pPr>
    </w:p>
    <w:p>
      <w:pPr>
        <w:pStyle w:val="Heading4"/>
        <w:spacing w:line="240" w:lineRule="auto"/>
        <w:ind w:left="642"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left="64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066"/>
        <w:gridCol w:w="1063"/>
        <w:gridCol w:w="1061"/>
        <w:gridCol w:w="1066"/>
        <w:gridCol w:w="1064"/>
        <w:gridCol w:w="1063"/>
        <w:gridCol w:w="1066"/>
        <w:gridCol w:w="1064"/>
        <w:gridCol w:w="1058"/>
      </w:tblGrid>
      <w:tr>
        <w:trPr>
          <w:trHeight w:val="102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8" w:right="75"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3"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4" w:right="77"/>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收益状况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4" w:right="77"/>
              <w:jc w:val="both"/>
              <w:rPr>
                <w:rFonts w:ascii="宋体" w:hAnsi="宋体" w:cs="宋体" w:eastAsia="宋体" w:hint="default"/>
                <w:sz w:val="18"/>
                <w:szCs w:val="18"/>
              </w:rPr>
            </w:pPr>
            <w:r>
              <w:rPr>
                <w:rFonts w:ascii="宋体" w:hAnsi="宋体" w:cs="宋体" w:eastAsia="宋体" w:hint="default"/>
                <w:sz w:val="18"/>
                <w:szCs w:val="18"/>
              </w:rPr>
              <w:t>该项境外资 产占公司净 资产的比重</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2" w:right="74"/>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俊康大厦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购入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1"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9,292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 民币</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31"/>
              <w:jc w:val="left"/>
              <w:rPr>
                <w:rFonts w:ascii="宋体" w:hAnsi="宋体" w:cs="宋体" w:eastAsia="宋体" w:hint="default"/>
                <w:sz w:val="18"/>
                <w:szCs w:val="18"/>
              </w:rPr>
            </w:pPr>
            <w:r>
              <w:rPr>
                <w:rFonts w:ascii="宋体" w:hAnsi="宋体" w:cs="宋体" w:eastAsia="宋体" w:hint="default"/>
                <w:sz w:val="18"/>
                <w:szCs w:val="18"/>
              </w:rPr>
              <w:t>香港大埔工 业村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自用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31"/>
              <w:jc w:val="both"/>
              <w:rPr>
                <w:rFonts w:ascii="宋体" w:hAnsi="宋体" w:cs="宋体" w:eastAsia="宋体" w:hint="default"/>
                <w:sz w:val="18"/>
                <w:szCs w:val="18"/>
              </w:rPr>
            </w:pPr>
            <w:r>
              <w:rPr>
                <w:rFonts w:ascii="宋体" w:hAnsi="宋体" w:cs="宋体" w:eastAsia="宋体" w:hint="default"/>
                <w:sz w:val="18"/>
                <w:szCs w:val="18"/>
              </w:rPr>
              <w:t>公司物业和 保安团队管 理维护</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1"/>
              <w:jc w:val="right"/>
              <w:rPr>
                <w:rFonts w:ascii="宋体" w:hAnsi="宋体" w:cs="宋体" w:eastAsia="宋体" w:hint="default"/>
                <w:sz w:val="18"/>
                <w:szCs w:val="18"/>
              </w:rPr>
            </w:pPr>
            <w:r>
              <w:rPr>
                <w:rFonts w:ascii="宋体" w:hAnsi="宋体" w:cs="宋体" w:eastAsia="宋体" w:hint="default"/>
                <w:sz w:val="18"/>
                <w:szCs w:val="18"/>
              </w:rPr>
              <w:t>自用、出租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64" w:right="0"/>
              <w:jc w:val="left"/>
              <w:rPr>
                <w:rFonts w:ascii="Times New Roman" w:hAnsi="Times New Roman" w:cs="Times New Roman" w:eastAsia="Times New Roman" w:hint="default"/>
                <w:sz w:val="18"/>
                <w:szCs w:val="18"/>
              </w:rPr>
            </w:pPr>
            <w:r>
              <w:rPr>
                <w:rFonts w:ascii="Times New Roman"/>
                <w:sz w:val="18"/>
              </w:rPr>
              <w:t>2.18%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其他情况说 明</w:t>
            </w:r>
          </w:p>
        </w:tc>
        <w:tc>
          <w:tcPr>
            <w:tcW w:w="850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作为香港科服的生产、研发中心和办公用地，部分出租</w:t>
            </w:r>
          </w:p>
        </w:tc>
      </w:tr>
    </w:tbl>
    <w:p>
      <w:pPr>
        <w:spacing w:after="0" w:line="240" w:lineRule="auto"/>
        <w:jc w:val="left"/>
        <w:rPr>
          <w:rFonts w:ascii="宋体" w:hAnsi="宋体" w:cs="宋体" w:eastAsia="宋体" w:hint="default"/>
          <w:sz w:val="18"/>
          <w:szCs w:val="18"/>
        </w:rPr>
        <w:sectPr>
          <w:pgSz w:w="11910" w:h="16840"/>
          <w:pgMar w:header="880" w:footer="974" w:top="1100" w:bottom="1160" w:left="1060" w:right="1040"/>
        </w:sectPr>
      </w:pPr>
    </w:p>
    <w:p>
      <w:pPr>
        <w:spacing w:line="240" w:lineRule="auto" w:before="3"/>
        <w:rPr>
          <w:rFonts w:ascii="宋体" w:hAnsi="宋体" w:cs="宋体" w:eastAsia="宋体" w:hint="default"/>
          <w:sz w:val="22"/>
          <w:szCs w:val="22"/>
        </w:rPr>
      </w:pPr>
    </w:p>
    <w:p>
      <w:pPr>
        <w:pStyle w:val="Heading4"/>
        <w:spacing w:line="240" w:lineRule="auto"/>
        <w:ind w:left="142" w:right="0"/>
        <w:jc w:val="both"/>
        <w:rPr>
          <w:b w:val="0"/>
          <w:bCs w:val="0"/>
        </w:rPr>
      </w:pPr>
      <w:r>
        <w:rPr/>
        <w:t>三、核心竞争力分析</w:t>
      </w:r>
      <w:r>
        <w:rPr>
          <w:b w:val="0"/>
          <w:bCs w:val="0"/>
        </w:rPr>
      </w:r>
    </w:p>
    <w:p>
      <w:pPr>
        <w:spacing w:line="240" w:lineRule="auto" w:before="0"/>
        <w:rPr>
          <w:rFonts w:ascii="宋体" w:hAnsi="宋体" w:cs="宋体" w:eastAsia="宋体" w:hint="default"/>
          <w:b/>
          <w:bCs/>
          <w:sz w:val="18"/>
          <w:szCs w:val="18"/>
        </w:rPr>
      </w:pPr>
    </w:p>
    <w:p>
      <w:pPr>
        <w:pStyle w:val="BodyText"/>
        <w:spacing w:line="357" w:lineRule="auto" w:before="141"/>
        <w:ind w:left="142" w:right="5624"/>
        <w:jc w:val="left"/>
      </w:pPr>
      <w:r>
        <w:rPr/>
        <w:t>公司是否需要遵守特殊行业的披露要求 是</w:t>
      </w:r>
    </w:p>
    <w:p>
      <w:pPr>
        <w:pStyle w:val="BodyText"/>
        <w:spacing w:line="240" w:lineRule="auto" w:before="29"/>
        <w:ind w:left="142" w:right="0"/>
        <w:jc w:val="both"/>
      </w:pPr>
      <w:r>
        <w:rPr/>
        <w:t>医疗器械业</w:t>
      </w:r>
    </w:p>
    <w:p>
      <w:pPr>
        <w:spacing w:line="240" w:lineRule="auto" w:before="12"/>
        <w:rPr>
          <w:rFonts w:ascii="宋体" w:hAnsi="宋体" w:cs="宋体" w:eastAsia="宋体" w:hint="default"/>
          <w:sz w:val="17"/>
          <w:szCs w:val="17"/>
        </w:rPr>
      </w:pPr>
    </w:p>
    <w:p>
      <w:pPr>
        <w:pStyle w:val="BodyText"/>
        <w:spacing w:line="316" w:lineRule="auto"/>
        <w:ind w:left="142" w:right="205" w:firstLine="359"/>
        <w:jc w:val="both"/>
      </w:pPr>
      <w:r>
        <w:rPr/>
        <w:t>经过多年的科研积累和产业发展，公司已建立含有新一代组学技术，特别是基因测序和质谱检测领域的 人才中心、标准中心、研发中心、样本中心及数据中心，已成为全球少数具备全产业链资源的多组学科学技</w:t>
      </w:r>
      <w:r>
        <w:rPr>
          <w:spacing w:val="-57"/>
        </w:rPr>
        <w:t> </w:t>
      </w:r>
      <w:r>
        <w:rPr>
          <w:spacing w:val="-57"/>
        </w:rPr>
      </w:r>
      <w:r>
        <w:rPr/>
        <w:t>术服务提供商和医疗服务运营商。公司的竞争优势主要体现在以下方面：</w:t>
      </w:r>
    </w:p>
    <w:p>
      <w:pPr>
        <w:pStyle w:val="BodyText"/>
        <w:spacing w:line="468" w:lineRule="exact" w:before="10"/>
        <w:ind w:left="501" w:right="183"/>
        <w:jc w:val="left"/>
      </w:pPr>
      <w:r>
        <w:rPr>
          <w:rFonts w:ascii="Times New Roman" w:hAnsi="Times New Roman" w:cs="Times New Roman" w:eastAsia="Times New Roman" w:hint="default"/>
          <w:b/>
          <w:bCs/>
        </w:rPr>
        <w:t>1</w:t>
      </w:r>
      <w:r>
        <w:rPr>
          <w:rFonts w:ascii="宋体" w:hAnsi="宋体" w:cs="宋体" w:eastAsia="宋体" w:hint="default"/>
          <w:b/>
          <w:bCs/>
        </w:rPr>
        <w:t>、技术优势</w:t>
      </w:r>
      <w:r>
        <w:rPr>
          <w:rFonts w:ascii="宋体" w:hAnsi="宋体" w:cs="宋体" w:eastAsia="宋体" w:hint="default"/>
          <w:b/>
          <w:bCs/>
          <w:w w:val="99"/>
        </w:rPr>
        <w:t> </w:t>
      </w:r>
      <w:r>
        <w:rPr/>
        <w:t>公司具有先进的技术平台，是国内少有的掌握核心测序技术的企业之一。公司凭借先进的测序和检测技</w:t>
      </w:r>
    </w:p>
    <w:p>
      <w:pPr>
        <w:pStyle w:val="BodyText"/>
        <w:spacing w:line="316" w:lineRule="auto" w:before="8"/>
        <w:ind w:left="142" w:right="195"/>
        <w:jc w:val="both"/>
      </w:pPr>
      <w:r>
        <w:rPr/>
        <w:t>术、高效的信息分析能力、丰富的生物资源，搭建了世界先进的多技术平台，可实现从中心法则到结构与功</w:t>
      </w:r>
      <w:r>
        <w:rPr>
          <w:spacing w:val="-57"/>
        </w:rPr>
        <w:t> </w:t>
      </w:r>
      <w:r>
        <w:rPr>
          <w:spacing w:val="-57"/>
        </w:rPr>
      </w:r>
      <w:r>
        <w:rPr>
          <w:spacing w:val="-3"/>
        </w:rPr>
        <w:t>能的贯穿研究，构建生物技术与信息技术相融合的网络体系。目前拥有测序平台、质谱平台、信息平台、自主</w:t>
      </w:r>
      <w:r>
        <w:rPr>
          <w:spacing w:val="-83"/>
        </w:rPr>
        <w:t> </w:t>
      </w:r>
      <w:r>
        <w:rPr>
          <w:spacing w:val="-83"/>
        </w:rPr>
      </w:r>
      <w:r>
        <w:rPr/>
        <w:t>研发的技术平台（包括癌症个体化诊疗技术、肿瘤低频检测技术、人体共生微生物和健康研究、蛋白质组学</w:t>
      </w:r>
      <w:r>
        <w:rPr>
          <w:spacing w:val="-57"/>
        </w:rPr>
        <w:t> </w:t>
      </w:r>
      <w:r>
        <w:rPr>
          <w:spacing w:val="-57"/>
        </w:rPr>
      </w:r>
      <w:r>
        <w:rPr/>
        <w:t>研究、代谢组研究）等技术体系及资源库，以强大的平台实力为大众提供服务。</w:t>
      </w:r>
    </w:p>
    <w:p>
      <w:pPr>
        <w:spacing w:line="240" w:lineRule="auto" w:before="5"/>
        <w:rPr>
          <w:rFonts w:ascii="宋体" w:hAnsi="宋体" w:cs="宋体" w:eastAsia="宋体" w:hint="default"/>
          <w:sz w:val="13"/>
          <w:szCs w:val="13"/>
        </w:rPr>
      </w:pPr>
    </w:p>
    <w:p>
      <w:pPr>
        <w:pStyle w:val="BodyText"/>
        <w:spacing w:line="300" w:lineRule="auto"/>
        <w:ind w:left="142" w:right="192" w:firstLine="359"/>
        <w:jc w:val="both"/>
      </w:pPr>
      <w:r>
        <w:rPr/>
        <w:t>截止报告期末，公司及其全资、控股子公司拥有的已获授权专利共计</w:t>
      </w:r>
      <w:r>
        <w:rPr>
          <w:rFonts w:ascii="Times New Roman" w:hAnsi="Times New Roman" w:cs="Times New Roman" w:eastAsia="Times New Roman" w:hint="default"/>
        </w:rPr>
        <w:t>282</w:t>
      </w:r>
      <w:r>
        <w:rPr/>
        <w:t>项，其中发明专利</w:t>
      </w:r>
      <w:r>
        <w:rPr>
          <w:rFonts w:ascii="Times New Roman" w:hAnsi="Times New Roman" w:cs="Times New Roman" w:eastAsia="Times New Roman" w:hint="default"/>
        </w:rPr>
        <w:t>263</w:t>
      </w:r>
      <w:r>
        <w:rPr/>
        <w:t>项，实用 </w:t>
      </w:r>
      <w:r>
        <w:rPr>
          <w:spacing w:val="-3"/>
        </w:rPr>
        <w:t>新型专利</w:t>
      </w:r>
      <w:r>
        <w:rPr>
          <w:rFonts w:ascii="Times New Roman" w:hAnsi="Times New Roman" w:cs="Times New Roman" w:eastAsia="Times New Roman" w:hint="default"/>
          <w:spacing w:val="-3"/>
        </w:rPr>
        <w:t>10</w:t>
      </w:r>
      <w:r>
        <w:rPr>
          <w:spacing w:val="-3"/>
        </w:rPr>
        <w:t>项，外观设计专利</w:t>
      </w:r>
      <w:r>
        <w:rPr>
          <w:rFonts w:ascii="Times New Roman" w:hAnsi="Times New Roman" w:cs="Times New Roman" w:eastAsia="Times New Roman" w:hint="default"/>
          <w:spacing w:val="-3"/>
        </w:rPr>
        <w:t>9</w:t>
      </w:r>
      <w:r>
        <w:rPr>
          <w:spacing w:val="-3"/>
        </w:rPr>
        <w:t>项；自有注册商标</w:t>
      </w:r>
      <w:r>
        <w:rPr>
          <w:rFonts w:ascii="Times New Roman" w:hAnsi="Times New Roman" w:cs="Times New Roman" w:eastAsia="Times New Roman" w:hint="default"/>
          <w:spacing w:val="-3"/>
        </w:rPr>
        <w:t>366</w:t>
      </w:r>
      <w:r>
        <w:rPr>
          <w:spacing w:val="-3"/>
        </w:rPr>
        <w:t>项。核心技术专利范围涵盖实验仪器、样品处理、测序文</w:t>
      </w:r>
      <w:r>
        <w:rPr>
          <w:spacing w:val="-78"/>
        </w:rPr>
        <w:t> </w:t>
      </w:r>
      <w:r>
        <w:rPr>
          <w:spacing w:val="-78"/>
        </w:rPr>
      </w:r>
      <w:r>
        <w:rPr>
          <w:spacing w:val="-1"/>
        </w:rPr>
        <w:t>库构建、质量控制、生物信息分析等各个关键技术环节，其中公司生物信息分析等方面自主软件还取得了</w:t>
      </w:r>
      <w:r>
        <w:rPr>
          <w:rFonts w:ascii="Times New Roman" w:hAnsi="Times New Roman" w:cs="Times New Roman" w:eastAsia="Times New Roman" w:hint="default"/>
          <w:spacing w:val="-1"/>
        </w:rPr>
        <w:t>460</w:t>
      </w:r>
      <w:r>
        <w:rPr>
          <w:rFonts w:ascii="Times New Roman" w:hAnsi="Times New Roman" w:cs="Times New Roman" w:eastAsia="Times New Roman" w:hint="default"/>
          <w:spacing w:val="-40"/>
        </w:rPr>
        <w:t> </w:t>
      </w:r>
      <w:r>
        <w:rPr/>
        <w:t>项软件著作权。</w:t>
      </w:r>
    </w:p>
    <w:p>
      <w:pPr>
        <w:pStyle w:val="BodyText"/>
        <w:spacing w:line="468" w:lineRule="exact" w:before="23"/>
        <w:ind w:left="501" w:right="184"/>
        <w:jc w:val="left"/>
      </w:pPr>
      <w:r>
        <w:rPr>
          <w:rFonts w:ascii="Times New Roman" w:hAnsi="Times New Roman" w:cs="Times New Roman" w:eastAsia="Times New Roman" w:hint="default"/>
          <w:b/>
          <w:bCs/>
        </w:rPr>
        <w:t>2</w:t>
      </w:r>
      <w:r>
        <w:rPr>
          <w:rFonts w:ascii="宋体" w:hAnsi="宋体" w:cs="宋体" w:eastAsia="宋体" w:hint="default"/>
          <w:b/>
          <w:bCs/>
        </w:rPr>
        <w:t>、资质优势</w:t>
      </w:r>
      <w:r>
        <w:rPr>
          <w:rFonts w:ascii="宋体" w:hAnsi="宋体" w:cs="宋体" w:eastAsia="宋体" w:hint="default"/>
          <w:b/>
          <w:bCs/>
          <w:w w:val="99"/>
        </w:rPr>
        <w:t> </w:t>
      </w:r>
      <w:r>
        <w:rPr>
          <w:spacing w:val="-1"/>
        </w:rPr>
        <w:t>公司具有全面的监管部门认证优势。</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月起，华大基因下属</w:t>
      </w:r>
      <w:r>
        <w:rPr>
          <w:rFonts w:ascii="Times New Roman" w:hAnsi="Times New Roman" w:cs="Times New Roman" w:eastAsia="Times New Roman" w:hint="default"/>
          <w:spacing w:val="-1"/>
        </w:rPr>
        <w:t>5</w:t>
      </w:r>
      <w:r>
        <w:rPr>
          <w:spacing w:val="-1"/>
        </w:rPr>
        <w:t>家子公司陆续获得了首批遗传病诊断</w:t>
      </w:r>
    </w:p>
    <w:p>
      <w:pPr>
        <w:pStyle w:val="BodyText"/>
        <w:spacing w:line="307" w:lineRule="auto" w:before="8"/>
        <w:ind w:left="142" w:right="196"/>
        <w:jc w:val="both"/>
      </w:pPr>
      <w:r>
        <w:rPr/>
        <w:t>专业、产前筛查与诊断专业、植入前胚胎遗传学诊断专业、肿瘤诊断与治疗的高通量基因测序技术临床应用</w:t>
      </w:r>
      <w:r>
        <w:rPr>
          <w:spacing w:val="-57"/>
        </w:rPr>
        <w:t> </w:t>
      </w:r>
      <w:r>
        <w:rPr>
          <w:spacing w:val="-57"/>
        </w:rPr>
      </w:r>
      <w:r>
        <w:rPr/>
        <w:t>试点单位资质。截至报告期末，子公司北京医检等</w:t>
      </w:r>
      <w:r>
        <w:rPr>
          <w:rFonts w:ascii="Times New Roman" w:hAnsi="Times New Roman" w:cs="Times New Roman" w:eastAsia="Times New Roman" w:hint="default"/>
        </w:rPr>
        <w:t>12</w:t>
      </w:r>
      <w:r>
        <w:rPr/>
        <w:t>家单位获得临床基因扩增检验实验室设置批复，深圳临</w:t>
      </w:r>
      <w:r>
        <w:rPr>
          <w:spacing w:val="-55"/>
        </w:rPr>
        <w:t> </w:t>
      </w:r>
      <w:r>
        <w:rPr>
          <w:spacing w:val="-55"/>
        </w:rPr>
      </w:r>
      <w:r>
        <w:rPr/>
        <w:t>检等</w:t>
      </w:r>
      <w:r>
        <w:rPr>
          <w:rFonts w:ascii="Times New Roman" w:hAnsi="Times New Roman" w:cs="Times New Roman" w:eastAsia="Times New Roman" w:hint="default"/>
        </w:rPr>
        <w:t>14</w:t>
      </w:r>
      <w:r>
        <w:rPr/>
        <w:t>家单位拥有医疗机构执业许可证书。</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月，华大基因</w:t>
      </w:r>
      <w:r>
        <w:rPr>
          <w:rFonts w:ascii="Times New Roman" w:hAnsi="Times New Roman" w:cs="Times New Roman" w:eastAsia="Times New Roman" w:hint="default"/>
        </w:rPr>
        <w:t>BGISEQ-500</w:t>
      </w:r>
      <w:r>
        <w:rPr/>
        <w:t>基因测序仪器及</w:t>
      </w:r>
      <w:r>
        <w:rPr>
          <w:spacing w:val="-49"/>
        </w:rPr>
        <w:t> </w:t>
      </w:r>
      <w:r>
        <w:rPr>
          <w:spacing w:val="-49"/>
        </w:rPr>
      </w:r>
      <w:r>
        <w:rPr/>
        <w:t>无创产前基因测序业务的配套试剂获得了</w:t>
      </w:r>
      <w:r>
        <w:rPr>
          <w:rFonts w:ascii="Times New Roman" w:hAnsi="Times New Roman" w:cs="Times New Roman" w:eastAsia="Times New Roman" w:hint="default"/>
        </w:rPr>
        <w:t>CFDA</w:t>
      </w:r>
      <w:r>
        <w:rPr/>
        <w:t>医疗器械注册。</w:t>
      </w:r>
    </w:p>
    <w:p>
      <w:pPr>
        <w:spacing w:line="240" w:lineRule="auto" w:before="6"/>
        <w:rPr>
          <w:rFonts w:ascii="宋体" w:hAnsi="宋体" w:cs="宋体" w:eastAsia="宋体" w:hint="default"/>
          <w:sz w:val="12"/>
          <w:szCs w:val="12"/>
        </w:rPr>
      </w:pPr>
    </w:p>
    <w:p>
      <w:pPr>
        <w:pStyle w:val="BodyText"/>
        <w:spacing w:line="300" w:lineRule="auto"/>
        <w:ind w:left="142" w:right="98" w:firstLine="359"/>
        <w:jc w:val="left"/>
      </w:pPr>
      <w:r>
        <w:rPr/>
        <w:t>公司格外注重检测质量，视质量如命脉，坚持</w:t>
      </w:r>
      <w:r>
        <w:rPr>
          <w:rFonts w:ascii="Times New Roman" w:hAnsi="Times New Roman" w:cs="Times New Roman" w:eastAsia="Times New Roman" w:hint="default"/>
        </w:rPr>
        <w:t>“</w:t>
      </w:r>
      <w:r>
        <w:rPr/>
        <w:t>引领行业需先引领质量</w:t>
      </w:r>
      <w:r>
        <w:rPr>
          <w:rFonts w:ascii="Times New Roman" w:hAnsi="Times New Roman" w:cs="Times New Roman" w:eastAsia="Times New Roman" w:hint="default"/>
        </w:rPr>
        <w:t>”</w:t>
      </w:r>
      <w:r>
        <w:rPr/>
        <w:t>，严格恪守</w:t>
      </w:r>
      <w:r>
        <w:rPr>
          <w:rFonts w:ascii="Times New Roman" w:hAnsi="Times New Roman" w:cs="Times New Roman" w:eastAsia="Times New Roman" w:hint="default"/>
        </w:rPr>
        <w:t>“</w:t>
      </w:r>
      <w:r>
        <w:rPr/>
        <w:t>公正、科学、严谨、 </w:t>
      </w:r>
      <w:r>
        <w:rPr>
          <w:spacing w:val="-4"/>
        </w:rPr>
        <w:t>准确、及时</w:t>
      </w:r>
      <w:r>
        <w:rPr>
          <w:rFonts w:ascii="Times New Roman" w:hAnsi="Times New Roman" w:cs="Times New Roman" w:eastAsia="Times New Roman" w:hint="default"/>
          <w:spacing w:val="-4"/>
        </w:rPr>
        <w:t>”</w:t>
      </w:r>
      <w:r>
        <w:rPr>
          <w:spacing w:val="-4"/>
        </w:rPr>
        <w:t>的质量方针。公司通过了质量（</w:t>
      </w:r>
      <w:r>
        <w:rPr>
          <w:rFonts w:ascii="Times New Roman" w:hAnsi="Times New Roman" w:cs="Times New Roman" w:eastAsia="Times New Roman" w:hint="default"/>
          <w:spacing w:val="-4"/>
        </w:rPr>
        <w:t>ISO </w:t>
      </w:r>
      <w:r>
        <w:rPr>
          <w:rFonts w:ascii="Times New Roman" w:hAnsi="Times New Roman" w:cs="Times New Roman" w:eastAsia="Times New Roman" w:hint="default"/>
          <w:spacing w:val="-7"/>
        </w:rPr>
        <w:t>9001</w:t>
      </w:r>
      <w:r>
        <w:rPr>
          <w:spacing w:val="-7"/>
        </w:rPr>
        <w:t>）、环境（</w:t>
      </w:r>
      <w:r>
        <w:rPr>
          <w:rFonts w:ascii="Times New Roman" w:hAnsi="Times New Roman" w:cs="Times New Roman" w:eastAsia="Times New Roman" w:hint="default"/>
          <w:spacing w:val="-7"/>
        </w:rPr>
        <w:t>ISO </w:t>
      </w:r>
      <w:r>
        <w:rPr>
          <w:rFonts w:ascii="Times New Roman" w:hAnsi="Times New Roman" w:cs="Times New Roman" w:eastAsia="Times New Roman" w:hint="default"/>
          <w:spacing w:val="-5"/>
        </w:rPr>
        <w:t>14001</w:t>
      </w:r>
      <w:r>
        <w:rPr>
          <w:spacing w:val="-5"/>
        </w:rPr>
        <w:t>）、职业健康安全（</w:t>
      </w:r>
      <w:r>
        <w:rPr>
          <w:rFonts w:ascii="Times New Roman" w:hAnsi="Times New Roman" w:cs="Times New Roman" w:eastAsia="Times New Roman" w:hint="default"/>
          <w:spacing w:val="-5"/>
        </w:rPr>
        <w:t>OHSAS </w:t>
      </w:r>
      <w:r>
        <w:rPr>
          <w:rFonts w:ascii="Times New Roman" w:hAnsi="Times New Roman" w:cs="Times New Roman" w:eastAsia="Times New Roman" w:hint="default"/>
        </w:rPr>
        <w:t>18001</w:t>
      </w:r>
      <w:r>
        <w:rPr/>
        <w:t>）</w:t>
      </w:r>
      <w:r>
        <w:rPr>
          <w:spacing w:val="-79"/>
        </w:rPr>
        <w:t> </w:t>
      </w:r>
      <w:r>
        <w:rPr>
          <w:spacing w:val="-5"/>
        </w:rPr>
        <w:t>和信息安全（</w:t>
      </w:r>
      <w:r>
        <w:rPr>
          <w:rFonts w:ascii="Times New Roman" w:hAnsi="Times New Roman" w:cs="Times New Roman" w:eastAsia="Times New Roman" w:hint="default"/>
          <w:spacing w:val="-5"/>
        </w:rPr>
        <w:t>ISO</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5"/>
        </w:rPr>
        <w:t>27001</w:t>
      </w:r>
      <w:r>
        <w:rPr>
          <w:spacing w:val="-5"/>
        </w:rPr>
        <w:t>）四个管理体系认证，和</w:t>
      </w:r>
      <w:r>
        <w:rPr>
          <w:rFonts w:ascii="Times New Roman" w:hAnsi="Times New Roman" w:cs="Times New Roman" w:eastAsia="Times New Roman" w:hint="default"/>
          <w:spacing w:val="-5"/>
        </w:rPr>
        <w:t>ISO</w:t>
      </w:r>
      <w:r>
        <w:rPr>
          <w:rFonts w:ascii="Times New Roman" w:hAnsi="Times New Roman" w:cs="Times New Roman" w:eastAsia="Times New Roman" w:hint="default"/>
          <w:spacing w:val="-18"/>
        </w:rPr>
        <w:t> </w:t>
      </w:r>
      <w:r>
        <w:rPr>
          <w:rFonts w:ascii="Times New Roman" w:hAnsi="Times New Roman" w:cs="Times New Roman" w:eastAsia="Times New Roman" w:hint="default"/>
        </w:rPr>
        <w:t>13485</w:t>
      </w:r>
      <w:r>
        <w:rPr/>
        <w:t>医疗器械质量管理体系认证、</w:t>
      </w:r>
      <w:r>
        <w:rPr>
          <w:rFonts w:ascii="Times New Roman" w:hAnsi="Times New Roman" w:cs="Times New Roman" w:eastAsia="Times New Roman" w:hint="default"/>
        </w:rPr>
        <w:t>CE</w:t>
      </w:r>
      <w:r>
        <w:rPr/>
        <w:t>认证以及</w:t>
      </w:r>
      <w:r>
        <w:rPr>
          <w:rFonts w:ascii="Times New Roman" w:hAnsi="Times New Roman" w:cs="Times New Roman" w:eastAsia="Times New Roman" w:hint="default"/>
        </w:rPr>
        <w:t>ISO</w:t>
      </w:r>
      <w:r>
        <w:rPr>
          <w:rFonts w:ascii="Times New Roman" w:hAnsi="Times New Roman" w:cs="Times New Roman" w:eastAsia="Times New Roman" w:hint="default"/>
          <w:spacing w:val="-18"/>
        </w:rPr>
        <w:t> </w:t>
      </w:r>
      <w:r>
        <w:rPr>
          <w:rFonts w:ascii="Times New Roman" w:hAnsi="Times New Roman" w:cs="Times New Roman" w:eastAsia="Times New Roman" w:hint="default"/>
        </w:rPr>
        <w:t>17025</w:t>
      </w:r>
      <w:r>
        <w:rPr>
          <w:rFonts w:ascii="Times New Roman" w:hAnsi="Times New Roman" w:cs="Times New Roman" w:eastAsia="Times New Roman" w:hint="default"/>
        </w:rPr>
        <w:t> </w:t>
      </w:r>
      <w:r>
        <w:rPr>
          <w:spacing w:val="-3"/>
        </w:rPr>
        <w:t>检测实验室认可、</w:t>
      </w:r>
      <w:r>
        <w:rPr>
          <w:rFonts w:ascii="Times New Roman" w:hAnsi="Times New Roman" w:cs="Times New Roman" w:eastAsia="Times New Roman" w:hint="default"/>
          <w:spacing w:val="-3"/>
        </w:rPr>
        <w:t>ISO</w:t>
      </w:r>
      <w:r>
        <w:rPr>
          <w:rFonts w:ascii="Times New Roman" w:hAnsi="Times New Roman" w:cs="Times New Roman" w:eastAsia="Times New Roman" w:hint="default"/>
          <w:spacing w:val="-20"/>
        </w:rPr>
        <w:t> </w:t>
      </w:r>
      <w:r>
        <w:rPr>
          <w:rFonts w:ascii="Times New Roman" w:hAnsi="Times New Roman" w:cs="Times New Roman" w:eastAsia="Times New Roman" w:hint="default"/>
        </w:rPr>
        <w:t>15189</w:t>
      </w:r>
      <w:r>
        <w:rPr/>
        <w:t>医学实验室认可，美国</w:t>
      </w:r>
      <w:r>
        <w:rPr>
          <w:rFonts w:ascii="Times New Roman" w:hAnsi="Times New Roman" w:cs="Times New Roman" w:eastAsia="Times New Roman" w:hint="default"/>
        </w:rPr>
        <w:t>CLIA</w:t>
      </w:r>
      <w:r>
        <w:rPr/>
        <w:t>认证和</w:t>
      </w:r>
      <w:r>
        <w:rPr>
          <w:rFonts w:ascii="Times New Roman" w:hAnsi="Times New Roman" w:cs="Times New Roman" w:eastAsia="Times New Roman" w:hint="default"/>
        </w:rPr>
        <w:t>CAP</w:t>
      </w:r>
      <w:r>
        <w:rPr/>
        <w:t>美国病理学家协会认可等多项专业实验室 认证认可。此外公司的实验室信息管理系统还通过了按照美国</w:t>
      </w:r>
      <w:r>
        <w:rPr>
          <w:rFonts w:ascii="Times New Roman" w:hAnsi="Times New Roman" w:cs="Times New Roman" w:eastAsia="Times New Roman" w:hint="default"/>
        </w:rPr>
        <w:t>FDA 21 CFR PART </w:t>
      </w:r>
      <w:r>
        <w:rPr>
          <w:rFonts w:ascii="Times New Roman" w:hAnsi="Times New Roman" w:cs="Times New Roman" w:eastAsia="Times New Roman" w:hint="default"/>
          <w:spacing w:val="1"/>
        </w:rPr>
        <w:t> </w:t>
      </w:r>
      <w:r>
        <w:rPr>
          <w:rFonts w:ascii="Times New Roman" w:hAnsi="Times New Roman" w:cs="Times New Roman" w:eastAsia="Times New Roman" w:hint="default"/>
        </w:rPr>
        <w:t>11</w:t>
      </w:r>
      <w:r>
        <w:rPr/>
        <w:t>法规进行的第三方验证。</w:t>
      </w:r>
    </w:p>
    <w:p>
      <w:pPr>
        <w:spacing w:line="468" w:lineRule="exact" w:before="5"/>
        <w:ind w:left="501" w:right="18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、基因检测实验室规模和布局优势</w:t>
      </w:r>
      <w:r>
        <w:rPr>
          <w:rFonts w:ascii="宋体" w:hAnsi="宋体" w:cs="宋体" w:eastAsia="宋体" w:hint="default"/>
          <w:b/>
          <w:bCs/>
          <w:w w:val="99"/>
          <w:sz w:val="18"/>
          <w:szCs w:val="18"/>
        </w:rPr>
        <w:t> </w:t>
      </w:r>
      <w:r>
        <w:rPr>
          <w:rFonts w:ascii="宋体" w:hAnsi="宋体" w:cs="宋体" w:eastAsia="宋体" w:hint="default"/>
          <w:sz w:val="18"/>
          <w:szCs w:val="18"/>
        </w:rPr>
        <w:t>公司具有实验室规模和布局优势。公司在高通量测序实验室、分子实验室等生物学实验室建设方面有着</w:t>
      </w:r>
    </w:p>
    <w:p>
      <w:pPr>
        <w:pStyle w:val="BodyText"/>
        <w:spacing w:line="300" w:lineRule="auto" w:before="8"/>
        <w:ind w:left="142" w:right="195"/>
        <w:jc w:val="both"/>
      </w:pPr>
      <w:r>
        <w:rPr/>
        <w:t>较为深厚实力和丰富的经验。目前公司下属医检所拥有的实验室总面积约</w:t>
      </w:r>
      <w:r>
        <w:rPr>
          <w:rFonts w:ascii="Times New Roman" w:hAnsi="Times New Roman" w:cs="Times New Roman" w:eastAsia="Times New Roman" w:hint="default"/>
        </w:rPr>
        <w:t>2.7</w:t>
      </w:r>
      <w:r>
        <w:rPr/>
        <w:t>万平方米。公司将基因测序技术 应用于临床，其中基于高通量测序技术检测，以无创产前基因检测、</w:t>
      </w:r>
      <w:r>
        <w:rPr>
          <w:rFonts w:ascii="Times New Roman" w:hAnsi="Times New Roman" w:cs="Times New Roman" w:eastAsia="Times New Roman" w:hint="default"/>
        </w:rPr>
        <w:t>HPV</w:t>
      </w:r>
      <w:r>
        <w:rPr/>
        <w:t>基因检测、肿瘤基因检测及遗传病</w:t>
      </w:r>
      <w:r>
        <w:rPr>
          <w:spacing w:val="-54"/>
        </w:rPr>
        <w:t> </w:t>
      </w:r>
      <w:r>
        <w:rPr>
          <w:spacing w:val="-54"/>
        </w:rPr>
      </w:r>
      <w:r>
        <w:rPr/>
        <w:t>基因检测为典型实例，已成为目前世界上最大的医学基因检测中心之一，并获得广泛认可。</w:t>
      </w:r>
    </w:p>
    <w:p>
      <w:pPr>
        <w:spacing w:line="240" w:lineRule="auto" w:before="4"/>
        <w:rPr>
          <w:rFonts w:ascii="宋体" w:hAnsi="宋体" w:cs="宋体" w:eastAsia="宋体" w:hint="default"/>
          <w:sz w:val="14"/>
          <w:szCs w:val="14"/>
        </w:rPr>
      </w:pPr>
    </w:p>
    <w:p>
      <w:pPr>
        <w:pStyle w:val="BodyText"/>
        <w:spacing w:line="316" w:lineRule="auto"/>
        <w:ind w:left="142" w:right="202" w:firstLine="359"/>
        <w:jc w:val="both"/>
      </w:pPr>
      <w:r>
        <w:rPr/>
        <w:t>目前，公司已经与全国上千家医疗机构开展合作，其拥有全球先进的基因组研究平台和生物信息分析能 力，完全具备筹备大型基因组学实验平台能力，有能力建设基因组临床应用转化平台，可提供基因组学高通</w:t>
      </w:r>
      <w:r>
        <w:rPr>
          <w:spacing w:val="-57"/>
        </w:rPr>
        <w:t> </w:t>
      </w:r>
      <w:r>
        <w:rPr>
          <w:spacing w:val="-57"/>
        </w:rPr>
      </w:r>
      <w:r>
        <w:rPr/>
        <w:t>量测序、生物学数据分析及报告解读能力的系统解决方案。</w:t>
      </w:r>
    </w:p>
    <w:p>
      <w:pPr>
        <w:spacing w:line="240" w:lineRule="auto" w:before="5"/>
        <w:rPr>
          <w:rFonts w:ascii="宋体" w:hAnsi="宋体" w:cs="宋体" w:eastAsia="宋体" w:hint="default"/>
          <w:sz w:val="13"/>
          <w:szCs w:val="13"/>
        </w:rPr>
      </w:pPr>
    </w:p>
    <w:p>
      <w:pPr>
        <w:pStyle w:val="Heading4"/>
        <w:spacing w:line="240" w:lineRule="auto" w:before="0"/>
        <w:ind w:left="501" w:right="183"/>
        <w:jc w:val="left"/>
        <w:rPr>
          <w:b w:val="0"/>
          <w:bCs w:val="0"/>
        </w:rPr>
      </w:pPr>
      <w:r>
        <w:rPr>
          <w:rFonts w:ascii="Times New Roman" w:hAnsi="Times New Roman" w:cs="Times New Roman" w:eastAsia="Times New Roman" w:hint="default"/>
        </w:rPr>
        <w:t>4</w:t>
      </w:r>
      <w:r>
        <w:rPr/>
        <w:t>、临床研究优势</w:t>
      </w:r>
      <w:r>
        <w:rPr>
          <w:b w:val="0"/>
          <w:bCs w:val="0"/>
        </w:rPr>
      </w:r>
    </w:p>
    <w:p>
      <w:pPr>
        <w:spacing w:after="0" w:line="240" w:lineRule="auto"/>
        <w:jc w:val="left"/>
        <w:sectPr>
          <w:pgSz w:w="11910" w:h="16840"/>
          <w:pgMar w:header="880" w:footer="974" w:top="1100" w:bottom="1160" w:left="1560" w:right="1500"/>
        </w:sectPr>
      </w:pPr>
    </w:p>
    <w:p>
      <w:pPr>
        <w:spacing w:line="240" w:lineRule="auto" w:before="0"/>
        <w:rPr>
          <w:rFonts w:ascii="宋体" w:hAnsi="宋体" w:cs="宋体" w:eastAsia="宋体" w:hint="default"/>
          <w:b/>
          <w:bCs/>
          <w:sz w:val="22"/>
          <w:szCs w:val="22"/>
        </w:rPr>
      </w:pPr>
    </w:p>
    <w:p>
      <w:pPr>
        <w:pStyle w:val="BodyText"/>
        <w:spacing w:line="312" w:lineRule="auto" w:before="44"/>
        <w:ind w:left="142" w:right="135" w:firstLine="359"/>
        <w:jc w:val="both"/>
      </w:pPr>
      <w:r>
        <w:rPr/>
        <w:t>公司积累了丰富的临床研究案例。临床检测、疾病防治及生物制药的针对性和准确性需要大样本量数据 的支撑，以便验证技术的可靠性，确定最佳策略，同时充分考虑种群的差异。华大基因依托自身强大的科研</w:t>
      </w:r>
      <w:r>
        <w:rPr>
          <w:spacing w:val="-57"/>
        </w:rPr>
        <w:t> </w:t>
      </w:r>
      <w:r>
        <w:rPr>
          <w:spacing w:val="-57"/>
        </w:rPr>
      </w:r>
      <w:r>
        <w:rPr>
          <w:spacing w:val="-3"/>
        </w:rPr>
        <w:t>和技术实力，开展涉及生育健康、遗传病、血液病、病原微生物、肿瘤等领域的检测服务，为人类提供贯穿整</w:t>
      </w:r>
      <w:r>
        <w:rPr>
          <w:spacing w:val="-83"/>
        </w:rPr>
        <w:t> </w:t>
      </w:r>
      <w:r>
        <w:rPr>
          <w:spacing w:val="-83"/>
        </w:rPr>
      </w:r>
      <w:r>
        <w:rPr>
          <w:spacing w:val="-1"/>
        </w:rPr>
        <w:t>个生命周期的健康服务。截至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日，华大基因已完成超过</w:t>
      </w:r>
      <w:r>
        <w:rPr>
          <w:rFonts w:ascii="Times New Roman" w:hAnsi="Times New Roman" w:cs="Times New Roman" w:eastAsia="Times New Roman" w:hint="default"/>
          <w:spacing w:val="-1"/>
        </w:rPr>
        <w:t>280</w:t>
      </w:r>
      <w:r>
        <w:rPr>
          <w:spacing w:val="-1"/>
        </w:rPr>
        <w:t>万例无创产前基因检测，检出率和特</w:t>
      </w:r>
      <w:r>
        <w:rPr/>
        <w:t> </w:t>
      </w:r>
      <w:r>
        <w:rPr>
          <w:spacing w:val="-3"/>
        </w:rPr>
        <w:t>异性均大于</w:t>
      </w:r>
      <w:r>
        <w:rPr>
          <w:rFonts w:ascii="Times New Roman" w:hAnsi="Times New Roman" w:cs="Times New Roman" w:eastAsia="Times New Roman" w:hint="default"/>
          <w:spacing w:val="-3"/>
        </w:rPr>
        <w:t>99%</w:t>
      </w:r>
      <w:r>
        <w:rPr>
          <w:spacing w:val="-3"/>
        </w:rPr>
        <w:t>。大型科研项目样本的积累，多样化的临床研究案例，丰富的临床检测经验是保障华大基因能</w:t>
      </w:r>
      <w:r>
        <w:rPr>
          <w:spacing w:val="-52"/>
        </w:rPr>
        <w:t> </w:t>
      </w:r>
      <w:r>
        <w:rPr>
          <w:spacing w:val="-52"/>
        </w:rPr>
      </w:r>
      <w:r>
        <w:rPr/>
        <w:t>够提供优质服务的基础。</w:t>
      </w:r>
    </w:p>
    <w:p>
      <w:pPr>
        <w:pStyle w:val="BodyText"/>
        <w:spacing w:line="468" w:lineRule="exact" w:before="14"/>
        <w:ind w:left="501" w:right="128"/>
        <w:jc w:val="left"/>
      </w:pPr>
      <w:r>
        <w:rPr>
          <w:rFonts w:ascii="Times New Roman" w:hAnsi="Times New Roman" w:cs="Times New Roman" w:eastAsia="Times New Roman" w:hint="default"/>
          <w:b/>
          <w:bCs/>
        </w:rPr>
        <w:t>5</w:t>
      </w:r>
      <w:r>
        <w:rPr>
          <w:rFonts w:ascii="宋体" w:hAnsi="宋体" w:cs="宋体" w:eastAsia="宋体" w:hint="default"/>
          <w:b/>
          <w:bCs/>
        </w:rPr>
        <w:t>、基因组数据库优势</w:t>
      </w:r>
      <w:r>
        <w:rPr>
          <w:rFonts w:ascii="宋体" w:hAnsi="宋体" w:cs="宋体" w:eastAsia="宋体" w:hint="default"/>
          <w:b/>
          <w:bCs/>
          <w:w w:val="99"/>
        </w:rPr>
        <w:t> </w:t>
      </w:r>
      <w:r>
        <w:rPr/>
        <w:t>公司具有丰富的基因组数据库。测序技术的发展使得基因测序变得简单易行，很多实验室都能实现，然</w:t>
      </w:r>
    </w:p>
    <w:p>
      <w:pPr>
        <w:pStyle w:val="BodyText"/>
        <w:spacing w:line="319" w:lineRule="auto" w:before="8"/>
        <w:ind w:left="142" w:right="145"/>
        <w:jc w:val="both"/>
      </w:pPr>
      <w:r>
        <w:rPr/>
        <w:t>而检测结果的解读却非常困难，因为这依赖于大量人群数据基础上的数据库。公司自成立初就开始部署计算</w:t>
      </w:r>
      <w:r>
        <w:rPr>
          <w:spacing w:val="-57"/>
        </w:rPr>
        <w:t> </w:t>
      </w:r>
      <w:r>
        <w:rPr>
          <w:spacing w:val="-57"/>
        </w:rPr>
      </w:r>
      <w:r>
        <w:rPr/>
        <w:t>机资源，同时对信息领域人才的引进一直非常重视。公司在科研和产业化过程中不断积累数据，形成了庞大</w:t>
      </w:r>
      <w:r>
        <w:rPr>
          <w:spacing w:val="-57"/>
        </w:rPr>
        <w:t> </w:t>
      </w:r>
      <w:r>
        <w:rPr>
          <w:spacing w:val="-57"/>
        </w:rPr>
      </w:r>
      <w:r>
        <w:rPr/>
        <w:t>的数据库，数据积累使得公司具有更精准的分析能力和更强的检出能力，形成了公司的核心竞争力。</w:t>
      </w:r>
    </w:p>
    <w:p>
      <w:pPr>
        <w:spacing w:line="468" w:lineRule="exact" w:before="9"/>
        <w:ind w:left="501" w:right="12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、全球布局及客户资源优势</w:t>
      </w:r>
      <w:r>
        <w:rPr>
          <w:rFonts w:ascii="宋体" w:hAnsi="宋体" w:cs="宋体" w:eastAsia="宋体" w:hint="default"/>
          <w:b/>
          <w:bCs/>
          <w:w w:val="99"/>
          <w:sz w:val="18"/>
          <w:szCs w:val="18"/>
        </w:rPr>
        <w:t> </w:t>
      </w:r>
      <w:r>
        <w:rPr>
          <w:rFonts w:ascii="宋体" w:hAnsi="宋体" w:cs="宋体" w:eastAsia="宋体" w:hint="default"/>
          <w:spacing w:val="-3"/>
          <w:sz w:val="18"/>
          <w:szCs w:val="18"/>
        </w:rPr>
        <w:t>公司总部位于中国深圳，在北京、天津、武汉、上海、广州等国内主要城市设有分支机构和医学检验所，</w:t>
      </w:r>
    </w:p>
    <w:p>
      <w:pPr>
        <w:pStyle w:val="BodyText"/>
        <w:spacing w:line="312" w:lineRule="auto" w:before="8"/>
        <w:ind w:left="142" w:right="136"/>
        <w:jc w:val="both"/>
      </w:pPr>
      <w:r>
        <w:rPr>
          <w:spacing w:val="-3"/>
        </w:rPr>
        <w:t>并在香港、欧洲、美洲、亚太等地区设有海外中心和核心实验室，已形成</w:t>
      </w:r>
      <w:r>
        <w:rPr>
          <w:rFonts w:ascii="Times New Roman" w:hAnsi="Times New Roman" w:cs="Times New Roman" w:eastAsia="Times New Roman" w:hint="default"/>
          <w:spacing w:val="-3"/>
        </w:rPr>
        <w:t>“</w:t>
      </w:r>
      <w:r>
        <w:rPr>
          <w:spacing w:val="-3"/>
        </w:rPr>
        <w:t>覆盖全国、辐射全球</w:t>
      </w:r>
      <w:r>
        <w:rPr>
          <w:rFonts w:ascii="Times New Roman" w:hAnsi="Times New Roman" w:cs="Times New Roman" w:eastAsia="Times New Roman" w:hint="default"/>
          <w:spacing w:val="-3"/>
        </w:rPr>
        <w:t>”</w:t>
      </w:r>
      <w:r>
        <w:rPr>
          <w:spacing w:val="-3"/>
        </w:rPr>
        <w:t>的网络布局。</w:t>
      </w:r>
      <w:r>
        <w:rPr>
          <w:spacing w:val="-61"/>
        </w:rPr>
        <w:t> </w:t>
      </w:r>
      <w:r>
        <w:rPr>
          <w:spacing w:val="-3"/>
        </w:rPr>
        <w:t>公司主要服务于国内外的科研院校、研究所、独立实验室、制药公司等机构，以及国内外的各级医院、体检机</w:t>
      </w:r>
      <w:r>
        <w:rPr>
          <w:spacing w:val="-84"/>
        </w:rPr>
        <w:t> </w:t>
      </w:r>
      <w:r>
        <w:rPr>
          <w:spacing w:val="-84"/>
        </w:rPr>
      </w:r>
      <w:r>
        <w:rPr/>
        <w:t>构等医疗卫生机构、公司客户和大众客户。服务网络覆盖全球一百多个国家和地区，在全球拥有数千家合作</w:t>
      </w:r>
      <w:r>
        <w:rPr>
          <w:spacing w:val="-57"/>
        </w:rPr>
        <w:t> </w:t>
      </w:r>
      <w:r>
        <w:rPr>
          <w:spacing w:val="-57"/>
        </w:rPr>
      </w:r>
      <w:r>
        <w:rPr/>
        <w:t>单位及数千位合作伙伴。</w:t>
      </w:r>
    </w:p>
    <w:p>
      <w:pPr>
        <w:spacing w:after="0" w:line="312" w:lineRule="auto"/>
        <w:jc w:val="both"/>
        <w:sectPr>
          <w:pgSz w:w="11910" w:h="16840"/>
          <w:pgMar w:header="880" w:footer="974" w:top="1100" w:bottom="116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1"/>
        <w:spacing w:line="240" w:lineRule="auto"/>
        <w:ind w:left="2964" w:right="141"/>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336" w:firstLine="360"/>
        <w:jc w:val="both"/>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日在深圳证券交易所创业板上市，标志着公司向着</w:t>
      </w:r>
      <w:r>
        <w:rPr>
          <w:rFonts w:ascii="Times New Roman" w:hAnsi="Times New Roman" w:cs="Times New Roman" w:eastAsia="Times New Roman" w:hint="default"/>
        </w:rPr>
        <w:t>“</w:t>
      </w:r>
      <w:r>
        <w:rPr/>
        <w:t>基因科技造福人类</w:t>
      </w:r>
      <w:r>
        <w:rPr>
          <w:rFonts w:ascii="Times New Roman" w:hAnsi="Times New Roman" w:cs="Times New Roman" w:eastAsia="Times New Roman" w:hint="default"/>
        </w:rPr>
        <w:t>”</w:t>
      </w:r>
      <w:r>
        <w:rPr/>
        <w:t>的梦想迈出了一大步。公 </w:t>
      </w:r>
      <w:r>
        <w:rPr>
          <w:spacing w:val="-1"/>
        </w:rPr>
        <w:t>司坚持</w:t>
      </w:r>
      <w:r>
        <w:rPr>
          <w:rFonts w:ascii="Times New Roman" w:hAnsi="Times New Roman" w:cs="Times New Roman" w:eastAsia="Times New Roman" w:hint="default"/>
          <w:spacing w:val="-1"/>
        </w:rPr>
        <w:t>“</w:t>
      </w:r>
      <w:r>
        <w:rPr>
          <w:spacing w:val="-1"/>
        </w:rPr>
        <w:t>大目标导向</w:t>
      </w:r>
      <w:r>
        <w:rPr>
          <w:rFonts w:ascii="Times New Roman" w:hAnsi="Times New Roman" w:cs="Times New Roman" w:eastAsia="Times New Roman" w:hint="default"/>
          <w:spacing w:val="-1"/>
        </w:rPr>
        <w:t>”</w:t>
      </w:r>
      <w:r>
        <w:rPr>
          <w:spacing w:val="-1"/>
        </w:rPr>
        <w:t>的初心，坚持</w:t>
      </w:r>
      <w:r>
        <w:rPr>
          <w:rFonts w:ascii="Times New Roman" w:hAnsi="Times New Roman" w:cs="Times New Roman" w:eastAsia="Times New Roman" w:hint="default"/>
          <w:spacing w:val="-1"/>
        </w:rPr>
        <w:t>“</w:t>
      </w:r>
      <w:r>
        <w:rPr>
          <w:spacing w:val="-1"/>
        </w:rPr>
        <w:t>减少出生缺陷，加强肿瘤防控，精确治愈感染，助力精准医学</w:t>
      </w:r>
      <w:r>
        <w:rPr>
          <w:rFonts w:ascii="Times New Roman" w:hAnsi="Times New Roman" w:cs="Times New Roman" w:eastAsia="Times New Roman" w:hint="default"/>
          <w:spacing w:val="-1"/>
        </w:rPr>
        <w:t>”</w:t>
      </w:r>
      <w:r>
        <w:rPr>
          <w:spacing w:val="-1"/>
        </w:rPr>
        <w:t>的工作方针不动摇，经</w:t>
      </w:r>
      <w:r>
        <w:rPr>
          <w:spacing w:val="-88"/>
        </w:rPr>
        <w:t> </w:t>
      </w:r>
      <w:r>
        <w:rPr>
          <w:spacing w:val="-88"/>
        </w:rPr>
      </w:r>
      <w:r>
        <w:rPr>
          <w:spacing w:val="-4"/>
        </w:rPr>
        <w:t>营业绩稳步提升，进一步夯实公司在行业中的龙头地位。报告期内，公司实现营业收入</w:t>
      </w:r>
      <w:r>
        <w:rPr>
          <w:rFonts w:ascii="Times New Roman" w:hAnsi="Times New Roman" w:cs="Times New Roman" w:eastAsia="Times New Roman" w:hint="default"/>
          <w:spacing w:val="-4"/>
        </w:rPr>
        <w:t>209,554.43</w:t>
      </w:r>
      <w:r>
        <w:rPr>
          <w:spacing w:val="-4"/>
        </w:rPr>
        <w:t>万元，同比增长</w:t>
      </w:r>
      <w:r>
        <w:rPr>
          <w:rFonts w:ascii="Times New Roman" w:hAnsi="Times New Roman" w:cs="Times New Roman" w:eastAsia="Times New Roman" w:hint="default"/>
          <w:spacing w:val="-4"/>
        </w:rPr>
        <w:t>22.44%</w:t>
      </w:r>
      <w:r>
        <w:rPr>
          <w:spacing w:val="-4"/>
        </w:rPr>
        <w:t>；</w:t>
      </w:r>
      <w:r>
        <w:rPr>
          <w:spacing w:val="-41"/>
        </w:rPr>
        <w:t> </w:t>
      </w:r>
      <w:r>
        <w:rPr>
          <w:spacing w:val="-2"/>
        </w:rPr>
        <w:t>实现营业利润</w:t>
      </w:r>
      <w:r>
        <w:rPr>
          <w:rFonts w:ascii="Times New Roman" w:hAnsi="Times New Roman" w:cs="Times New Roman" w:eastAsia="Times New Roman" w:hint="default"/>
          <w:spacing w:val="-2"/>
        </w:rPr>
        <w:t>50,350.77</w:t>
      </w:r>
      <w:r>
        <w:rPr>
          <w:spacing w:val="-2"/>
        </w:rPr>
        <w:t>万元，同比增长</w:t>
      </w:r>
      <w:r>
        <w:rPr>
          <w:rFonts w:ascii="Times New Roman" w:hAnsi="Times New Roman" w:cs="Times New Roman" w:eastAsia="Times New Roman" w:hint="default"/>
          <w:spacing w:val="-2"/>
        </w:rPr>
        <w:t>32.25%</w:t>
      </w:r>
      <w:r>
        <w:rPr>
          <w:spacing w:val="-2"/>
        </w:rPr>
        <w:t>；实现利润总额</w:t>
      </w:r>
      <w:r>
        <w:rPr>
          <w:rFonts w:ascii="Times New Roman" w:hAnsi="Times New Roman" w:cs="Times New Roman" w:eastAsia="Times New Roman" w:hint="default"/>
          <w:spacing w:val="-2"/>
        </w:rPr>
        <w:t>49,613.34</w:t>
      </w:r>
      <w:r>
        <w:rPr>
          <w:spacing w:val="-2"/>
        </w:rPr>
        <w:t>万元，同比增长</w:t>
      </w:r>
      <w:r>
        <w:rPr>
          <w:rFonts w:ascii="Times New Roman" w:hAnsi="Times New Roman" w:cs="Times New Roman" w:eastAsia="Times New Roman" w:hint="default"/>
          <w:spacing w:val="-2"/>
        </w:rPr>
        <w:t>21.10%</w:t>
      </w:r>
      <w:r>
        <w:rPr>
          <w:spacing w:val="-2"/>
        </w:rPr>
        <w:t>；实现归属于上市公司股东</w:t>
      </w:r>
      <w:r>
        <w:rPr>
          <w:spacing w:val="-79"/>
        </w:rPr>
        <w:t> </w:t>
      </w:r>
      <w:r>
        <w:rPr>
          <w:spacing w:val="-79"/>
        </w:rPr>
      </w:r>
      <w:r>
        <w:rPr/>
        <w:t>的净利润</w:t>
      </w:r>
      <w:r>
        <w:rPr>
          <w:rFonts w:ascii="Times New Roman" w:hAnsi="Times New Roman" w:cs="Times New Roman" w:eastAsia="Times New Roman" w:hint="default"/>
        </w:rPr>
        <w:t>39,809.15</w:t>
      </w:r>
      <w:r>
        <w:rPr/>
        <w:t>万元，同比增长</w:t>
      </w:r>
      <w:r>
        <w:rPr>
          <w:rFonts w:ascii="Times New Roman" w:hAnsi="Times New Roman" w:cs="Times New Roman" w:eastAsia="Times New Roman" w:hint="default"/>
        </w:rPr>
        <w:t>19.66%</w:t>
      </w:r>
      <w:r>
        <w:rPr/>
        <w:t>。报告期内主要经营成果如下：</w:t>
      </w:r>
    </w:p>
    <w:p>
      <w:pPr>
        <w:pStyle w:val="Heading4"/>
        <w:spacing w:line="240" w:lineRule="auto" w:before="133"/>
        <w:ind w:left="513" w:right="141"/>
        <w:jc w:val="left"/>
        <w:rPr>
          <w:b w:val="0"/>
          <w:bCs w:val="0"/>
        </w:rPr>
      </w:pPr>
      <w:r>
        <w:rPr>
          <w:rFonts w:ascii="Times New Roman" w:hAnsi="Times New Roman" w:cs="Times New Roman" w:eastAsia="Times New Roman" w:hint="default"/>
        </w:rPr>
        <w:t>1</w:t>
      </w:r>
      <w:r>
        <w:rPr/>
        <w:t>、扩大出生缺陷防控优势</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right="336" w:firstLine="360"/>
        <w:jc w:val="both"/>
      </w:pPr>
      <w:r>
        <w:rPr>
          <w:spacing w:val="-2"/>
        </w:rPr>
        <w:t>截至报告期末，公司生育产品临床检测累积服务近</w:t>
      </w:r>
      <w:r>
        <w:rPr>
          <w:rFonts w:ascii="Times New Roman" w:hAnsi="Times New Roman" w:cs="Times New Roman" w:eastAsia="Times New Roman" w:hint="default"/>
          <w:spacing w:val="-2"/>
        </w:rPr>
        <w:t>500</w:t>
      </w:r>
      <w:r>
        <w:rPr>
          <w:spacing w:val="-2"/>
        </w:rPr>
        <w:t>万人，已完成超过</w:t>
      </w:r>
      <w:r>
        <w:rPr>
          <w:rFonts w:ascii="Times New Roman" w:hAnsi="Times New Roman" w:cs="Times New Roman" w:eastAsia="Times New Roman" w:hint="default"/>
          <w:spacing w:val="-2"/>
        </w:rPr>
        <w:t>280</w:t>
      </w:r>
      <w:r>
        <w:rPr>
          <w:spacing w:val="-2"/>
        </w:rPr>
        <w:t>万例无创产前基因检测，检出率和特异性</w:t>
      </w:r>
      <w:r>
        <w:rPr/>
        <w:t> </w:t>
      </w:r>
      <w:r>
        <w:rPr>
          <w:spacing w:val="-2"/>
        </w:rPr>
        <w:t>均大于</w:t>
      </w:r>
      <w:r>
        <w:rPr>
          <w:rFonts w:ascii="Times New Roman" w:hAnsi="Times New Roman" w:cs="Times New Roman" w:eastAsia="Times New Roman" w:hint="default"/>
          <w:spacing w:val="-2"/>
        </w:rPr>
        <w:t>99%</w:t>
      </w:r>
      <w:r>
        <w:rPr>
          <w:spacing w:val="-2"/>
        </w:rPr>
        <w:t>，检出了</w:t>
      </w:r>
      <w:r>
        <w:rPr>
          <w:rFonts w:ascii="Times New Roman" w:hAnsi="Times New Roman" w:cs="Times New Roman" w:eastAsia="Times New Roman" w:hint="default"/>
          <w:spacing w:val="-2"/>
        </w:rPr>
        <w:t>3.8</w:t>
      </w:r>
      <w:r>
        <w:rPr>
          <w:spacing w:val="-2"/>
        </w:rPr>
        <w:t>万余例染色体异常胎儿；超过</w:t>
      </w:r>
      <w:r>
        <w:rPr>
          <w:rFonts w:ascii="Times New Roman" w:hAnsi="Times New Roman" w:cs="Times New Roman" w:eastAsia="Times New Roman" w:hint="default"/>
          <w:spacing w:val="-2"/>
        </w:rPr>
        <w:t>153</w:t>
      </w:r>
      <w:r>
        <w:rPr>
          <w:spacing w:val="-2"/>
        </w:rPr>
        <w:t>万名新生儿或孕妇接受了耳聋基因筛查的检测服务，帮助约</w:t>
      </w:r>
      <w:r>
        <w:rPr>
          <w:rFonts w:ascii="Times New Roman" w:hAnsi="Times New Roman" w:cs="Times New Roman" w:eastAsia="Times New Roman" w:hint="default"/>
          <w:spacing w:val="-2"/>
        </w:rPr>
        <w:t>8</w:t>
      </w:r>
      <w:r>
        <w:rPr>
          <w:spacing w:val="-2"/>
        </w:rPr>
        <w:t>万携</w:t>
      </w:r>
      <w:r>
        <w:rPr>
          <w:spacing w:val="-81"/>
        </w:rPr>
        <w:t> </w:t>
      </w:r>
      <w:r>
        <w:rPr/>
        <w:t>带者防聋控聋。</w:t>
      </w:r>
    </w:p>
    <w:p>
      <w:pPr>
        <w:pStyle w:val="BodyText"/>
        <w:spacing w:line="316" w:lineRule="auto" w:before="151"/>
        <w:ind w:right="337" w:firstLine="360"/>
        <w:jc w:val="both"/>
      </w:pPr>
      <w:r>
        <w:rPr>
          <w:spacing w:val="-2"/>
        </w:rPr>
        <w:t>新业务拓展有所突破，发布儿童及成人安全用药两项筛查产品、耳聋基因检测升级产品；以及孕期营养新产品，为了</w:t>
      </w:r>
      <w:r>
        <w:rPr/>
        <w:t> </w:t>
      </w:r>
      <w:r>
        <w:rPr>
          <w:spacing w:val="-2"/>
        </w:rPr>
        <w:t>解预防疾病、改善身体状况和营养补充、建立各生命阶段的人群营养数据档案提供了有力支持；无创孕期肿瘤新产品，积</w:t>
      </w:r>
      <w:r>
        <w:rPr>
          <w:spacing w:val="-72"/>
        </w:rPr>
        <w:t> </w:t>
      </w:r>
      <w:r>
        <w:rPr>
          <w:spacing w:val="-72"/>
        </w:rPr>
      </w:r>
      <w:r>
        <w:rPr/>
        <w:t>极帮助临床医生和孕妇对孕期肿瘤早发现、早治疗。</w:t>
      </w:r>
    </w:p>
    <w:p>
      <w:pPr>
        <w:pStyle w:val="BodyText"/>
        <w:spacing w:line="319" w:lineRule="auto" w:before="139"/>
        <w:ind w:right="338" w:firstLine="360"/>
        <w:jc w:val="both"/>
      </w:pPr>
      <w:r>
        <w:rPr>
          <w:spacing w:val="-2"/>
        </w:rPr>
        <w:t>报告期内，公司与上海交通大学医学院附属国际和平妇幼保健院、山西医科大学第一医院等多家医院签署了全面合作</w:t>
      </w:r>
      <w:r>
        <w:rPr/>
        <w:t> </w:t>
      </w:r>
      <w:r>
        <w:rPr>
          <w:spacing w:val="-6"/>
        </w:rPr>
        <w:t>协议，并与安徽省阜阳市、安徽省寿县、贵州省毕节市、山东省青岛市、山东省泰安市、河北省张家口市、青海省海西州、</w:t>
      </w:r>
      <w:r>
        <w:rPr>
          <w:spacing w:val="-39"/>
        </w:rPr>
        <w:t> </w:t>
      </w:r>
      <w:r>
        <w:rPr>
          <w:spacing w:val="-39"/>
        </w:rPr>
      </w:r>
      <w:r>
        <w:rPr>
          <w:spacing w:val="-2"/>
        </w:rPr>
        <w:t>河南省滑县等地政府签订了合作协议，覆盖了无创产前基因检测、新生儿基因检测等多个项目，在当地政府的支持下，基</w:t>
      </w:r>
      <w:r>
        <w:rPr>
          <w:spacing w:val="-71"/>
        </w:rPr>
        <w:t> </w:t>
      </w:r>
      <w:r>
        <w:rPr>
          <w:spacing w:val="-71"/>
        </w:rPr>
      </w:r>
      <w:r>
        <w:rPr/>
        <w:t>因技术落地为服务于老百姓的惠民项目。</w:t>
      </w:r>
    </w:p>
    <w:p>
      <w:pPr>
        <w:pStyle w:val="BodyText"/>
        <w:spacing w:line="432" w:lineRule="exact" w:before="1"/>
        <w:ind w:left="513" w:right="323"/>
        <w:jc w:val="left"/>
      </w:pPr>
      <w:r>
        <w:rPr>
          <w:rFonts w:ascii="Times New Roman" w:hAnsi="Times New Roman" w:cs="Times New Roman" w:eastAsia="Times New Roman" w:hint="default"/>
          <w:b/>
          <w:bCs/>
        </w:rPr>
        <w:t>2</w:t>
      </w:r>
      <w:r>
        <w:rPr>
          <w:rFonts w:ascii="宋体" w:hAnsi="宋体" w:cs="宋体" w:eastAsia="宋体" w:hint="default"/>
          <w:b/>
          <w:bCs/>
        </w:rPr>
        <w:t>、夯实肿瘤精准防控基础</w:t>
      </w:r>
      <w:r>
        <w:rPr>
          <w:rFonts w:ascii="宋体" w:hAnsi="宋体" w:cs="宋体" w:eastAsia="宋体" w:hint="default"/>
          <w:b/>
          <w:bCs/>
          <w:w w:val="99"/>
        </w:rPr>
        <w:t> </w:t>
      </w:r>
      <w:r>
        <w:rPr/>
        <w:t>公司充分利用平台优势，围绕多类肿瘤进行精准防控。截至报告期末，肿瘤基因检测服务业务与国内超过</w:t>
      </w:r>
      <w:r>
        <w:rPr>
          <w:rFonts w:ascii="Times New Roman" w:hAnsi="Times New Roman" w:cs="Times New Roman" w:eastAsia="Times New Roman" w:hint="default"/>
        </w:rPr>
        <w:t>160</w:t>
      </w:r>
      <w:r>
        <w:rPr/>
        <w:t>家医院</w:t>
      </w:r>
    </w:p>
    <w:p>
      <w:pPr>
        <w:pStyle w:val="BodyText"/>
        <w:spacing w:line="300" w:lineRule="auto" w:before="15"/>
        <w:ind w:right="335"/>
        <w:jc w:val="both"/>
      </w:pPr>
      <w:r>
        <w:rPr/>
        <w:t>有稳定的业务合作，成功测试运行了多家肿瘤</w:t>
      </w:r>
      <w:r>
        <w:rPr>
          <w:rFonts w:ascii="Times New Roman" w:hAnsi="Times New Roman" w:cs="Times New Roman" w:eastAsia="Times New Roman" w:hint="default"/>
        </w:rPr>
        <w:t>NGS</w:t>
      </w:r>
      <w:r>
        <w:rPr/>
        <w:t>实验室，全年为约</w:t>
      </w:r>
      <w:r>
        <w:rPr>
          <w:rFonts w:ascii="Times New Roman" w:hAnsi="Times New Roman" w:cs="Times New Roman" w:eastAsia="Times New Roman" w:hint="default"/>
        </w:rPr>
        <w:t>1.6</w:t>
      </w:r>
      <w:r>
        <w:rPr/>
        <w:t>万名患者提供了肿瘤相关基因检测服务，检测结</w:t>
      </w:r>
      <w:r>
        <w:rPr>
          <w:spacing w:val="-51"/>
        </w:rPr>
        <w:t> </w:t>
      </w:r>
      <w:r>
        <w:rPr>
          <w:spacing w:val="-51"/>
        </w:rPr>
      </w:r>
      <w:r>
        <w:rPr>
          <w:spacing w:val="-2"/>
        </w:rPr>
        <w:t>果为临床诊疗提供了科学依据。肿瘤基因检测业务方面，与北京、上海、广州等一线城市及省份超过</w:t>
      </w:r>
      <w:r>
        <w:rPr>
          <w:rFonts w:ascii="Times New Roman" w:hAnsi="Times New Roman" w:cs="Times New Roman" w:eastAsia="Times New Roman" w:hint="default"/>
          <w:spacing w:val="-2"/>
        </w:rPr>
        <w:t>70</w:t>
      </w:r>
      <w:r>
        <w:rPr>
          <w:spacing w:val="-2"/>
        </w:rPr>
        <w:t>家三甲医院建立了</w:t>
      </w:r>
      <w:r>
        <w:rPr>
          <w:spacing w:val="-69"/>
        </w:rPr>
        <w:t> </w:t>
      </w:r>
      <w:r>
        <w:rPr>
          <w:spacing w:val="-69"/>
        </w:rPr>
      </w:r>
      <w:r>
        <w:rPr>
          <w:spacing w:val="-1"/>
        </w:rPr>
        <w:t>战略合作关系，并签订了具体服务合作协议。截至报告期末，与白血病及其他血液疾病相关的</w:t>
      </w:r>
      <w:r>
        <w:rPr>
          <w:rFonts w:ascii="Times New Roman" w:hAnsi="Times New Roman" w:cs="Times New Roman" w:eastAsia="Times New Roman" w:hint="default"/>
          <w:spacing w:val="-1"/>
        </w:rPr>
        <w:t>HLA</w:t>
      </w:r>
      <w:r>
        <w:rPr>
          <w:spacing w:val="-1"/>
        </w:rPr>
        <w:t>业务已与国内超过</w:t>
      </w:r>
      <w:r>
        <w:rPr>
          <w:rFonts w:ascii="Times New Roman" w:hAnsi="Times New Roman" w:cs="Times New Roman" w:eastAsia="Times New Roman" w:hint="default"/>
          <w:spacing w:val="-1"/>
        </w:rPr>
        <w:t>110</w:t>
      </w:r>
      <w:r>
        <w:rPr>
          <w:rFonts w:ascii="Times New Roman" w:hAnsi="Times New Roman" w:cs="Times New Roman" w:eastAsia="Times New Roman" w:hint="default"/>
          <w:spacing w:val="1"/>
        </w:rPr>
        <w:t> </w:t>
      </w:r>
      <w:r>
        <w:rPr>
          <w:spacing w:val="-2"/>
        </w:rPr>
        <w:t>家医院及科研院所、</w:t>
      </w:r>
      <w:r>
        <w:rPr>
          <w:rFonts w:ascii="Times New Roman" w:hAnsi="Times New Roman" w:cs="Times New Roman" w:eastAsia="Times New Roman" w:hint="default"/>
          <w:spacing w:val="-2"/>
        </w:rPr>
        <w:t>20</w:t>
      </w:r>
      <w:r>
        <w:rPr>
          <w:spacing w:val="-2"/>
        </w:rPr>
        <w:t>个各级骨髓库和脐血库有稳定的业务合作，检测样本数超过</w:t>
      </w:r>
      <w:r>
        <w:rPr>
          <w:rFonts w:ascii="Times New Roman" w:hAnsi="Times New Roman" w:cs="Times New Roman" w:eastAsia="Times New Roman" w:hint="default"/>
          <w:spacing w:val="-2"/>
        </w:rPr>
        <w:t>49</w:t>
      </w:r>
      <w:r>
        <w:rPr>
          <w:spacing w:val="-2"/>
        </w:rPr>
        <w:t>万例。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HPV</w:t>
      </w:r>
      <w:r>
        <w:rPr>
          <w:spacing w:val="-2"/>
        </w:rPr>
        <w:t>民生项目检测样本</w:t>
      </w:r>
      <w:r>
        <w:rPr>
          <w:spacing w:val="-66"/>
        </w:rPr>
        <w:t> </w:t>
      </w:r>
      <w:r>
        <w:rPr>
          <w:spacing w:val="-66"/>
        </w:rPr>
      </w:r>
      <w:r>
        <w:rPr/>
        <w:t>量近</w:t>
      </w:r>
      <w:r>
        <w:rPr>
          <w:rFonts w:ascii="Times New Roman" w:hAnsi="Times New Roman" w:cs="Times New Roman" w:eastAsia="Times New Roman" w:hint="default"/>
        </w:rPr>
        <w:t>60</w:t>
      </w:r>
      <w:r>
        <w:rPr/>
        <w:t>万例，覆盖全国</w:t>
      </w:r>
      <w:r>
        <w:rPr>
          <w:rFonts w:ascii="Times New Roman" w:hAnsi="Times New Roman" w:cs="Times New Roman" w:eastAsia="Times New Roman" w:hint="default"/>
        </w:rPr>
        <w:t>21</w:t>
      </w:r>
      <w:r>
        <w:rPr/>
        <w:t>省</w:t>
      </w:r>
      <w:r>
        <w:rPr>
          <w:rFonts w:ascii="Times New Roman" w:hAnsi="Times New Roman" w:cs="Times New Roman" w:eastAsia="Times New Roman" w:hint="default"/>
        </w:rPr>
        <w:t>40</w:t>
      </w:r>
      <w:r>
        <w:rPr/>
        <w:t>个市或地区；</w:t>
      </w:r>
      <w:r>
        <w:rPr>
          <w:rFonts w:ascii="Times New Roman" w:hAnsi="Times New Roman" w:cs="Times New Roman" w:eastAsia="Times New Roman" w:hint="default"/>
        </w:rPr>
        <w:t>2017</w:t>
      </w:r>
      <w:r>
        <w:rPr/>
        <w:t>年新增青岛、拉萨、新疆、海西州、阜阳</w:t>
      </w:r>
      <w:r>
        <w:rPr>
          <w:rFonts w:ascii="Times New Roman" w:hAnsi="Times New Roman" w:cs="Times New Roman" w:eastAsia="Times New Roman" w:hint="default"/>
        </w:rPr>
        <w:t>5</w:t>
      </w:r>
      <w:r>
        <w:rPr/>
        <w:t>个地区，累计约</w:t>
      </w:r>
      <w:r>
        <w:rPr>
          <w:rFonts w:ascii="Times New Roman" w:hAnsi="Times New Roman" w:cs="Times New Roman" w:eastAsia="Times New Roman" w:hint="default"/>
        </w:rPr>
        <w:t>17</w:t>
      </w:r>
      <w:r>
        <w:rPr/>
        <w:t>万例。</w:t>
      </w:r>
    </w:p>
    <w:p>
      <w:pPr>
        <w:spacing w:line="415" w:lineRule="auto" w:before="133"/>
        <w:ind w:left="513" w:right="2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、扩大精准治愈感染影响</w:t>
      </w:r>
      <w:r>
        <w:rPr>
          <w:rFonts w:ascii="宋体" w:hAnsi="宋体" w:cs="宋体" w:eastAsia="宋体" w:hint="default"/>
          <w:b/>
          <w:bCs/>
          <w:w w:val="99"/>
          <w:sz w:val="18"/>
          <w:szCs w:val="18"/>
        </w:rPr>
        <w:t> </w:t>
      </w:r>
      <w:r>
        <w:rPr>
          <w:rFonts w:ascii="宋体" w:hAnsi="宋体" w:cs="宋体" w:eastAsia="宋体" w:hint="default"/>
          <w:sz w:val="18"/>
          <w:szCs w:val="18"/>
        </w:rPr>
        <w:t>报告期内，公司加大了在传感染方向的研发投入和推广力度。在传染病方面，与西藏自治区疾病预防控制中心合作，</w:t>
      </w:r>
    </w:p>
    <w:p>
      <w:pPr>
        <w:pStyle w:val="BodyText"/>
        <w:spacing w:line="194" w:lineRule="exact"/>
        <w:ind w:right="0"/>
        <w:jc w:val="both"/>
      </w:pPr>
      <w:r>
        <w:rPr/>
        <w:t>共检测了约</w:t>
      </w:r>
      <w:r>
        <w:rPr>
          <w:rFonts w:ascii="Times New Roman" w:hAnsi="Times New Roman" w:cs="Times New Roman" w:eastAsia="Times New Roman" w:hint="default"/>
        </w:rPr>
        <w:t>83</w:t>
      </w:r>
      <w:r>
        <w:rPr/>
        <w:t>万份包虫病筛查样本，对藏区民众的重大疾病防控做出了突出贡献，形成了典型的合作模式与示范效应。在</w:t>
      </w:r>
    </w:p>
    <w:p>
      <w:pPr>
        <w:pStyle w:val="BodyText"/>
        <w:spacing w:line="300" w:lineRule="auto" w:before="63"/>
        <w:ind w:right="336"/>
        <w:jc w:val="both"/>
      </w:pPr>
      <w:r>
        <w:rPr>
          <w:spacing w:val="-4"/>
        </w:rPr>
        <w:t>感染病精准医学方面，与北京协和医院、上海华山医院、中山医院进行深入合作。全年共检测近</w:t>
      </w:r>
      <w:r>
        <w:rPr>
          <w:rFonts w:ascii="Times New Roman" w:hAnsi="Times New Roman" w:cs="Times New Roman" w:eastAsia="Times New Roman" w:hint="default"/>
          <w:spacing w:val="-4"/>
        </w:rPr>
        <w:t>8</w:t>
      </w:r>
      <w:r>
        <w:rPr>
          <w:spacing w:val="-4"/>
        </w:rPr>
        <w:t>千份疑难危重感染样本，</w:t>
      </w:r>
      <w:r>
        <w:rPr>
          <w:spacing w:val="-53"/>
        </w:rPr>
        <w:t> </w:t>
      </w:r>
      <w:r>
        <w:rPr>
          <w:spacing w:val="-53"/>
        </w:rPr>
      </w:r>
      <w:r>
        <w:rPr/>
        <w:t>为脓毒血症，脑膜炎，重症肺炎患者的早期诊断和靶向治疗提供了帮助。</w:t>
      </w:r>
    </w:p>
    <w:p>
      <w:pPr>
        <w:pStyle w:val="Heading4"/>
        <w:spacing w:line="240" w:lineRule="auto" w:before="151"/>
        <w:ind w:left="633" w:right="141"/>
        <w:jc w:val="left"/>
        <w:rPr>
          <w:b w:val="0"/>
          <w:bCs w:val="0"/>
        </w:rPr>
      </w:pPr>
      <w:r>
        <w:rPr>
          <w:rFonts w:ascii="Times New Roman" w:hAnsi="Times New Roman" w:cs="Times New Roman" w:eastAsia="Times New Roman" w:hint="default"/>
        </w:rPr>
        <w:t>4</w:t>
      </w:r>
      <w:r>
        <w:rPr/>
        <w:t>、布局测序平台，推进科研合作</w:t>
      </w:r>
      <w:r>
        <w:rPr>
          <w:b w:val="0"/>
          <w:bCs w:val="0"/>
        </w:rPr>
      </w:r>
    </w:p>
    <w:p>
      <w:pPr>
        <w:spacing w:line="240" w:lineRule="auto" w:before="13"/>
        <w:rPr>
          <w:rFonts w:ascii="宋体" w:hAnsi="宋体" w:cs="宋体" w:eastAsia="宋体" w:hint="default"/>
          <w:b/>
          <w:bCs/>
          <w:sz w:val="13"/>
          <w:szCs w:val="13"/>
        </w:rPr>
      </w:pPr>
    </w:p>
    <w:p>
      <w:pPr>
        <w:pStyle w:val="BodyText"/>
        <w:spacing w:line="307" w:lineRule="auto"/>
        <w:ind w:right="339" w:firstLine="360"/>
        <w:jc w:val="both"/>
      </w:pPr>
      <w:r>
        <w:rPr/>
        <w:t>基础科研服务依托</w:t>
      </w:r>
      <w:r>
        <w:rPr>
          <w:rFonts w:ascii="Times New Roman" w:hAnsi="Times New Roman" w:cs="Times New Roman" w:eastAsia="Times New Roman" w:hint="default"/>
        </w:rPr>
        <w:t>BGISEQ-500</w:t>
      </w:r>
      <w:r>
        <w:rPr/>
        <w:t>国产测序仪和</w:t>
      </w:r>
      <w:r>
        <w:rPr>
          <w:rFonts w:ascii="Times New Roman" w:hAnsi="Times New Roman" w:cs="Times New Roman" w:eastAsia="Times New Roman" w:hint="default"/>
        </w:rPr>
        <w:t>BGI</w:t>
      </w:r>
      <w:r>
        <w:rPr>
          <w:rFonts w:ascii="Times New Roman" w:hAnsi="Times New Roman" w:cs="Times New Roman" w:eastAsia="Times New Roman" w:hint="default"/>
          <w:spacing w:val="2"/>
        </w:rPr>
        <w:t> </w:t>
      </w:r>
      <w:r>
        <w:rPr>
          <w:rFonts w:ascii="Times New Roman" w:hAnsi="Times New Roman" w:cs="Times New Roman" w:eastAsia="Times New Roman" w:hint="default"/>
        </w:rPr>
        <w:t>Online</w:t>
      </w:r>
      <w:r>
        <w:rPr/>
        <w:t>分析交付平台，在实验和数据分析环节上实现了逐步替代。 凭借该平台的精准、快速及价格优势，基于</w:t>
      </w:r>
      <w:r>
        <w:rPr>
          <w:rFonts w:ascii="Times New Roman" w:hAnsi="Times New Roman" w:cs="Times New Roman" w:eastAsia="Times New Roman" w:hint="default"/>
        </w:rPr>
        <w:t>BGISEQ-500</w:t>
      </w:r>
      <w:r>
        <w:rPr/>
        <w:t>的产品推广取得突破，科研数据产出已超过总产出数据的</w:t>
      </w:r>
      <w:r>
        <w:rPr>
          <w:rFonts w:ascii="Times New Roman" w:hAnsi="Times New Roman" w:cs="Times New Roman" w:eastAsia="Times New Roman" w:hint="default"/>
        </w:rPr>
        <w:t>50%</w:t>
      </w:r>
      <w:r>
        <w:rPr/>
        <w:t>，</w:t>
      </w:r>
      <w:r>
        <w:rPr>
          <w:spacing w:val="-54"/>
        </w:rPr>
        <w:t> </w:t>
      </w:r>
      <w:r>
        <w:rPr>
          <w:spacing w:val="-2"/>
        </w:rPr>
        <w:t>受到全球客户和学术界的认可。公司目前拥有全球领先的基因组学科技服务体系，布局了业内领先的三代测序平台，未来</w:t>
      </w:r>
      <w:r>
        <w:rPr>
          <w:spacing w:val="-72"/>
        </w:rPr>
        <w:t> </w:t>
      </w:r>
      <w:r>
        <w:rPr>
          <w:spacing w:val="-72"/>
        </w:rPr>
      </w:r>
      <w:r>
        <w:rPr/>
        <w:t>将继续致力为客户提供高效、优质的一站式整体解决方案。</w:t>
      </w:r>
    </w:p>
    <w:p>
      <w:pPr>
        <w:pStyle w:val="BodyText"/>
        <w:spacing w:line="240" w:lineRule="auto" w:before="146"/>
        <w:ind w:left="513" w:right="141"/>
        <w:jc w:val="left"/>
      </w:pPr>
      <w:r>
        <w:rPr/>
        <w:t>为了加速全基因组测序在人类疾病健康方面的普及，启动了</w:t>
      </w:r>
      <w:r>
        <w:rPr>
          <w:rFonts w:ascii="Times New Roman" w:hAnsi="Times New Roman" w:cs="Times New Roman" w:eastAsia="Times New Roman" w:hint="default"/>
        </w:rPr>
        <w:t>“</w:t>
      </w:r>
      <w:r>
        <w:rPr/>
        <w:t>基因组解码计划</w:t>
      </w:r>
      <w:r>
        <w:rPr>
          <w:rFonts w:ascii="Times New Roman" w:hAnsi="Times New Roman" w:cs="Times New Roman" w:eastAsia="Times New Roman" w:hint="default"/>
        </w:rPr>
        <w:t>”</w:t>
      </w:r>
      <w:r>
        <w:rPr/>
        <w:t>，与全球知名科研机构签订了多个大样</w:t>
      </w:r>
    </w:p>
    <w:p>
      <w:pPr>
        <w:spacing w:after="0" w:line="240" w:lineRule="auto"/>
        <w:jc w:val="left"/>
        <w:sectPr>
          <w:headerReference w:type="default" r:id="rId25"/>
          <w:footerReference w:type="default" r:id="rId26"/>
          <w:pgSz w:w="11910" w:h="16840"/>
          <w:pgMar w:header="880" w:footer="974" w:top="1100" w:bottom="1160" w:left="980" w:right="980"/>
          <w:pgNumType w:start="27"/>
        </w:sectPr>
      </w:pPr>
    </w:p>
    <w:p>
      <w:pPr>
        <w:spacing w:line="240" w:lineRule="auto" w:before="0"/>
        <w:rPr>
          <w:rFonts w:ascii="宋体" w:hAnsi="宋体" w:cs="宋体" w:eastAsia="宋体" w:hint="default"/>
          <w:sz w:val="22"/>
          <w:szCs w:val="22"/>
        </w:rPr>
      </w:pPr>
    </w:p>
    <w:p>
      <w:pPr>
        <w:pStyle w:val="BodyText"/>
        <w:spacing w:line="300" w:lineRule="auto" w:before="44"/>
        <w:ind w:right="336"/>
        <w:jc w:val="both"/>
      </w:pPr>
      <w:r>
        <w:rPr>
          <w:spacing w:val="-2"/>
        </w:rPr>
        <w:t>本量人全基因组测序项目。在科研生态系统的建设方面，发起了</w:t>
      </w:r>
      <w:r>
        <w:rPr>
          <w:rFonts w:ascii="Times New Roman" w:hAnsi="Times New Roman" w:cs="Times New Roman" w:eastAsia="Times New Roman" w:hint="default"/>
          <w:spacing w:val="-2"/>
        </w:rPr>
        <w:t>“</w:t>
      </w:r>
      <w:r>
        <w:rPr>
          <w:spacing w:val="-2"/>
        </w:rPr>
        <w:t>生命周期表计划</w:t>
      </w:r>
      <w:r>
        <w:rPr>
          <w:rFonts w:ascii="Times New Roman" w:hAnsi="Times New Roman" w:cs="Times New Roman" w:eastAsia="Times New Roman" w:hint="default"/>
          <w:spacing w:val="-2"/>
        </w:rPr>
        <w:t>”</w:t>
      </w:r>
      <w:r>
        <w:rPr>
          <w:spacing w:val="-2"/>
        </w:rPr>
        <w:t>，旨在通过基因测序对物种进行数据挖</w:t>
      </w:r>
      <w:r>
        <w:rPr>
          <w:spacing w:val="-49"/>
        </w:rPr>
        <w:t> </w:t>
      </w:r>
      <w:r>
        <w:rPr>
          <w:spacing w:val="-49"/>
        </w:rPr>
      </w:r>
      <w:r>
        <w:rPr/>
        <w:t>掘，发现隐藏在数据背后的生命规律，最终实现</w:t>
      </w:r>
      <w:r>
        <w:rPr>
          <w:rFonts w:ascii="Times New Roman" w:hAnsi="Times New Roman" w:cs="Times New Roman" w:eastAsia="Times New Roman" w:hint="default"/>
        </w:rPr>
        <w:t>“</w:t>
      </w:r>
      <w:r>
        <w:rPr/>
        <w:t>数字化动植物，数字化地球</w:t>
      </w:r>
      <w:r>
        <w:rPr>
          <w:rFonts w:ascii="Times New Roman" w:hAnsi="Times New Roman" w:cs="Times New Roman" w:eastAsia="Times New Roman" w:hint="default"/>
        </w:rPr>
        <w:t>”</w:t>
      </w:r>
      <w:r>
        <w:rPr/>
        <w:t>的目标。</w:t>
      </w:r>
    </w:p>
    <w:p>
      <w:pPr>
        <w:pStyle w:val="Heading4"/>
        <w:spacing w:line="240" w:lineRule="auto" w:before="133"/>
        <w:ind w:left="633" w:right="141"/>
        <w:jc w:val="left"/>
        <w:rPr>
          <w:b w:val="0"/>
          <w:bCs w:val="0"/>
        </w:rPr>
      </w:pPr>
      <w:r>
        <w:rPr>
          <w:rFonts w:ascii="Times New Roman" w:hAnsi="Times New Roman" w:cs="Times New Roman" w:eastAsia="Times New Roman" w:hint="default"/>
        </w:rPr>
        <w:t>5</w:t>
      </w:r>
      <w:r>
        <w:rPr/>
        <w:t>、参与</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，助力国际业务</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right="333" w:firstLine="480"/>
        <w:jc w:val="both"/>
      </w:pPr>
      <w:r>
        <w:rPr>
          <w:spacing w:val="7"/>
        </w:rPr>
        <w:t>公司大力推广国产测序平台，成功引入超过</w:t>
      </w:r>
      <w:r>
        <w:rPr>
          <w:rFonts w:ascii="Times New Roman" w:hAnsi="Times New Roman" w:cs="Times New Roman" w:eastAsia="Times New Roman" w:hint="default"/>
          <w:spacing w:val="7"/>
        </w:rPr>
        <w:t>20</w:t>
      </w:r>
      <w:r>
        <w:rPr>
          <w:spacing w:val="7"/>
        </w:rPr>
        <w:t>种疾病队列测试项目，并以此为切入点主导全球</w:t>
      </w:r>
      <w:r>
        <w:rPr>
          <w:rFonts w:ascii="Times New Roman" w:hAnsi="Times New Roman" w:cs="Times New Roman" w:eastAsia="Times New Roman" w:hint="default"/>
          <w:spacing w:val="7"/>
        </w:rPr>
        <w:t>PMI</w:t>
      </w:r>
      <w:r>
        <w:rPr>
          <w:spacing w:val="7"/>
        </w:rPr>
        <w:t>（</w:t>
      </w:r>
      <w:r>
        <w:rPr>
          <w:rFonts w:ascii="Times New Roman" w:hAnsi="Times New Roman" w:cs="Times New Roman" w:eastAsia="Times New Roman" w:hint="default"/>
          <w:spacing w:val="7"/>
        </w:rPr>
        <w:t>Precision</w:t>
      </w:r>
      <w:r>
        <w:rPr>
          <w:rFonts w:ascii="Times New Roman" w:hAnsi="Times New Roman" w:cs="Times New Roman" w:eastAsia="Times New Roman" w:hint="default"/>
          <w:w w:val="99"/>
        </w:rPr>
        <w:t> </w:t>
      </w:r>
      <w:r>
        <w:rPr>
          <w:rFonts w:ascii="Times New Roman" w:hAnsi="Times New Roman" w:cs="Times New Roman" w:eastAsia="Times New Roman" w:hint="default"/>
        </w:rPr>
        <w:t>Medicine </w:t>
      </w:r>
      <w:r>
        <w:rPr>
          <w:rFonts w:ascii="Times New Roman" w:hAnsi="Times New Roman" w:cs="Times New Roman" w:eastAsia="Times New Roman" w:hint="default"/>
          <w:spacing w:val="-1"/>
        </w:rPr>
        <w:t>Initiatives</w:t>
      </w:r>
      <w:r>
        <w:rPr>
          <w:spacing w:val="-1"/>
        </w:rPr>
        <w:t>）队列项目，构建百万人重样本</w:t>
      </w:r>
      <w:r>
        <w:rPr>
          <w:rFonts w:ascii="Times New Roman" w:hAnsi="Times New Roman" w:cs="Times New Roman" w:eastAsia="Times New Roman" w:hint="default"/>
          <w:spacing w:val="-1"/>
        </w:rPr>
        <w:t>PMI</w:t>
      </w:r>
      <w:r>
        <w:rPr>
          <w:spacing w:val="-1"/>
        </w:rPr>
        <w:t>生态；积极拓展临床多中心下的</w:t>
      </w:r>
      <w:r>
        <w:rPr>
          <w:rFonts w:ascii="Times New Roman" w:hAnsi="Times New Roman" w:cs="Times New Roman" w:eastAsia="Times New Roman" w:hint="default"/>
          <w:spacing w:val="-1"/>
        </w:rPr>
        <w:t>“</w:t>
      </w:r>
      <w:r>
        <w:rPr>
          <w:spacing w:val="-1"/>
        </w:rPr>
        <w:t>基因组</w:t>
      </w:r>
      <w:r>
        <w:rPr>
          <w:rFonts w:ascii="Times New Roman" w:hAnsi="Times New Roman" w:cs="Times New Roman" w:eastAsia="Times New Roman" w:hint="default"/>
          <w:spacing w:val="-1"/>
        </w:rPr>
        <w:t>CRO</w:t>
      </w:r>
      <w:r>
        <w:rPr>
          <w:spacing w:val="-1"/>
        </w:rPr>
        <w:t>及伴随诊断</w:t>
      </w:r>
      <w:r>
        <w:rPr>
          <w:rFonts w:ascii="Times New Roman" w:hAnsi="Times New Roman" w:cs="Times New Roman" w:eastAsia="Times New Roman" w:hint="default"/>
          <w:spacing w:val="-1"/>
        </w:rPr>
        <w:t>”</w:t>
      </w:r>
      <w:r>
        <w:rPr>
          <w:spacing w:val="-1"/>
        </w:rPr>
        <w:t>合作以及</w:t>
      </w:r>
      <w:r>
        <w:rPr>
          <w:spacing w:val="-86"/>
        </w:rPr>
        <w:t> </w:t>
      </w:r>
      <w:r>
        <w:rPr>
          <w:spacing w:val="-2"/>
        </w:rPr>
        <w:t>搭建海外药厂临床交付能力；积极推进应用和研发的整体本地化，探索</w:t>
      </w:r>
      <w:r>
        <w:rPr>
          <w:rFonts w:ascii="Times New Roman" w:hAnsi="Times New Roman" w:cs="Times New Roman" w:eastAsia="Times New Roman" w:hint="default"/>
          <w:spacing w:val="-2"/>
        </w:rPr>
        <w:t>“</w:t>
      </w:r>
      <w:r>
        <w:rPr>
          <w:spacing w:val="-2"/>
        </w:rPr>
        <w:t>共同体模式</w:t>
      </w:r>
      <w:r>
        <w:rPr>
          <w:rFonts w:ascii="Times New Roman" w:hAnsi="Times New Roman" w:cs="Times New Roman" w:eastAsia="Times New Roman" w:hint="default"/>
          <w:spacing w:val="-2"/>
        </w:rPr>
        <w:t>”</w:t>
      </w:r>
      <w:r>
        <w:rPr>
          <w:spacing w:val="-2"/>
        </w:rPr>
        <w:t>，重大合作范围涉及约翰霍普金斯大</w:t>
      </w:r>
      <w:r>
        <w:rPr>
          <w:spacing w:val="-49"/>
        </w:rPr>
        <w:t> </w:t>
      </w:r>
      <w:r>
        <w:rPr>
          <w:spacing w:val="-49"/>
        </w:rPr>
      </w:r>
      <w:r>
        <w:rPr>
          <w:spacing w:val="-5"/>
        </w:rPr>
        <w:t>学、多伦多</w:t>
      </w:r>
      <w:r>
        <w:rPr>
          <w:rFonts w:ascii="Times New Roman" w:hAnsi="Times New Roman" w:cs="Times New Roman" w:eastAsia="Times New Roman" w:hint="default"/>
          <w:spacing w:val="-5"/>
        </w:rPr>
        <w:t>Sinai </w:t>
      </w:r>
      <w:r>
        <w:rPr>
          <w:rFonts w:ascii="Times New Roman" w:hAnsi="Times New Roman" w:cs="Times New Roman" w:eastAsia="Times New Roman" w:hint="default"/>
          <w:spacing w:val="-3"/>
        </w:rPr>
        <w:t>Health</w:t>
      </w:r>
      <w:r>
        <w:rPr>
          <w:spacing w:val="-3"/>
        </w:rPr>
        <w:t>、费城儿童医院、南非国家卫生部旗下部门医学研究中心</w:t>
      </w:r>
      <w:r>
        <w:rPr>
          <w:rFonts w:ascii="Times New Roman" w:hAnsi="Times New Roman" w:cs="Times New Roman" w:eastAsia="Times New Roman" w:hint="default"/>
          <w:spacing w:val="-3"/>
        </w:rPr>
        <w:t>(South </w:t>
      </w:r>
      <w:r>
        <w:rPr>
          <w:rFonts w:ascii="Times New Roman" w:hAnsi="Times New Roman" w:cs="Times New Roman" w:eastAsia="Times New Roman" w:hint="default"/>
        </w:rPr>
        <w:t>African Medical Research Council)</w:t>
      </w:r>
      <w:r>
        <w:rPr>
          <w:rFonts w:ascii="Times New Roman" w:hAnsi="Times New Roman" w:cs="Times New Roman" w:eastAsia="Times New Roman" w:hint="default"/>
          <w:spacing w:val="-1"/>
        </w:rPr>
        <w:t> </w:t>
      </w:r>
      <w:r>
        <w:rPr/>
        <w:t>、 俄罗斯莫斯科国立谢东诺夫第一医科大学等，并在若干海外联合实验室运行检测项目。</w:t>
      </w:r>
    </w:p>
    <w:p>
      <w:pPr>
        <w:spacing w:line="432" w:lineRule="exact" w:before="16"/>
        <w:ind w:left="513" w:right="141" w:firstLine="1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、坚持科技惠民路线，助力</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健康中国</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国家战略</w:t>
      </w:r>
      <w:r>
        <w:rPr>
          <w:rFonts w:ascii="宋体" w:hAnsi="宋体" w:cs="宋体" w:eastAsia="宋体" w:hint="default"/>
          <w:b/>
          <w:bCs/>
          <w:w w:val="99"/>
          <w:sz w:val="18"/>
          <w:szCs w:val="18"/>
        </w:rPr>
        <w:t> </w:t>
      </w:r>
      <w:r>
        <w:rPr>
          <w:rFonts w:ascii="宋体" w:hAnsi="宋体" w:cs="宋体" w:eastAsia="宋体" w:hint="default"/>
          <w:spacing w:val="-2"/>
          <w:sz w:val="18"/>
          <w:szCs w:val="18"/>
        </w:rPr>
        <w:t>公司继续秉持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基因科技造福人类</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的理念，在全国各地不断开拓新的基因健康筛查民生项目。截至报告期末，公司已</w:t>
      </w:r>
    </w:p>
    <w:p>
      <w:pPr>
        <w:pStyle w:val="BodyText"/>
        <w:spacing w:line="309" w:lineRule="auto" w:before="15"/>
        <w:ind w:right="336"/>
        <w:jc w:val="both"/>
      </w:pPr>
      <w:r>
        <w:rPr/>
        <w:t>在开展的民生项目覆盖了全国</w:t>
      </w:r>
      <w:r>
        <w:rPr>
          <w:rFonts w:ascii="Times New Roman" w:hAnsi="Times New Roman" w:cs="Times New Roman" w:eastAsia="Times New Roman" w:hint="default"/>
        </w:rPr>
        <w:t>20</w:t>
      </w:r>
      <w:r>
        <w:rPr/>
        <w:t>余个省、自治区、直辖市，民生项目筛查人次已累计达到</w:t>
      </w:r>
      <w:r>
        <w:rPr>
          <w:rFonts w:ascii="Times New Roman" w:hAnsi="Times New Roman" w:cs="Times New Roman" w:eastAsia="Times New Roman" w:hint="default"/>
        </w:rPr>
        <w:t>400</w:t>
      </w:r>
      <w:r>
        <w:rPr/>
        <w:t>余万次。公司还完成了安徽</w:t>
      </w:r>
      <w:r>
        <w:rPr>
          <w:spacing w:val="-87"/>
        </w:rPr>
        <w:t> </w:t>
      </w:r>
      <w:r>
        <w:rPr>
          <w:spacing w:val="-2"/>
        </w:rPr>
        <w:t>医检所、重庆医检所、长垣医检所的建设，实现当地民生项目本地化交付；在深圳、青岛等地与当地医院共建精准医学中</w:t>
      </w:r>
      <w:r>
        <w:rPr>
          <w:spacing w:val="-75"/>
        </w:rPr>
        <w:t> </w:t>
      </w:r>
      <w:r>
        <w:rPr>
          <w:spacing w:val="-75"/>
        </w:rPr>
      </w:r>
      <w:r>
        <w:rPr/>
        <w:t>心，助力当地精准医学网络搭建。</w:t>
      </w:r>
    </w:p>
    <w:p>
      <w:pPr>
        <w:pStyle w:val="BodyText"/>
        <w:spacing w:line="309" w:lineRule="auto" w:before="144"/>
        <w:ind w:right="234" w:firstLine="360"/>
        <w:jc w:val="left"/>
      </w:pPr>
      <w:r>
        <w:rPr>
          <w:spacing w:val="-2"/>
        </w:rPr>
        <w:t>此外，公司坚持</w:t>
      </w:r>
      <w:r>
        <w:rPr>
          <w:rFonts w:ascii="Times New Roman" w:hAnsi="Times New Roman" w:cs="Times New Roman" w:eastAsia="Times New Roman" w:hint="default"/>
          <w:spacing w:val="-2"/>
        </w:rPr>
        <w:t>“</w:t>
      </w:r>
      <w:r>
        <w:rPr>
          <w:spacing w:val="-2"/>
        </w:rPr>
        <w:t>持续低价惠民</w:t>
      </w:r>
      <w:r>
        <w:rPr>
          <w:rFonts w:ascii="Times New Roman" w:hAnsi="Times New Roman" w:cs="Times New Roman" w:eastAsia="Times New Roman" w:hint="default"/>
          <w:spacing w:val="-2"/>
        </w:rPr>
        <w:t>”</w:t>
      </w:r>
      <w:r>
        <w:rPr>
          <w:spacing w:val="-2"/>
        </w:rPr>
        <w:t>的原则承担政府民生工程，致力于当地出生缺陷防控、妇女宫颈癌防控，同时积极利</w:t>
      </w:r>
      <w:r>
        <w:rPr/>
        <w:t> 用现有的技术平台，将技术优势输出到民生工程所在地，结合各区域的民情，协助各地政府量身定制适合当地实际情况、 有效且可持续的健康城市规划，通过基因科技助力</w:t>
      </w:r>
      <w:r>
        <w:rPr>
          <w:rFonts w:ascii="Times New Roman" w:hAnsi="Times New Roman" w:cs="Times New Roman" w:eastAsia="Times New Roman" w:hint="default"/>
        </w:rPr>
        <w:t>“</w:t>
      </w:r>
      <w:r>
        <w:rPr/>
        <w:t>健康中国</w:t>
      </w:r>
      <w:r>
        <w:rPr>
          <w:rFonts w:ascii="Times New Roman" w:hAnsi="Times New Roman" w:cs="Times New Roman" w:eastAsia="Times New Roman" w:hint="default"/>
        </w:rPr>
        <w:t>”</w:t>
      </w:r>
      <w:r>
        <w:rPr/>
        <w:t>国家战略。</w:t>
      </w:r>
    </w:p>
    <w:p>
      <w:pPr>
        <w:pStyle w:val="Heading4"/>
        <w:spacing w:line="240" w:lineRule="auto" w:before="125"/>
        <w:ind w:left="513" w:right="141"/>
        <w:jc w:val="left"/>
        <w:rPr>
          <w:b w:val="0"/>
          <w:bCs w:val="0"/>
        </w:rPr>
      </w:pPr>
      <w:r>
        <w:rPr>
          <w:rFonts w:ascii="Times New Roman" w:hAnsi="Times New Roman" w:cs="Times New Roman" w:eastAsia="Times New Roman" w:hint="default"/>
        </w:rPr>
        <w:t>7</w:t>
      </w:r>
      <w:r>
        <w:rPr/>
        <w:t>、</w:t>
      </w:r>
      <w:r>
        <w:rPr>
          <w:rFonts w:ascii="Times New Roman" w:hAnsi="Times New Roman" w:cs="Times New Roman" w:eastAsia="Times New Roman" w:hint="default"/>
        </w:rPr>
        <w:t>“</w:t>
      </w:r>
      <w:r>
        <w:rPr/>
        <w:t>生育肿瘤感染</w:t>
      </w:r>
      <w:r>
        <w:rPr>
          <w:rFonts w:ascii="Times New Roman" w:hAnsi="Times New Roman" w:cs="Times New Roman" w:eastAsia="Times New Roman" w:hint="default"/>
        </w:rPr>
        <w:t>”</w:t>
      </w:r>
      <w:r>
        <w:rPr/>
        <w:t>全贯穿</w:t>
      </w:r>
      <w:r>
        <w:rPr>
          <w:rFonts w:ascii="Times New Roman" w:hAnsi="Times New Roman" w:cs="Times New Roman" w:eastAsia="Times New Roman" w:hint="default"/>
        </w:rPr>
        <w:t>,</w:t>
      </w:r>
      <w:r>
        <w:rPr/>
        <w:t>大数据驱动精准医疗</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right="141" w:firstLine="360"/>
        <w:jc w:val="left"/>
      </w:pPr>
      <w:r>
        <w:rPr>
          <w:spacing w:val="-1"/>
        </w:rPr>
        <w:t>公司紧密围绕战略规划，以民生为导向，形成了贯穿</w:t>
      </w:r>
      <w:r>
        <w:rPr>
          <w:rFonts w:ascii="Times New Roman" w:hAnsi="Times New Roman" w:cs="Times New Roman" w:eastAsia="Times New Roman" w:hint="default"/>
          <w:spacing w:val="-1"/>
        </w:rPr>
        <w:t>“</w:t>
      </w:r>
      <w:r>
        <w:rPr>
          <w:spacing w:val="-1"/>
        </w:rPr>
        <w:t>生育肿瘤感染</w:t>
      </w:r>
      <w:r>
        <w:rPr>
          <w:rFonts w:ascii="Times New Roman" w:hAnsi="Times New Roman" w:cs="Times New Roman" w:eastAsia="Times New Roman" w:hint="default"/>
          <w:spacing w:val="-1"/>
        </w:rPr>
        <w:t>”</w:t>
      </w:r>
      <w:r>
        <w:rPr>
          <w:spacing w:val="-1"/>
        </w:rPr>
        <w:t>的系列重大研发产出。完成了</w:t>
      </w:r>
      <w:r>
        <w:rPr>
          <w:rFonts w:ascii="Times New Roman" w:hAnsi="Times New Roman" w:cs="Times New Roman" w:eastAsia="Times New Roman" w:hint="default"/>
          <w:spacing w:val="-1"/>
        </w:rPr>
        <w:t>BRCA</w:t>
      </w:r>
      <w:r>
        <w:rPr>
          <w:spacing w:val="-1"/>
        </w:rPr>
        <w:t>基因分析</w:t>
      </w:r>
      <w:r>
        <w:rPr/>
        <w:t> 注释软件、</w:t>
      </w:r>
      <w:r>
        <w:rPr>
          <w:rFonts w:ascii="Times New Roman" w:hAnsi="Times New Roman" w:cs="Times New Roman" w:eastAsia="Times New Roman" w:hint="default"/>
        </w:rPr>
        <w:t>EGFR/KRAS/ALK</w:t>
      </w:r>
      <w:r>
        <w:rPr/>
        <w:t>基因突变联合检测试剂盒（联合探针锚定聚合测序法）、</w:t>
      </w:r>
      <w:r>
        <w:rPr>
          <w:rFonts w:ascii="Times New Roman" w:hAnsi="Times New Roman" w:cs="Times New Roman" w:eastAsia="Times New Roman" w:hint="default"/>
        </w:rPr>
        <w:t>BRCA1/2</w:t>
      </w:r>
      <w:r>
        <w:rPr/>
        <w:t>基因突变检测试剂盒</w:t>
      </w:r>
    </w:p>
    <w:p>
      <w:pPr>
        <w:pStyle w:val="BodyText"/>
        <w:spacing w:line="300" w:lineRule="auto" w:before="13"/>
        <w:ind w:right="431"/>
        <w:jc w:val="both"/>
      </w:pPr>
      <w:r>
        <w:rPr/>
        <w:t>（联合探针锚定聚合测序法）的研发，</w:t>
      </w:r>
      <w:r>
        <w:rPr>
          <w:rFonts w:ascii="Times New Roman" w:hAnsi="Times New Roman" w:cs="Times New Roman" w:eastAsia="Times New Roman" w:hint="default"/>
        </w:rPr>
        <w:t>EGFR/KRAS/ALK</w:t>
      </w:r>
      <w:r>
        <w:rPr/>
        <w:t>基因突变联合检测试剂盒（联合探针锚定聚合测序法）成功完 成注册检验，顺利进入到临床试验环节，遗传性</w:t>
      </w:r>
      <w:r>
        <w:rPr>
          <w:rFonts w:ascii="Times New Roman" w:hAnsi="Times New Roman" w:cs="Times New Roman" w:eastAsia="Times New Roman" w:hint="default"/>
        </w:rPr>
        <w:t>BRCA</w:t>
      </w:r>
      <w:r>
        <w:rPr/>
        <w:t>基因分析注释软件进入到注册检验环节。在数据库与系统自动化 建设方面，构建了遗传密码解读数据库，以及感染自动化数据库，全面推进医疗行业进入大数据驱动的精准医疗时代。</w:t>
      </w:r>
    </w:p>
    <w:p>
      <w:pPr>
        <w:spacing w:line="415" w:lineRule="auto" w:before="151"/>
        <w:ind w:left="513" w:right="413" w:firstLine="1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、推进精益生产管理，鼓励技术优化创新</w:t>
      </w:r>
      <w:r>
        <w:rPr>
          <w:rFonts w:ascii="宋体" w:hAnsi="宋体" w:cs="宋体" w:eastAsia="宋体" w:hint="default"/>
          <w:b/>
          <w:bCs/>
          <w:w w:val="99"/>
          <w:sz w:val="18"/>
          <w:szCs w:val="18"/>
        </w:rPr>
        <w:t> </w:t>
      </w:r>
      <w:r>
        <w:rPr>
          <w:rFonts w:ascii="宋体" w:hAnsi="宋体" w:cs="宋体" w:eastAsia="宋体" w:hint="default"/>
          <w:sz w:val="18"/>
          <w:szCs w:val="18"/>
        </w:rPr>
        <w:t>秉承持续为客户提供稳定、可靠、满意的检测服务的宗旨，通过推进科技与医学生产模式的优化，进一步落实国产</w:t>
      </w:r>
    </w:p>
    <w:p>
      <w:pPr>
        <w:pStyle w:val="BodyText"/>
        <w:spacing w:line="194" w:lineRule="exact"/>
        <w:ind w:right="0"/>
        <w:jc w:val="both"/>
      </w:pPr>
      <w:r>
        <w:rPr/>
        <w:t>自主设备和自动化产能布局，向高效、集约、智能的生产模式升级，其中实验室自动化覆盖率提升约</w:t>
      </w:r>
      <w:r>
        <w:rPr>
          <w:rFonts w:ascii="Times New Roman" w:hAnsi="Times New Roman" w:cs="Times New Roman" w:eastAsia="Times New Roman" w:hint="default"/>
        </w:rPr>
        <w:t>20%</w:t>
      </w:r>
      <w:r>
        <w:rPr/>
        <w:t>，</w:t>
      </w:r>
      <w:r>
        <w:rPr>
          <w:spacing w:val="-2"/>
        </w:rPr>
        <w:t> </w:t>
      </w:r>
      <w:r>
        <w:rPr>
          <w:rFonts w:ascii="Times New Roman" w:hAnsi="Times New Roman" w:cs="Times New Roman" w:eastAsia="Times New Roman" w:hint="default"/>
        </w:rPr>
        <w:t>BGISEQ</w:t>
      </w:r>
      <w:r>
        <w:rPr/>
        <w:t>系</w:t>
      </w:r>
    </w:p>
    <w:p>
      <w:pPr>
        <w:pStyle w:val="BodyText"/>
        <w:spacing w:line="300" w:lineRule="auto" w:before="63"/>
        <w:ind w:right="368"/>
        <w:jc w:val="both"/>
      </w:pPr>
      <w:r>
        <w:rPr/>
        <w:t>列联合实验室数量增长超过</w:t>
      </w:r>
      <w:r>
        <w:rPr>
          <w:rFonts w:ascii="Times New Roman" w:hAnsi="Times New Roman" w:cs="Times New Roman" w:eastAsia="Times New Roman" w:hint="default"/>
        </w:rPr>
        <w:t>2</w:t>
      </w:r>
      <w:r>
        <w:rPr/>
        <w:t>倍，逾</w:t>
      </w:r>
      <w:r>
        <w:rPr>
          <w:rFonts w:ascii="Times New Roman" w:hAnsi="Times New Roman" w:cs="Times New Roman" w:eastAsia="Times New Roman" w:hint="default"/>
        </w:rPr>
        <w:t>30</w:t>
      </w:r>
      <w:r>
        <w:rPr/>
        <w:t>家实验室接受了</w:t>
      </w:r>
      <w:r>
        <w:rPr>
          <w:rFonts w:ascii="Times New Roman" w:hAnsi="Times New Roman" w:cs="Times New Roman" w:eastAsia="Times New Roman" w:hint="default"/>
        </w:rPr>
        <w:t>BGI-CSP</w:t>
      </w:r>
      <w:r>
        <w:rPr/>
        <w:t>质量认证服务；国内医学检验实验室规模进一步扩大，形 成了</w:t>
      </w:r>
      <w:r>
        <w:rPr>
          <w:rFonts w:ascii="Times New Roman" w:hAnsi="Times New Roman" w:cs="Times New Roman" w:eastAsia="Times New Roman" w:hint="default"/>
        </w:rPr>
        <w:t>10</w:t>
      </w:r>
      <w:r>
        <w:rPr/>
        <w:t>余家医学检验实验室组成的交付网络；同时持续推进精益生产管理，鼓励技术优化和创新，</w:t>
      </w:r>
      <w:r>
        <w:rPr>
          <w:rFonts w:ascii="Times New Roman" w:hAnsi="Times New Roman" w:cs="Times New Roman" w:eastAsia="Times New Roman" w:hint="default"/>
        </w:rPr>
        <w:t>2017</w:t>
      </w:r>
      <w:r>
        <w:rPr/>
        <w:t>年人均产能提升 超过</w:t>
      </w:r>
      <w:r>
        <w:rPr>
          <w:rFonts w:ascii="Times New Roman" w:hAnsi="Times New Roman" w:cs="Times New Roman" w:eastAsia="Times New Roman" w:hint="default"/>
        </w:rPr>
        <w:t>30%</w:t>
      </w:r>
      <w:r>
        <w:rPr/>
        <w:t>。</w:t>
      </w:r>
    </w:p>
    <w:p>
      <w:pPr>
        <w:spacing w:line="415" w:lineRule="auto" w:before="133"/>
        <w:ind w:left="513" w:right="773" w:firstLine="1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9</w:t>
      </w:r>
      <w:r>
        <w:rPr>
          <w:rFonts w:ascii="宋体" w:hAnsi="宋体" w:cs="宋体" w:eastAsia="宋体" w:hint="default"/>
          <w:b/>
          <w:bCs/>
          <w:sz w:val="18"/>
          <w:szCs w:val="18"/>
        </w:rPr>
        <w:t>、全球布局质量体系，引领行业良性发展</w:t>
      </w:r>
      <w:r>
        <w:rPr>
          <w:rFonts w:ascii="宋体" w:hAnsi="宋体" w:cs="宋体" w:eastAsia="宋体" w:hint="default"/>
          <w:b/>
          <w:bCs/>
          <w:w w:val="99"/>
          <w:sz w:val="18"/>
          <w:szCs w:val="18"/>
        </w:rPr>
        <w:t> </w:t>
      </w:r>
      <w:r>
        <w:rPr>
          <w:rFonts w:ascii="宋体" w:hAnsi="宋体" w:cs="宋体" w:eastAsia="宋体" w:hint="default"/>
          <w:sz w:val="18"/>
          <w:szCs w:val="18"/>
        </w:rPr>
        <w:t>在资质方面，公司继续稳健布局。根据市场变化，公司升级和拓展了现有资质，保持了业内的资质领先水平。</w:t>
      </w:r>
    </w:p>
    <w:p>
      <w:pPr>
        <w:pStyle w:val="BodyText"/>
        <w:spacing w:line="194" w:lineRule="exact"/>
        <w:ind w:right="0"/>
        <w:jc w:val="both"/>
      </w:pPr>
      <w:r>
        <w:rPr>
          <w:rFonts w:ascii="Times New Roman" w:hAnsi="Times New Roman" w:cs="Times New Roman" w:eastAsia="Times New Roman" w:hint="default"/>
        </w:rPr>
        <w:t>BGISEQ-500</w:t>
      </w:r>
      <w:r>
        <w:rPr/>
        <w:t>测序仪、配套的提取、建库、测序试剂盒和软件等</w:t>
      </w:r>
      <w:r>
        <w:rPr>
          <w:rFonts w:ascii="Times New Roman" w:hAnsi="Times New Roman" w:cs="Times New Roman" w:eastAsia="Times New Roman" w:hint="default"/>
        </w:rPr>
        <w:t>5</w:t>
      </w:r>
      <w:r>
        <w:rPr/>
        <w:t>个产品均获得欧盟医疗器械</w:t>
      </w:r>
      <w:r>
        <w:rPr>
          <w:rFonts w:ascii="Times New Roman" w:hAnsi="Times New Roman" w:cs="Times New Roman" w:eastAsia="Times New Roman" w:hint="default"/>
        </w:rPr>
        <w:t>CE</w:t>
      </w:r>
      <w:r>
        <w:rPr/>
        <w:t>证书，为进军海外市场奠</w:t>
      </w:r>
    </w:p>
    <w:p>
      <w:pPr>
        <w:pStyle w:val="BodyText"/>
        <w:spacing w:line="300" w:lineRule="auto" w:before="63"/>
        <w:ind w:right="472"/>
        <w:jc w:val="left"/>
      </w:pPr>
      <w:r>
        <w:rPr/>
        <w:t>定基础。报告期内，香港实验室获得美国</w:t>
      </w:r>
      <w:r>
        <w:rPr>
          <w:rFonts w:ascii="Times New Roman" w:hAnsi="Times New Roman" w:cs="Times New Roman" w:eastAsia="Times New Roman" w:hint="default"/>
        </w:rPr>
        <w:t>CLIA</w:t>
      </w:r>
      <w:r>
        <w:rPr/>
        <w:t>认证证书。至此，公司海内外实验室具备</w:t>
      </w:r>
      <w:r>
        <w:rPr>
          <w:rFonts w:ascii="Times New Roman" w:hAnsi="Times New Roman" w:cs="Times New Roman" w:eastAsia="Times New Roman" w:hint="default"/>
        </w:rPr>
        <w:t>CAP</w:t>
      </w:r>
      <w:r>
        <w:rPr/>
        <w:t>、</w:t>
      </w:r>
      <w:r>
        <w:rPr>
          <w:rFonts w:ascii="Times New Roman" w:hAnsi="Times New Roman" w:cs="Times New Roman" w:eastAsia="Times New Roman" w:hint="default"/>
        </w:rPr>
        <w:t>CLIA</w:t>
      </w:r>
      <w:r>
        <w:rPr/>
        <w:t>、</w:t>
      </w:r>
      <w:r>
        <w:rPr>
          <w:rFonts w:ascii="Times New Roman" w:hAnsi="Times New Roman" w:cs="Times New Roman" w:eastAsia="Times New Roman" w:hint="default"/>
        </w:rPr>
        <w:t>ISO</w:t>
      </w:r>
      <w:r>
        <w:rPr>
          <w:rFonts w:ascii="Times New Roman" w:hAnsi="Times New Roman" w:cs="Times New Roman" w:eastAsia="Times New Roman" w:hint="default"/>
          <w:spacing w:val="-1"/>
        </w:rPr>
        <w:t> </w:t>
      </w:r>
      <w:r>
        <w:rPr>
          <w:rFonts w:ascii="Times New Roman" w:hAnsi="Times New Roman" w:cs="Times New Roman" w:eastAsia="Times New Roman" w:hint="default"/>
        </w:rPr>
        <w:t>15189</w:t>
      </w:r>
      <w:r>
        <w:rPr/>
        <w:t>、 </w:t>
      </w:r>
      <w:r>
        <w:rPr>
          <w:rFonts w:ascii="Times New Roman" w:hAnsi="Times New Roman" w:cs="Times New Roman" w:eastAsia="Times New Roman" w:hint="default"/>
        </w:rPr>
        <w:t>ISO/IEC 17025</w:t>
      </w:r>
      <w:r>
        <w:rPr/>
        <w:t>、</w:t>
      </w:r>
      <w:r>
        <w:rPr>
          <w:rFonts w:ascii="Times New Roman" w:hAnsi="Times New Roman" w:cs="Times New Roman" w:eastAsia="Times New Roman" w:hint="default"/>
        </w:rPr>
        <w:t>ISO/IEC 27001</w:t>
      </w:r>
      <w:r>
        <w:rPr/>
        <w:t>、</w:t>
      </w:r>
      <w:r>
        <w:rPr>
          <w:rFonts w:ascii="Times New Roman" w:hAnsi="Times New Roman" w:cs="Times New Roman" w:eastAsia="Times New Roman" w:hint="default"/>
        </w:rPr>
        <w:t>ISO 9001</w:t>
      </w:r>
      <w:r>
        <w:rPr/>
        <w:t>、</w:t>
      </w:r>
      <w:r>
        <w:rPr>
          <w:rFonts w:ascii="Times New Roman" w:hAnsi="Times New Roman" w:cs="Times New Roman" w:eastAsia="Times New Roman" w:hint="default"/>
        </w:rPr>
        <w:t>ISO 14001</w:t>
      </w:r>
      <w:r>
        <w:rPr/>
        <w:t>、</w:t>
      </w:r>
      <w:r>
        <w:rPr>
          <w:rFonts w:ascii="Times New Roman" w:hAnsi="Times New Roman" w:cs="Times New Roman" w:eastAsia="Times New Roman" w:hint="default"/>
        </w:rPr>
        <w:t>OHSAS</w:t>
      </w:r>
      <w:r>
        <w:rPr>
          <w:rFonts w:ascii="Times New Roman" w:hAnsi="Times New Roman" w:cs="Times New Roman" w:eastAsia="Times New Roman" w:hint="default"/>
          <w:spacing w:val="-13"/>
        </w:rPr>
        <w:t> </w:t>
      </w:r>
      <w:r>
        <w:rPr>
          <w:rFonts w:ascii="Times New Roman" w:hAnsi="Times New Roman" w:cs="Times New Roman" w:eastAsia="Times New Roman" w:hint="default"/>
        </w:rPr>
        <w:t>18001</w:t>
      </w:r>
      <w:r>
        <w:rPr/>
        <w:t>资质，进一步巩固了公司在行业内较为全面的资 质认证优势。</w:t>
      </w:r>
    </w:p>
    <w:p>
      <w:pPr>
        <w:pStyle w:val="BodyText"/>
        <w:spacing w:line="300" w:lineRule="auto" w:before="151"/>
        <w:ind w:right="414" w:firstLine="360"/>
        <w:jc w:val="left"/>
      </w:pPr>
      <w:r>
        <w:rPr/>
        <w:t>公司量身打造了临床高通量测序联合实验室专业的质量管理体系，并在</w:t>
      </w:r>
      <w:r>
        <w:rPr>
          <w:rFonts w:ascii="Times New Roman" w:hAnsi="Times New Roman" w:cs="Times New Roman" w:eastAsia="Times New Roman" w:hint="default"/>
        </w:rPr>
        <w:t>35</w:t>
      </w:r>
      <w:r>
        <w:rPr/>
        <w:t>家联合实验室导入运行，保证联合实验室 的检测质量，实现与合作伙伴的</w:t>
      </w:r>
      <w:r>
        <w:rPr>
          <w:rFonts w:ascii="Times New Roman" w:hAnsi="Times New Roman" w:cs="Times New Roman" w:eastAsia="Times New Roman" w:hint="default"/>
        </w:rPr>
        <w:t>“</w:t>
      </w:r>
      <w:r>
        <w:rPr/>
        <w:t>共建、共享、共盈</w:t>
      </w:r>
      <w:r>
        <w:rPr>
          <w:rFonts w:ascii="Times New Roman" w:hAnsi="Times New Roman" w:cs="Times New Roman" w:eastAsia="Times New Roman" w:hint="default"/>
        </w:rPr>
        <w:t>”</w:t>
      </w:r>
      <w:r>
        <w:rPr/>
        <w:t>，有利于保障公司业务有序合规开展，引领行业良性发展。</w:t>
      </w:r>
    </w:p>
    <w:p>
      <w:pPr>
        <w:pStyle w:val="Heading4"/>
        <w:spacing w:line="240" w:lineRule="auto" w:before="133"/>
        <w:ind w:left="633" w:right="141"/>
        <w:jc w:val="left"/>
        <w:rPr>
          <w:b w:val="0"/>
          <w:bCs w:val="0"/>
        </w:rPr>
      </w:pPr>
      <w:r>
        <w:rPr>
          <w:rFonts w:ascii="Times New Roman" w:hAnsi="Times New Roman" w:cs="Times New Roman" w:eastAsia="Times New Roman" w:hint="default"/>
        </w:rPr>
        <w:t>10</w:t>
      </w:r>
      <w:r>
        <w:rPr/>
        <w:t>、资本助力产业发展，公司荣获多个奖项</w:t>
      </w:r>
      <w:r>
        <w:rPr>
          <w:b w:val="0"/>
          <w:bCs w:val="0"/>
        </w:rPr>
      </w:r>
    </w:p>
    <w:p>
      <w:pPr>
        <w:spacing w:line="240" w:lineRule="auto" w:before="0"/>
        <w:rPr>
          <w:rFonts w:ascii="宋体" w:hAnsi="宋体" w:cs="宋体" w:eastAsia="宋体" w:hint="default"/>
          <w:b/>
          <w:bCs/>
          <w:sz w:val="14"/>
          <w:szCs w:val="14"/>
        </w:rPr>
      </w:pPr>
    </w:p>
    <w:p>
      <w:pPr>
        <w:pStyle w:val="BodyText"/>
        <w:spacing w:line="300" w:lineRule="auto"/>
        <w:ind w:right="323" w:firstLine="360"/>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日在深圳证券交易所创业板上市，开启了企业发展的新篇章，向着“基因科技造福人类”的梦想 迈进了一大步，社会认可度进一步提升。</w:t>
      </w:r>
      <w:r>
        <w:rPr>
          <w:spacing w:val="1"/>
        </w:rPr>
        <w:t> </w:t>
      </w:r>
      <w:r>
        <w:rPr/>
        <w:t>报告期内，公司获得“</w:t>
      </w:r>
      <w:r>
        <w:rPr>
          <w:rFonts w:ascii="Times New Roman" w:hAnsi="Times New Roman" w:cs="Times New Roman" w:eastAsia="Times New Roman" w:hint="default"/>
        </w:rPr>
        <w:t>2017</w:t>
      </w:r>
      <w:r>
        <w:rPr/>
        <w:t>年度最具创新力上市公司”、“</w:t>
      </w:r>
      <w:r>
        <w:rPr>
          <w:rFonts w:ascii="Times New Roman" w:hAnsi="Times New Roman" w:cs="Times New Roman" w:eastAsia="Times New Roman" w:hint="default"/>
        </w:rPr>
        <w:t>2017</w:t>
      </w:r>
      <w:r>
        <w:rPr/>
        <w:t>年中国创新力</w:t>
      </w:r>
    </w:p>
    <w:p>
      <w:pPr>
        <w:spacing w:after="0" w:line="300" w:lineRule="auto"/>
        <w:jc w:val="left"/>
        <w:sectPr>
          <w:footerReference w:type="default" r:id="rId27"/>
          <w:pgSz w:w="11910" w:h="16840"/>
          <w:pgMar w:footer="974" w:header="880" w:top="1100" w:bottom="1160" w:left="980" w:right="980"/>
          <w:pgNumType w:start="28"/>
        </w:sectPr>
      </w:pPr>
    </w:p>
    <w:p>
      <w:pPr>
        <w:spacing w:line="240" w:lineRule="auto" w:before="0"/>
        <w:rPr>
          <w:rFonts w:ascii="宋体" w:hAnsi="宋体" w:cs="宋体" w:eastAsia="宋体" w:hint="default"/>
          <w:sz w:val="22"/>
          <w:szCs w:val="22"/>
        </w:rPr>
      </w:pPr>
    </w:p>
    <w:p>
      <w:pPr>
        <w:pStyle w:val="BodyText"/>
        <w:spacing w:line="240" w:lineRule="auto" w:before="44"/>
        <w:ind w:right="141"/>
        <w:jc w:val="left"/>
      </w:pPr>
      <w:r>
        <w:rPr/>
        <w:t>医疗器械企业”、“</w:t>
      </w:r>
      <w:r>
        <w:rPr>
          <w:rFonts w:ascii="Times New Roman" w:hAnsi="Times New Roman" w:cs="Times New Roman" w:eastAsia="Times New Roman" w:hint="default"/>
        </w:rPr>
        <w:t>2017</w:t>
      </w:r>
      <w:r>
        <w:rPr/>
        <w:t>年度中国·最具影响力企业”、“</w:t>
      </w:r>
      <w:r>
        <w:rPr>
          <w:rFonts w:ascii="Times New Roman" w:hAnsi="Times New Roman" w:cs="Times New Roman" w:eastAsia="Times New Roman" w:hint="default"/>
        </w:rPr>
        <w:t>2017</w:t>
      </w:r>
      <w:r>
        <w:rPr/>
        <w:t>年度中国·大健康产业十大创新力企业”等多项荣誉。</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240" w:lineRule="auto"/>
        <w:ind w:right="141"/>
        <w:jc w:val="left"/>
      </w:pPr>
      <w:r>
        <w:rPr/>
        <w:t>公司需遵守《深圳证券交易所创业板行业信息披露指引第</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w:t>
      </w:r>
    </w:p>
    <w:p>
      <w:pPr>
        <w:spacing w:line="240" w:lineRule="auto" w:before="0"/>
        <w:rPr>
          <w:rFonts w:ascii="宋体" w:hAnsi="宋体" w:cs="宋体" w:eastAsia="宋体" w:hint="default"/>
          <w:sz w:val="24"/>
          <w:szCs w:val="24"/>
        </w:rPr>
      </w:pPr>
    </w:p>
    <w:p>
      <w:pPr>
        <w:pStyle w:val="Heading2"/>
        <w:spacing w:line="240" w:lineRule="auto"/>
        <w:ind w:right="141"/>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2" w:right="54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41"/>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84"/>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是</w:t>
      </w:r>
    </w:p>
    <w:p>
      <w:pPr>
        <w:pStyle w:val="BodyText"/>
        <w:spacing w:line="240" w:lineRule="auto" w:before="43"/>
        <w:ind w:right="141"/>
        <w:jc w:val="left"/>
      </w:pPr>
      <w:r>
        <w:rPr/>
        <w:t>不同销售模式下的经营情况</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销售模式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销售收入</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毛利率</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直销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1,558,848,168.03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528,780,673.16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70.86%</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pStyle w:val="BodyText"/>
        <w:spacing w:line="360" w:lineRule="auto" w:before="51"/>
        <w:ind w:right="-19"/>
        <w:jc w:val="left"/>
      </w:pPr>
      <w:r>
        <w:rPr/>
        <w:t>以上销售模式对应的销售收入系基因组学应用行业收入，不含其他业务收入。 营业收入整体情况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6274" w:space="2646"/>
            <w:col w:w="1030"/>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2,095,544,271.44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1,711,498,253.66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22.44%</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基因组学应用行业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2,087,628,841.19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1,700,885,015.52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22.74%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7,915,430.25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10,613,238.14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-25.42%</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生育健康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1,136,064,795.57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929,069,058.76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22.28%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复杂疾病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456,523,704.01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383,273,874.89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19.11%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基础科研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404,183,564.36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329,138,478.37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22.80%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药物研发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90,856,777.25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59,403,603.50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52.95%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7,915,430.25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10,613,238.14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-25.42%</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1,596,075,469.56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76.17%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1,303,925,557.28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76.18%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22.41%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欧洲、非洲及中东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198,281,337.79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180,915,902.05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9.60%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139,998,611.52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111,712,494.82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6.53%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25.32%</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0"/>
              <w:jc w:val="left"/>
              <w:rPr>
                <w:rFonts w:ascii="宋体" w:hAnsi="宋体" w:cs="宋体" w:eastAsia="宋体" w:hint="default"/>
                <w:sz w:val="18"/>
                <w:szCs w:val="18"/>
              </w:rPr>
            </w:pPr>
            <w:r>
              <w:rPr>
                <w:rFonts w:ascii="宋体" w:hAnsi="宋体" w:cs="宋体" w:eastAsia="宋体" w:hint="default"/>
                <w:sz w:val="18"/>
                <w:szCs w:val="18"/>
              </w:rPr>
              <w:t>亚洲（不含中国大 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161,188,852.57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114,944,299.51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40.23%</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974" w:top="1100" w:bottom="1160" w:left="980" w:right="98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是</w:t>
      </w:r>
    </w:p>
    <w:p>
      <w:pPr>
        <w:pStyle w:val="BodyText"/>
        <w:spacing w:line="240" w:lineRule="auto" w:before="36"/>
        <w:ind w:right="-20"/>
        <w:jc w:val="left"/>
      </w:pPr>
      <w:r>
        <w:rPr/>
        <w:t>医疗器械业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1366"/>
        <w:gridCol w:w="1366"/>
        <w:gridCol w:w="1368"/>
        <w:gridCol w:w="1366"/>
        <w:gridCol w:w="1373"/>
      </w:tblGrid>
      <w:tr>
        <w:trPr>
          <w:trHeight w:val="715"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基因组学应用行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2,087,628,841.19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900,398,214.89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27.35%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生育健康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1,136,064,795.57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366,152,786.37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67.07%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复杂疾病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456,523,704.01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253,931,831.05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10.78%</w:t>
            </w: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基础科研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404,183,564.36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229,941,478.96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18.47%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pStyle w:val="BodyText"/>
        <w:spacing w:line="240" w:lineRule="auto" w:before="51"/>
        <w:ind w:right="141"/>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41"/>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41"/>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41"/>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41"/>
        <w:jc w:val="left"/>
      </w:pPr>
      <w:r>
        <w:rPr/>
        <w:t>行业分类</w:t>
      </w:r>
    </w:p>
    <w:p>
      <w:pPr>
        <w:pStyle w:val="BodyText"/>
        <w:spacing w:line="240" w:lineRule="auto" w:before="117"/>
        <w:ind w:left="0" w:right="151"/>
        <w:jc w:val="right"/>
      </w:pPr>
      <w:r>
        <w:rPr/>
        <w:t>单位：元</w:t>
      </w:r>
    </w:p>
    <w:p>
      <w:pPr>
        <w:spacing w:after="0" w:line="240" w:lineRule="auto"/>
        <w:jc w:val="right"/>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基因组学应用行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497,314,660.64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367,190,033.24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35.44%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基因组学应用行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183,083,805.83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146,644,155.02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24.85%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基因组学应用行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219,999,748.42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193,202,197.69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13.87%</w:t>
            </w:r>
          </w:p>
        </w:tc>
      </w:tr>
    </w:tbl>
    <w:p>
      <w:pPr>
        <w:pStyle w:val="BodyText"/>
        <w:spacing w:line="338" w:lineRule="auto" w:before="51"/>
        <w:ind w:right="1464"/>
        <w:jc w:val="left"/>
      </w:pPr>
      <w:r>
        <w:rPr/>
        <w:t>公司需遵守《深圳证券交易所创业板行业信息披露指引第</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生产和采购模式分类</w:t>
      </w:r>
    </w:p>
    <w:p>
      <w:pPr>
        <w:pStyle w:val="BodyText"/>
        <w:spacing w:line="240" w:lineRule="auto" w:before="43"/>
        <w:ind w:right="141"/>
        <w:jc w:val="left"/>
        <w:rPr>
          <w:rFonts w:ascii="Times New Roman" w:hAnsi="Times New Roman" w:cs="Times New Roman" w:eastAsia="Times New Roman" w:hint="default"/>
        </w:rPr>
      </w:pPr>
      <w:r>
        <w:rPr/>
        <w:t>详见第三节</w:t>
      </w:r>
      <w:r>
        <w:rPr>
          <w:rFonts w:ascii="Times New Roman" w:hAnsi="Times New Roman" w:cs="Times New Roman" w:eastAsia="Times New Roman" w:hint="default"/>
        </w:rPr>
        <w:t>“</w:t>
      </w:r>
      <w:r>
        <w:rPr/>
        <w:t>公司业务概要</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一、报告期内公司从事的主要业务</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41"/>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41"/>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141"/>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259"/>
        <w:gridCol w:w="5310"/>
      </w:tblGrid>
      <w:tr>
        <w:trPr>
          <w:trHeight w:val="402"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203,287,515.20</w:t>
            </w:r>
          </w:p>
        </w:tc>
      </w:tr>
      <w:tr>
        <w:trPr>
          <w:trHeight w:val="402"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9.70%</w:t>
            </w:r>
          </w:p>
        </w:tc>
      </w:tr>
      <w:tr>
        <w:trPr>
          <w:trHeight w:val="715"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41"/>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802"/>
        <w:gridCol w:w="3301"/>
        <w:gridCol w:w="2324"/>
        <w:gridCol w:w="3142"/>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58,349,002.04</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2.78%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46,039,617.67</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38,621,095.49</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1.84%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32,043,060.00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28,234,740.00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1.35%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203,287,515.20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9.70%</w:t>
            </w:r>
          </w:p>
        </w:tc>
      </w:tr>
    </w:tbl>
    <w:p>
      <w:pPr>
        <w:pStyle w:val="BodyText"/>
        <w:spacing w:line="240" w:lineRule="auto" w:before="51"/>
        <w:ind w:right="141"/>
        <w:jc w:val="left"/>
      </w:pPr>
      <w:r>
        <w:rPr/>
        <w:t>主要客户其他情况说明</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after="0" w:line="340" w:lineRule="auto"/>
        <w:jc w:val="left"/>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4259"/>
        <w:gridCol w:w="5310"/>
      </w:tblGrid>
      <w:tr>
        <w:trPr>
          <w:trHeight w:val="402"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527,225,785.95</w:t>
            </w:r>
          </w:p>
        </w:tc>
      </w:tr>
      <w:tr>
        <w:trPr>
          <w:trHeight w:val="402"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3"/>
              <w:jc w:val="right"/>
              <w:rPr>
                <w:rFonts w:ascii="Times New Roman" w:hAnsi="Times New Roman" w:cs="Times New Roman" w:eastAsia="Times New Roman" w:hint="default"/>
                <w:sz w:val="18"/>
                <w:szCs w:val="18"/>
              </w:rPr>
            </w:pPr>
            <w:r>
              <w:rPr>
                <w:rFonts w:ascii="Times New Roman"/>
                <w:sz w:val="18"/>
              </w:rPr>
              <w:t>61.09%</w:t>
            </w:r>
          </w:p>
        </w:tc>
      </w:tr>
      <w:tr>
        <w:trPr>
          <w:trHeight w:val="715"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34.81%</w:t>
            </w:r>
          </w:p>
        </w:tc>
      </w:tr>
    </w:tbl>
    <w:p>
      <w:pPr>
        <w:pStyle w:val="BodyText"/>
        <w:spacing w:line="240" w:lineRule="auto" w:before="51"/>
        <w:ind w:right="141"/>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934"/>
        <w:gridCol w:w="3169"/>
        <w:gridCol w:w="2324"/>
        <w:gridCol w:w="3142"/>
      </w:tblGrid>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300,360,793.03</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34.81%</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128,604,727.26</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14.90%</w:t>
            </w:r>
          </w:p>
        </w:tc>
      </w:tr>
      <w:tr>
        <w:trPr>
          <w:trHeight w:val="404"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52,853,353.35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6.12%</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24,433,385.00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2.83%</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20,973,527.31</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2.43%</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527,225,785.95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61.09%</w:t>
            </w:r>
          </w:p>
        </w:tc>
      </w:tr>
    </w:tbl>
    <w:p>
      <w:pPr>
        <w:pStyle w:val="BodyText"/>
        <w:spacing w:line="240" w:lineRule="auto" w:before="51"/>
        <w:ind w:right="141"/>
        <w:jc w:val="left"/>
      </w:pPr>
      <w:r>
        <w:rPr/>
        <w:t>主要供应商其他情况说明</w:t>
      </w:r>
    </w:p>
    <w:p>
      <w:pPr>
        <w:pStyle w:val="BodyText"/>
        <w:spacing w:line="340" w:lineRule="auto" w:before="115"/>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上述供应商一是属于同一控制下的关联方，详见第十一节财务报告中的附注</w:t>
      </w:r>
      <w:r>
        <w:rPr>
          <w:rFonts w:ascii="Times New Roman" w:hAnsi="Times New Roman" w:cs="Times New Roman" w:eastAsia="Times New Roman" w:hint="default"/>
        </w:rPr>
        <w:t>“</w:t>
      </w:r>
      <w:r>
        <w:rPr/>
        <w:t>十二、关联方及关联交易</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9"/>
          <w:szCs w:val="19"/>
        </w:rPr>
      </w:pPr>
    </w:p>
    <w:p>
      <w:pPr>
        <w:pStyle w:val="Heading3"/>
        <w:spacing w:line="240" w:lineRule="auto"/>
        <w:ind w:right="141"/>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6"/>
        <w:gridCol w:w="1637"/>
        <w:gridCol w:w="1637"/>
        <w:gridCol w:w="1462"/>
        <w:gridCol w:w="2917"/>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401,861,236.69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7" w:right="0"/>
              <w:jc w:val="left"/>
              <w:rPr>
                <w:rFonts w:ascii="Times New Roman" w:hAnsi="Times New Roman" w:cs="Times New Roman" w:eastAsia="Times New Roman" w:hint="default"/>
                <w:sz w:val="18"/>
                <w:szCs w:val="18"/>
              </w:rPr>
            </w:pPr>
            <w:r>
              <w:rPr>
                <w:rFonts w:ascii="Times New Roman"/>
                <w:sz w:val="18"/>
              </w:rPr>
              <w:t>327,611,549.12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22.66%</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327,807,331.08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9" w:right="0"/>
              <w:jc w:val="left"/>
              <w:rPr>
                <w:rFonts w:ascii="Times New Roman" w:hAnsi="Times New Roman" w:cs="Times New Roman" w:eastAsia="Times New Roman" w:hint="default"/>
                <w:sz w:val="18"/>
                <w:szCs w:val="18"/>
              </w:rPr>
            </w:pPr>
            <w:r>
              <w:rPr>
                <w:rFonts w:ascii="Times New Roman"/>
                <w:sz w:val="18"/>
              </w:rPr>
              <w:t>338,140,068.30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-3.06%</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3,018,972.04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-11,831,331.63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82"/>
              <w:jc w:val="left"/>
              <w:rPr>
                <w:rFonts w:ascii="宋体" w:hAnsi="宋体" w:cs="宋体" w:eastAsia="宋体" w:hint="default"/>
                <w:sz w:val="18"/>
                <w:szCs w:val="18"/>
              </w:rPr>
            </w:pPr>
            <w:r>
              <w:rPr>
                <w:rFonts w:ascii="宋体" w:hAnsi="宋体" w:cs="宋体" w:eastAsia="宋体" w:hint="default"/>
                <w:sz w:val="18"/>
                <w:szCs w:val="18"/>
              </w:rPr>
              <w:t>主要系持有的外币资产因汇率波动 产生的损失</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报告期内，公司重点研发项目情况如下：</w:t>
      </w:r>
    </w:p>
    <w:p>
      <w:pPr>
        <w:spacing w:line="240" w:lineRule="auto" w:before="7"/>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567"/>
        <w:gridCol w:w="2129"/>
        <w:gridCol w:w="2268"/>
        <w:gridCol w:w="2408"/>
        <w:gridCol w:w="2182"/>
      </w:tblGrid>
      <w:tr>
        <w:trPr>
          <w:trHeight w:val="71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90" w:right="185"/>
              <w:jc w:val="center"/>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b/>
                <w:bCs/>
                <w:sz w:val="18"/>
                <w:szCs w:val="18"/>
              </w:rPr>
              <w:t>重点研发项目</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b/>
                <w:bCs/>
                <w:sz w:val="18"/>
                <w:szCs w:val="18"/>
              </w:rPr>
              <w:t>拟达到的目标</w:t>
            </w:r>
            <w:r>
              <w:rPr>
                <w:rFonts w:ascii="宋体" w:hAnsi="宋体" w:cs="宋体" w:eastAsia="宋体" w:hint="default"/>
                <w:sz w:val="18"/>
                <w:szCs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项目进度</w:t>
            </w:r>
            <w:r>
              <w:rPr>
                <w:rFonts w:ascii="宋体" w:hAnsi="宋体" w:cs="宋体" w:eastAsia="宋体" w:hint="default"/>
                <w:sz w:val="18"/>
                <w:szCs w:val="18"/>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b/>
                <w:bCs/>
                <w:sz w:val="18"/>
                <w:szCs w:val="18"/>
              </w:rPr>
              <w:t>对公司未来发展的影响</w:t>
            </w:r>
            <w:r>
              <w:rPr>
                <w:rFonts w:ascii="宋体" w:hAnsi="宋体" w:cs="宋体" w:eastAsia="宋体" w:hint="default"/>
                <w:sz w:val="18"/>
                <w:szCs w:val="18"/>
              </w:rPr>
            </w:r>
          </w:p>
        </w:tc>
      </w:tr>
      <w:tr>
        <w:trPr>
          <w:trHeight w:val="102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105" w:right="92"/>
              <w:jc w:val="left"/>
              <w:rPr>
                <w:rFonts w:ascii="宋体" w:hAnsi="宋体" w:cs="宋体" w:eastAsia="宋体" w:hint="default"/>
                <w:sz w:val="18"/>
                <w:szCs w:val="18"/>
              </w:rPr>
            </w:pPr>
            <w:r>
              <w:rPr>
                <w:rFonts w:ascii="宋体" w:hAnsi="宋体" w:cs="宋体" w:eastAsia="宋体" w:hint="default"/>
                <w:spacing w:val="12"/>
                <w:sz w:val="18"/>
                <w:szCs w:val="18"/>
              </w:rPr>
              <w:t>百种单基因遗传病携带 </w:t>
            </w:r>
            <w:r>
              <w:rPr>
                <w:rFonts w:ascii="宋体" w:hAnsi="宋体" w:cs="宋体" w:eastAsia="宋体" w:hint="default"/>
                <w:sz w:val="18"/>
                <w:szCs w:val="18"/>
              </w:rPr>
              <w:t>者筛查产品开发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103" w:right="95"/>
              <w:jc w:val="both"/>
              <w:rPr>
                <w:rFonts w:ascii="宋体" w:hAnsi="宋体" w:cs="宋体" w:eastAsia="宋体" w:hint="default"/>
                <w:sz w:val="18"/>
                <w:szCs w:val="18"/>
              </w:rPr>
            </w:pPr>
            <w:r>
              <w:rPr>
                <w:rFonts w:ascii="宋体" w:hAnsi="宋体" w:cs="宋体" w:eastAsia="宋体" w:hint="default"/>
                <w:spacing w:val="-6"/>
                <w:sz w:val="18"/>
                <w:szCs w:val="18"/>
              </w:rPr>
              <w:t>开发（</w:t>
            </w:r>
            <w:r>
              <w:rPr>
                <w:rFonts w:ascii="Times New Roman" w:hAnsi="Times New Roman" w:cs="Times New Roman" w:eastAsia="Times New Roman" w:hint="default"/>
                <w:spacing w:val="-6"/>
                <w:sz w:val="18"/>
                <w:szCs w:val="18"/>
              </w:rPr>
              <w:t>100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种）单基因遗传</w:t>
            </w:r>
            <w:r>
              <w:rPr>
                <w:rFonts w:ascii="宋体" w:hAnsi="宋体" w:cs="宋体" w:eastAsia="宋体" w:hint="default"/>
                <w:sz w:val="18"/>
                <w:szCs w:val="18"/>
              </w:rPr>
              <w:t> </w:t>
            </w:r>
            <w:r>
              <w:rPr>
                <w:rFonts w:ascii="宋体" w:hAnsi="宋体" w:cs="宋体" w:eastAsia="宋体" w:hint="default"/>
                <w:spacing w:val="7"/>
                <w:sz w:val="18"/>
                <w:szCs w:val="18"/>
              </w:rPr>
              <w:t>病携带者筛查产品并实现</w:t>
            </w:r>
            <w:r>
              <w:rPr>
                <w:rFonts w:ascii="宋体" w:hAnsi="宋体" w:cs="宋体" w:eastAsia="宋体" w:hint="default"/>
                <w:spacing w:val="7"/>
                <w:sz w:val="18"/>
                <w:szCs w:val="18"/>
              </w:rPr>
              <w:t> </w:t>
            </w:r>
            <w:r>
              <w:rPr>
                <w:rFonts w:ascii="宋体" w:hAnsi="宋体" w:cs="宋体" w:eastAsia="宋体" w:hint="default"/>
                <w:sz w:val="18"/>
                <w:szCs w:val="18"/>
              </w:rPr>
              <w:t>有效的成本控制</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103" w:right="105"/>
              <w:jc w:val="left"/>
              <w:rPr>
                <w:rFonts w:ascii="宋体" w:hAnsi="宋体" w:cs="宋体" w:eastAsia="宋体" w:hint="default"/>
                <w:sz w:val="18"/>
                <w:szCs w:val="18"/>
              </w:rPr>
            </w:pPr>
            <w:r>
              <w:rPr>
                <w:rFonts w:ascii="宋体" w:hAnsi="宋体" w:cs="宋体" w:eastAsia="宋体" w:hint="default"/>
                <w:spacing w:val="2"/>
                <w:sz w:val="18"/>
                <w:szCs w:val="18"/>
              </w:rPr>
              <w:t>完成产品开发及技术优化，</w:t>
            </w:r>
            <w:r>
              <w:rPr>
                <w:rFonts w:ascii="宋体" w:hAnsi="宋体" w:cs="宋体" w:eastAsia="宋体" w:hint="default"/>
                <w:sz w:val="18"/>
                <w:szCs w:val="18"/>
              </w:rPr>
              <w:t> 实现成本有效控制</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9"/>
              <w:jc w:val="both"/>
              <w:rPr>
                <w:rFonts w:ascii="宋体" w:hAnsi="宋体" w:cs="宋体" w:eastAsia="宋体" w:hint="default"/>
                <w:sz w:val="18"/>
                <w:szCs w:val="18"/>
              </w:rPr>
            </w:pPr>
            <w:r>
              <w:rPr>
                <w:rFonts w:ascii="宋体" w:hAnsi="宋体" w:cs="宋体" w:eastAsia="宋体" w:hint="default"/>
                <w:spacing w:val="-2"/>
                <w:sz w:val="18"/>
                <w:szCs w:val="18"/>
              </w:rPr>
              <w:t>占领携带者筛查市场，丰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富产品结构，拓展盈利空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间</w:t>
            </w:r>
          </w:p>
        </w:tc>
      </w:tr>
      <w:tr>
        <w:trPr>
          <w:trHeight w:val="1340"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5" w:right="92"/>
              <w:jc w:val="both"/>
              <w:rPr>
                <w:rFonts w:ascii="宋体" w:hAnsi="宋体" w:cs="宋体" w:eastAsia="宋体" w:hint="default"/>
                <w:sz w:val="18"/>
                <w:szCs w:val="18"/>
              </w:rPr>
            </w:pPr>
            <w:r>
              <w:rPr>
                <w:rFonts w:ascii="宋体" w:hAnsi="宋体" w:cs="宋体" w:eastAsia="宋体" w:hint="default"/>
                <w:spacing w:val="10"/>
                <w:sz w:val="18"/>
                <w:szCs w:val="18"/>
              </w:rPr>
              <w:t>不依赖先证者的无创单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基因遗传病检测技术开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95"/>
              <w:jc w:val="both"/>
              <w:rPr>
                <w:rFonts w:ascii="宋体" w:hAnsi="宋体" w:cs="宋体" w:eastAsia="宋体" w:hint="default"/>
                <w:sz w:val="18"/>
                <w:szCs w:val="18"/>
              </w:rPr>
            </w:pPr>
            <w:r>
              <w:rPr>
                <w:rFonts w:ascii="宋体" w:hAnsi="宋体" w:cs="宋体" w:eastAsia="宋体" w:hint="default"/>
                <w:spacing w:val="7"/>
                <w:sz w:val="18"/>
                <w:szCs w:val="18"/>
              </w:rPr>
              <w:t>开发不依赖先证者的无创 单基因遗传病检测技术并 </w:t>
            </w:r>
            <w:r>
              <w:rPr>
                <w:rFonts w:ascii="宋体" w:hAnsi="宋体" w:cs="宋体" w:eastAsia="宋体" w:hint="default"/>
                <w:sz w:val="18"/>
                <w:szCs w:val="18"/>
              </w:rPr>
              <w:t>孵化临床应用产品</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5"/>
              <w:jc w:val="left"/>
              <w:rPr>
                <w:rFonts w:ascii="宋体" w:hAnsi="宋体" w:cs="宋体" w:eastAsia="宋体" w:hint="default"/>
                <w:sz w:val="18"/>
                <w:szCs w:val="18"/>
              </w:rPr>
            </w:pPr>
            <w:r>
              <w:rPr>
                <w:rFonts w:ascii="宋体" w:hAnsi="宋体" w:cs="宋体" w:eastAsia="宋体" w:hint="default"/>
                <w:spacing w:val="2"/>
                <w:sz w:val="18"/>
                <w:szCs w:val="18"/>
              </w:rPr>
              <w:t>完成技术建立及基本性能测</w:t>
            </w:r>
            <w:r>
              <w:rPr>
                <w:rFonts w:ascii="宋体" w:hAnsi="宋体" w:cs="宋体" w:eastAsia="宋体" w:hint="default"/>
                <w:sz w:val="18"/>
                <w:szCs w:val="18"/>
              </w:rPr>
              <w:t> 试</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5" w:right="97"/>
              <w:jc w:val="both"/>
              <w:rPr>
                <w:rFonts w:ascii="宋体" w:hAnsi="宋体" w:cs="宋体" w:eastAsia="宋体" w:hint="default"/>
                <w:sz w:val="18"/>
                <w:szCs w:val="18"/>
              </w:rPr>
            </w:pPr>
            <w:r>
              <w:rPr>
                <w:rFonts w:ascii="宋体" w:hAnsi="宋体" w:cs="宋体" w:eastAsia="宋体" w:hint="default"/>
                <w:spacing w:val="16"/>
                <w:sz w:val="18"/>
                <w:szCs w:val="18"/>
              </w:rPr>
              <w:t>占领无创单基因遗传病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检测技术高地，为公司拓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6"/>
                <w:sz w:val="18"/>
                <w:szCs w:val="18"/>
              </w:rPr>
              <w:t>展产品市场积蓄技术储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w:t>
            </w:r>
          </w:p>
        </w:tc>
      </w:tr>
    </w:tbl>
    <w:p>
      <w:pPr>
        <w:spacing w:after="0" w:line="319" w:lineRule="auto"/>
        <w:jc w:val="both"/>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567"/>
        <w:gridCol w:w="2129"/>
        <w:gridCol w:w="2268"/>
        <w:gridCol w:w="2408"/>
        <w:gridCol w:w="2182"/>
      </w:tblGrid>
      <w:tr>
        <w:trPr>
          <w:trHeight w:val="71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无创地贫检测产品开发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5"/>
              <w:jc w:val="left"/>
              <w:rPr>
                <w:rFonts w:ascii="宋体" w:hAnsi="宋体" w:cs="宋体" w:eastAsia="宋体" w:hint="default"/>
                <w:sz w:val="18"/>
                <w:szCs w:val="18"/>
              </w:rPr>
            </w:pPr>
            <w:r>
              <w:rPr>
                <w:rFonts w:ascii="宋体" w:hAnsi="宋体" w:cs="宋体" w:eastAsia="宋体" w:hint="default"/>
                <w:spacing w:val="7"/>
                <w:sz w:val="18"/>
                <w:szCs w:val="18"/>
              </w:rPr>
              <w:t>开发无创地贫检测技术并 </w:t>
            </w:r>
            <w:r>
              <w:rPr>
                <w:rFonts w:ascii="宋体" w:hAnsi="宋体" w:cs="宋体" w:eastAsia="宋体" w:hint="default"/>
                <w:sz w:val="18"/>
                <w:szCs w:val="18"/>
              </w:rPr>
              <w:t>孵化临床应用产品</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left"/>
              <w:rPr>
                <w:rFonts w:ascii="宋体" w:hAnsi="宋体" w:cs="宋体" w:eastAsia="宋体" w:hint="default"/>
                <w:sz w:val="18"/>
                <w:szCs w:val="18"/>
              </w:rPr>
            </w:pPr>
            <w:r>
              <w:rPr>
                <w:rFonts w:ascii="宋体" w:hAnsi="宋体" w:cs="宋体" w:eastAsia="宋体" w:hint="default"/>
                <w:spacing w:val="2"/>
                <w:sz w:val="18"/>
                <w:szCs w:val="18"/>
              </w:rPr>
              <w:t>完成技术建立及基本性能测</w:t>
            </w:r>
            <w:r>
              <w:rPr>
                <w:rFonts w:ascii="宋体" w:hAnsi="宋体" w:cs="宋体" w:eastAsia="宋体" w:hint="default"/>
                <w:sz w:val="18"/>
                <w:szCs w:val="18"/>
              </w:rPr>
              <w:t> 试</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丰富产品，拓展盈利空间</w:t>
            </w:r>
          </w:p>
        </w:tc>
      </w:tr>
      <w:tr>
        <w:trPr>
          <w:trHeight w:val="71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耳聋基因筛查产品升级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103" w:right="103"/>
              <w:jc w:val="left"/>
              <w:rPr>
                <w:rFonts w:ascii="宋体" w:hAnsi="宋体" w:cs="宋体" w:eastAsia="宋体" w:hint="default"/>
                <w:sz w:val="18"/>
                <w:szCs w:val="18"/>
              </w:rPr>
            </w:pPr>
            <w:r>
              <w:rPr>
                <w:rFonts w:ascii="宋体" w:hAnsi="宋体" w:cs="宋体" w:eastAsia="宋体" w:hint="default"/>
                <w:sz w:val="18"/>
                <w:szCs w:val="18"/>
              </w:rPr>
              <w:t>开发基于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NGS</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平台的耳聋 基因筛查产品</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3" w:right="105"/>
              <w:jc w:val="left"/>
              <w:rPr>
                <w:rFonts w:ascii="宋体" w:hAnsi="宋体" w:cs="宋体" w:eastAsia="宋体" w:hint="default"/>
                <w:sz w:val="18"/>
                <w:szCs w:val="18"/>
              </w:rPr>
            </w:pPr>
            <w:r>
              <w:rPr>
                <w:rFonts w:ascii="宋体" w:hAnsi="宋体" w:cs="宋体" w:eastAsia="宋体" w:hint="default"/>
                <w:spacing w:val="2"/>
                <w:sz w:val="18"/>
                <w:szCs w:val="18"/>
              </w:rPr>
              <w:t>完成产品开发及技术优化，</w:t>
            </w:r>
            <w:r>
              <w:rPr>
                <w:rFonts w:ascii="宋体" w:hAnsi="宋体" w:cs="宋体" w:eastAsia="宋体" w:hint="default"/>
                <w:sz w:val="18"/>
                <w:szCs w:val="18"/>
              </w:rPr>
              <w:t> 产品已上市发布</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99"/>
              <w:jc w:val="left"/>
              <w:rPr>
                <w:rFonts w:ascii="宋体" w:hAnsi="宋体" w:cs="宋体" w:eastAsia="宋体" w:hint="default"/>
                <w:sz w:val="18"/>
                <w:szCs w:val="18"/>
              </w:rPr>
            </w:pPr>
            <w:r>
              <w:rPr>
                <w:rFonts w:ascii="宋体" w:hAnsi="宋体" w:cs="宋体" w:eastAsia="宋体" w:hint="default"/>
                <w:spacing w:val="-2"/>
                <w:sz w:val="18"/>
                <w:szCs w:val="18"/>
              </w:rPr>
              <w:t>丰富产品结构，拓展盈利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空间</w:t>
            </w:r>
          </w:p>
        </w:tc>
      </w:tr>
      <w:tr>
        <w:trPr>
          <w:trHeight w:val="71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5" w:right="99"/>
              <w:jc w:val="left"/>
              <w:rPr>
                <w:rFonts w:ascii="宋体" w:hAnsi="宋体" w:cs="宋体" w:eastAsia="宋体" w:hint="default"/>
                <w:sz w:val="18"/>
                <w:szCs w:val="18"/>
              </w:rPr>
            </w:pPr>
            <w:r>
              <w:rPr>
                <w:rFonts w:ascii="宋体" w:hAnsi="宋体" w:cs="宋体" w:eastAsia="宋体" w:hint="default"/>
                <w:sz w:val="18"/>
                <w:szCs w:val="18"/>
              </w:rPr>
              <w:t>脆性 </w:t>
            </w:r>
            <w:r>
              <w:rPr>
                <w:rFonts w:ascii="Times New Roman" w:hAnsi="Times New Roman" w:cs="Times New Roman" w:eastAsia="Times New Roman" w:hint="default"/>
                <w:sz w:val="18"/>
                <w:szCs w:val="18"/>
              </w:rPr>
              <w:t>X</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综合征疾病检测 产品开发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98"/>
              <w:jc w:val="left"/>
              <w:rPr>
                <w:rFonts w:ascii="宋体" w:hAnsi="宋体" w:cs="宋体" w:eastAsia="宋体" w:hint="default"/>
                <w:sz w:val="18"/>
                <w:szCs w:val="18"/>
              </w:rPr>
            </w:pPr>
            <w:r>
              <w:rPr>
                <w:rFonts w:ascii="宋体" w:hAnsi="宋体" w:cs="宋体" w:eastAsia="宋体" w:hint="default"/>
                <w:sz w:val="18"/>
                <w:szCs w:val="18"/>
              </w:rPr>
              <w:t>开发脆性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X</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综合征检测</w:t>
            </w:r>
            <w:r>
              <w:rPr>
                <w:rFonts w:ascii="Times New Roman" w:hAnsi="Times New Roman" w:cs="Times New Roman" w:eastAsia="Times New Roman" w:hint="default"/>
                <w:sz w:val="18"/>
                <w:szCs w:val="18"/>
              </w:rPr>
              <w:t>/</w:t>
            </w:r>
            <w:r>
              <w:rPr>
                <w:rFonts w:ascii="宋体" w:hAnsi="宋体" w:cs="宋体" w:eastAsia="宋体" w:hint="default"/>
                <w:sz w:val="18"/>
                <w:szCs w:val="18"/>
              </w:rPr>
              <w:t>筛 查产品</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left"/>
              <w:rPr>
                <w:rFonts w:ascii="宋体" w:hAnsi="宋体" w:cs="宋体" w:eastAsia="宋体" w:hint="default"/>
                <w:sz w:val="18"/>
                <w:szCs w:val="18"/>
              </w:rPr>
            </w:pPr>
            <w:r>
              <w:rPr>
                <w:rFonts w:ascii="宋体" w:hAnsi="宋体" w:cs="宋体" w:eastAsia="宋体" w:hint="default"/>
                <w:spacing w:val="2"/>
                <w:sz w:val="18"/>
                <w:szCs w:val="18"/>
              </w:rPr>
              <w:t>完成产品开发，产品已上市</w:t>
            </w:r>
            <w:r>
              <w:rPr>
                <w:rFonts w:ascii="宋体" w:hAnsi="宋体" w:cs="宋体" w:eastAsia="宋体" w:hint="default"/>
                <w:sz w:val="18"/>
                <w:szCs w:val="18"/>
              </w:rPr>
              <w:t> 发布</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丰富产品，拓展盈利空间</w:t>
            </w:r>
          </w:p>
        </w:tc>
      </w:tr>
      <w:tr>
        <w:trPr>
          <w:trHeight w:val="102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常见单基因病通用</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panel</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95"/>
              <w:jc w:val="both"/>
              <w:rPr>
                <w:rFonts w:ascii="宋体" w:hAnsi="宋体" w:cs="宋体" w:eastAsia="宋体" w:hint="default"/>
                <w:sz w:val="18"/>
                <w:szCs w:val="18"/>
              </w:rPr>
            </w:pPr>
            <w:r>
              <w:rPr>
                <w:rFonts w:ascii="宋体" w:hAnsi="宋体" w:cs="宋体" w:eastAsia="宋体" w:hint="default"/>
                <w:spacing w:val="7"/>
                <w:sz w:val="18"/>
                <w:szCs w:val="18"/>
              </w:rPr>
              <w:t>开发发病率较高、收样量 较大的多种单病检测集合 </w:t>
            </w:r>
            <w:r>
              <w:rPr>
                <w:rFonts w:ascii="Times New Roman" w:hAnsi="Times New Roman" w:cs="Times New Roman" w:eastAsia="Times New Roman" w:hint="default"/>
                <w:sz w:val="18"/>
                <w:szCs w:val="18"/>
              </w:rPr>
              <w:t>panel</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完成产品开发</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05" w:right="99"/>
              <w:jc w:val="left"/>
              <w:rPr>
                <w:rFonts w:ascii="宋体" w:hAnsi="宋体" w:cs="宋体" w:eastAsia="宋体" w:hint="default"/>
                <w:sz w:val="18"/>
                <w:szCs w:val="18"/>
              </w:rPr>
            </w:pPr>
            <w:r>
              <w:rPr>
                <w:rFonts w:ascii="宋体" w:hAnsi="宋体" w:cs="宋体" w:eastAsia="宋体" w:hint="default"/>
                <w:spacing w:val="-2"/>
                <w:sz w:val="18"/>
                <w:szCs w:val="18"/>
              </w:rPr>
              <w:t>优化产品结构，拓展盈利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空间</w:t>
            </w:r>
          </w:p>
        </w:tc>
      </w:tr>
      <w:tr>
        <w:trPr>
          <w:trHeight w:val="102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5" w:right="0"/>
              <w:jc w:val="left"/>
              <w:rPr>
                <w:rFonts w:ascii="宋体" w:hAnsi="宋体" w:cs="宋体" w:eastAsia="宋体" w:hint="default"/>
                <w:sz w:val="18"/>
                <w:szCs w:val="18"/>
              </w:rPr>
            </w:pPr>
            <w:r>
              <w:rPr>
                <w:rFonts w:ascii="宋体" w:hAnsi="宋体" w:cs="宋体" w:eastAsia="宋体" w:hint="default"/>
                <w:sz w:val="18"/>
                <w:szCs w:val="18"/>
              </w:rPr>
              <w:t>肿瘤早筛</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95"/>
              <w:jc w:val="left"/>
              <w:rPr>
                <w:rFonts w:ascii="宋体" w:hAnsi="宋体" w:cs="宋体" w:eastAsia="宋体" w:hint="default"/>
                <w:sz w:val="18"/>
                <w:szCs w:val="18"/>
              </w:rPr>
            </w:pPr>
            <w:r>
              <w:rPr>
                <w:rFonts w:ascii="宋体" w:hAnsi="宋体" w:cs="宋体" w:eastAsia="宋体" w:hint="default"/>
                <w:spacing w:val="7"/>
                <w:sz w:val="18"/>
                <w:szCs w:val="18"/>
              </w:rPr>
              <w:t>开发肿瘤早筛技术及全癌 </w:t>
            </w:r>
            <w:r>
              <w:rPr>
                <w:rFonts w:ascii="宋体" w:hAnsi="宋体" w:cs="宋体" w:eastAsia="宋体" w:hint="default"/>
                <w:sz w:val="18"/>
                <w:szCs w:val="18"/>
              </w:rPr>
              <w:t>种早期筛查产品</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pacing w:val="2"/>
                <w:sz w:val="18"/>
                <w:szCs w:val="18"/>
              </w:rPr>
              <w:t>完成前期技术开发，产品开</w:t>
            </w:r>
            <w:r>
              <w:rPr>
                <w:rFonts w:ascii="宋体" w:hAnsi="宋体" w:cs="宋体" w:eastAsia="宋体" w:hint="default"/>
                <w:sz w:val="18"/>
                <w:szCs w:val="18"/>
              </w:rPr>
              <w:t> 发顺利推进中</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5" w:right="98"/>
              <w:jc w:val="both"/>
              <w:rPr>
                <w:rFonts w:ascii="宋体" w:hAnsi="宋体" w:cs="宋体" w:eastAsia="宋体" w:hint="default"/>
                <w:sz w:val="18"/>
                <w:szCs w:val="18"/>
              </w:rPr>
            </w:pPr>
            <w:r>
              <w:rPr>
                <w:rFonts w:ascii="宋体" w:hAnsi="宋体" w:cs="宋体" w:eastAsia="宋体" w:hint="default"/>
                <w:spacing w:val="16"/>
                <w:sz w:val="18"/>
                <w:szCs w:val="18"/>
              </w:rPr>
              <w:t>开发国际领先的肿瘤早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期筛查产品，为肿瘤早筛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早诊提供全面解决方案</w:t>
            </w:r>
          </w:p>
        </w:tc>
      </w:tr>
      <w:tr>
        <w:trPr>
          <w:trHeight w:val="133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4" w:right="0"/>
              <w:jc w:val="center"/>
              <w:rPr>
                <w:rFonts w:ascii="Times New Roman" w:hAnsi="Times New Roman" w:cs="Times New Roman" w:eastAsia="Times New Roman" w:hint="default"/>
                <w:sz w:val="18"/>
                <w:szCs w:val="18"/>
              </w:rPr>
            </w:pPr>
            <w:r>
              <w:rPr>
                <w:rFonts w:ascii="Times New Roman"/>
                <w:sz w:val="18"/>
              </w:rPr>
              <w:t>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8"/>
              <w:ind w:left="105" w:right="101"/>
              <w:jc w:val="left"/>
              <w:rPr>
                <w:rFonts w:ascii="宋体" w:hAnsi="宋体" w:cs="宋体" w:eastAsia="宋体" w:hint="default"/>
                <w:sz w:val="18"/>
                <w:szCs w:val="18"/>
              </w:rPr>
            </w:pPr>
            <w:r>
              <w:rPr>
                <w:rFonts w:ascii="宋体" w:hAnsi="宋体" w:cs="宋体" w:eastAsia="宋体" w:hint="default"/>
                <w:spacing w:val="-7"/>
                <w:sz w:val="18"/>
                <w:szCs w:val="18"/>
              </w:rPr>
              <w:t>液体活检技术开发、优化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及转化应用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95"/>
              <w:jc w:val="both"/>
              <w:rPr>
                <w:rFonts w:ascii="宋体" w:hAnsi="宋体" w:cs="宋体" w:eastAsia="宋体" w:hint="default"/>
                <w:sz w:val="18"/>
                <w:szCs w:val="18"/>
              </w:rPr>
            </w:pPr>
            <w:r>
              <w:rPr>
                <w:rFonts w:ascii="宋体" w:hAnsi="宋体" w:cs="宋体" w:eastAsia="宋体" w:hint="default"/>
                <w:spacing w:val="7"/>
                <w:sz w:val="18"/>
                <w:szCs w:val="18"/>
              </w:rPr>
              <w:t>基于肺癌开发并优化高灵 </w:t>
            </w:r>
            <w:r>
              <w:rPr>
                <w:rFonts w:ascii="宋体" w:hAnsi="宋体" w:cs="宋体" w:eastAsia="宋体" w:hint="default"/>
                <w:sz w:val="18"/>
                <w:szCs w:val="18"/>
              </w:rPr>
              <w:t>敏</w:t>
            </w:r>
            <w:r>
              <w:rPr>
                <w:rFonts w:ascii="宋体" w:hAnsi="宋体" w:cs="宋体" w:eastAsia="宋体" w:hint="default"/>
                <w:spacing w:val="-62"/>
                <w:sz w:val="18"/>
                <w:szCs w:val="18"/>
              </w:rPr>
              <w:t> </w:t>
            </w:r>
            <w:r>
              <w:rPr>
                <w:rFonts w:ascii="宋体" w:hAnsi="宋体" w:cs="宋体" w:eastAsia="宋体" w:hint="default"/>
                <w:sz w:val="18"/>
                <w:szCs w:val="18"/>
              </w:rPr>
              <w:t>度</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z w:val="18"/>
                <w:szCs w:val="18"/>
              </w:rPr>
              <w:t>低</w:t>
            </w:r>
            <w:r>
              <w:rPr>
                <w:rFonts w:ascii="宋体" w:hAnsi="宋体" w:cs="宋体" w:eastAsia="宋体" w:hint="default"/>
                <w:spacing w:val="-64"/>
                <w:sz w:val="18"/>
                <w:szCs w:val="18"/>
              </w:rPr>
              <w:t> </w:t>
            </w:r>
            <w:r>
              <w:rPr>
                <w:rFonts w:ascii="宋体" w:hAnsi="宋体" w:cs="宋体" w:eastAsia="宋体" w:hint="default"/>
                <w:sz w:val="18"/>
                <w:szCs w:val="18"/>
              </w:rPr>
              <w:t>频</w:t>
            </w:r>
            <w:r>
              <w:rPr>
                <w:rFonts w:ascii="宋体" w:hAnsi="宋体" w:cs="宋体" w:eastAsia="宋体" w:hint="default"/>
                <w:spacing w:val="-62"/>
                <w:sz w:val="18"/>
                <w:szCs w:val="18"/>
              </w:rPr>
              <w:t> </w:t>
            </w:r>
            <w:r>
              <w:rPr>
                <w:rFonts w:ascii="宋体" w:hAnsi="宋体" w:cs="宋体" w:eastAsia="宋体" w:hint="default"/>
                <w:sz w:val="18"/>
                <w:szCs w:val="18"/>
              </w:rPr>
              <w:t>变</w:t>
            </w:r>
            <w:r>
              <w:rPr>
                <w:rFonts w:ascii="宋体" w:hAnsi="宋体" w:cs="宋体" w:eastAsia="宋体" w:hint="default"/>
                <w:spacing w:val="-62"/>
                <w:sz w:val="18"/>
                <w:szCs w:val="18"/>
              </w:rPr>
              <w:t> </w:t>
            </w:r>
            <w:r>
              <w:rPr>
                <w:rFonts w:ascii="宋体" w:hAnsi="宋体" w:cs="宋体" w:eastAsia="宋体" w:hint="default"/>
                <w:sz w:val="18"/>
                <w:szCs w:val="18"/>
              </w:rPr>
              <w:t>异</w:t>
            </w:r>
            <w:r>
              <w:rPr>
                <w:rFonts w:ascii="宋体" w:hAnsi="宋体" w:cs="宋体" w:eastAsia="宋体" w:hint="default"/>
                <w:spacing w:val="-64"/>
                <w:sz w:val="18"/>
                <w:szCs w:val="18"/>
              </w:rPr>
              <w:t> </w:t>
            </w:r>
            <w:r>
              <w:rPr>
                <w:rFonts w:ascii="宋体" w:hAnsi="宋体" w:cs="宋体" w:eastAsia="宋体" w:hint="default"/>
                <w:sz w:val="18"/>
                <w:szCs w:val="18"/>
              </w:rPr>
              <w:t>检</w:t>
            </w:r>
            <w:r>
              <w:rPr>
                <w:rFonts w:ascii="宋体" w:hAnsi="宋体" w:cs="宋体" w:eastAsia="宋体" w:hint="default"/>
                <w:spacing w:val="-62"/>
                <w:sz w:val="18"/>
                <w:szCs w:val="18"/>
              </w:rPr>
              <w:t> </w:t>
            </w:r>
            <w:r>
              <w:rPr>
                <w:rFonts w:ascii="宋体" w:hAnsi="宋体" w:cs="宋体" w:eastAsia="宋体" w:hint="default"/>
                <w:sz w:val="18"/>
                <w:szCs w:val="18"/>
              </w:rPr>
              <w:t>测</w:t>
            </w:r>
            <w:r>
              <w:rPr>
                <w:rFonts w:ascii="宋体" w:hAnsi="宋体" w:cs="宋体" w:eastAsia="宋体" w:hint="default"/>
                <w:spacing w:val="-62"/>
                <w:sz w:val="18"/>
                <w:szCs w:val="18"/>
              </w:rPr>
              <w:t> </w:t>
            </w:r>
            <w:r>
              <w:rPr>
                <w:rFonts w:ascii="宋体" w:hAnsi="宋体" w:cs="宋体" w:eastAsia="宋体" w:hint="default"/>
                <w:sz w:val="18"/>
                <w:szCs w:val="18"/>
              </w:rPr>
              <w:t>技</w:t>
            </w:r>
            <w:r>
              <w:rPr>
                <w:rFonts w:ascii="宋体" w:hAnsi="宋体" w:cs="宋体" w:eastAsia="宋体" w:hint="default"/>
                <w:sz w:val="18"/>
                <w:szCs w:val="18"/>
              </w:rPr>
              <w:t> 术</w:t>
            </w:r>
            <w:r>
              <w:rPr>
                <w:rFonts w:ascii="宋体" w:hAnsi="宋体" w:cs="宋体" w:eastAsia="宋体" w:hint="default"/>
                <w:spacing w:val="-62"/>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z w:val="18"/>
                <w:szCs w:val="18"/>
              </w:rPr>
              <w:t>并</w:t>
            </w:r>
            <w:r>
              <w:rPr>
                <w:rFonts w:ascii="宋体" w:hAnsi="宋体" w:cs="宋体" w:eastAsia="宋体" w:hint="default"/>
                <w:spacing w:val="-62"/>
                <w:sz w:val="18"/>
                <w:szCs w:val="18"/>
              </w:rPr>
              <w:t> </w:t>
            </w:r>
            <w:r>
              <w:rPr>
                <w:rFonts w:ascii="宋体" w:hAnsi="宋体" w:cs="宋体" w:eastAsia="宋体" w:hint="default"/>
                <w:sz w:val="18"/>
                <w:szCs w:val="18"/>
              </w:rPr>
              <w:t>转</w:t>
            </w:r>
            <w:r>
              <w:rPr>
                <w:rFonts w:ascii="宋体" w:hAnsi="宋体" w:cs="宋体" w:eastAsia="宋体" w:hint="default"/>
                <w:spacing w:val="-64"/>
                <w:sz w:val="18"/>
                <w:szCs w:val="18"/>
              </w:rPr>
              <w:t> </w:t>
            </w:r>
            <w:r>
              <w:rPr>
                <w:rFonts w:ascii="宋体" w:hAnsi="宋体" w:cs="宋体" w:eastAsia="宋体" w:hint="default"/>
                <w:sz w:val="18"/>
                <w:szCs w:val="18"/>
              </w:rPr>
              <w:t>化</w:t>
            </w:r>
            <w:r>
              <w:rPr>
                <w:rFonts w:ascii="宋体" w:hAnsi="宋体" w:cs="宋体" w:eastAsia="宋体" w:hint="default"/>
                <w:spacing w:val="-62"/>
                <w:sz w:val="18"/>
                <w:szCs w:val="18"/>
              </w:rPr>
              <w:t> </w:t>
            </w:r>
            <w:r>
              <w:rPr>
                <w:rFonts w:ascii="宋体" w:hAnsi="宋体" w:cs="宋体" w:eastAsia="宋体" w:hint="default"/>
                <w:sz w:val="18"/>
                <w:szCs w:val="18"/>
              </w:rPr>
              <w:t>产</w:t>
            </w:r>
            <w:r>
              <w:rPr>
                <w:rFonts w:ascii="宋体" w:hAnsi="宋体" w:cs="宋体" w:eastAsia="宋体" w:hint="default"/>
                <w:spacing w:val="-62"/>
                <w:sz w:val="18"/>
                <w:szCs w:val="18"/>
              </w:rPr>
              <w:t> </w:t>
            </w:r>
            <w:r>
              <w:rPr>
                <w:rFonts w:ascii="宋体" w:hAnsi="宋体" w:cs="宋体" w:eastAsia="宋体" w:hint="default"/>
                <w:sz w:val="18"/>
                <w:szCs w:val="18"/>
              </w:rPr>
              <w:t>品</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z w:val="18"/>
                <w:szCs w:val="18"/>
              </w:rPr>
              <w:t>进</w:t>
            </w:r>
            <w:r>
              <w:rPr>
                <w:rFonts w:ascii="宋体" w:hAnsi="宋体" w:cs="宋体" w:eastAsia="宋体" w:hint="default"/>
                <w:spacing w:val="-62"/>
                <w:sz w:val="18"/>
                <w:szCs w:val="18"/>
              </w:rPr>
              <w:t> </w:t>
            </w:r>
            <w:r>
              <w:rPr>
                <w:rFonts w:ascii="宋体" w:hAnsi="宋体" w:cs="宋体" w:eastAsia="宋体" w:hint="default"/>
                <w:sz w:val="18"/>
                <w:szCs w:val="18"/>
              </w:rPr>
              <w:t>行</w:t>
            </w:r>
            <w:r>
              <w:rPr>
                <w:rFonts w:ascii="宋体" w:hAnsi="宋体" w:cs="宋体" w:eastAsia="宋体" w:hint="default"/>
                <w:sz w:val="18"/>
                <w:szCs w:val="18"/>
              </w:rPr>
              <w:t> </w:t>
            </w:r>
            <w:r>
              <w:rPr>
                <w:rFonts w:ascii="Times New Roman" w:hAnsi="Times New Roman" w:cs="Times New Roman" w:eastAsia="Times New Roman" w:hint="default"/>
                <w:sz w:val="18"/>
                <w:szCs w:val="18"/>
              </w:rPr>
              <w:t>CFDA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注册申报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8"/>
              <w:ind w:left="103" w:right="101"/>
              <w:jc w:val="left"/>
              <w:rPr>
                <w:rFonts w:ascii="宋体" w:hAnsi="宋体" w:cs="宋体" w:eastAsia="宋体" w:hint="default"/>
                <w:sz w:val="18"/>
                <w:szCs w:val="18"/>
              </w:rPr>
            </w:pPr>
            <w:r>
              <w:rPr>
                <w:rFonts w:ascii="宋体" w:hAnsi="宋体" w:cs="宋体" w:eastAsia="宋体" w:hint="default"/>
                <w:spacing w:val="-12"/>
                <w:sz w:val="18"/>
                <w:szCs w:val="18"/>
              </w:rPr>
              <w:t>完成技术、产品开发，性能临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床试验开展中</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5" w:right="98"/>
              <w:jc w:val="both"/>
              <w:rPr>
                <w:rFonts w:ascii="宋体" w:hAnsi="宋体" w:cs="宋体" w:eastAsia="宋体" w:hint="default"/>
                <w:sz w:val="18"/>
                <w:szCs w:val="18"/>
              </w:rPr>
            </w:pPr>
            <w:r>
              <w:rPr>
                <w:rFonts w:ascii="宋体" w:hAnsi="宋体" w:cs="宋体" w:eastAsia="宋体" w:hint="default"/>
                <w:spacing w:val="16"/>
                <w:sz w:val="18"/>
                <w:szCs w:val="18"/>
              </w:rPr>
              <w:t>完善液体活检产品性能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及布局，提供国际一流精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准医学解决方案</w:t>
            </w:r>
          </w:p>
        </w:tc>
      </w:tr>
      <w:tr>
        <w:trPr>
          <w:trHeight w:val="133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4" w:right="0"/>
              <w:jc w:val="center"/>
              <w:rPr>
                <w:rFonts w:ascii="Times New Roman" w:hAnsi="Times New Roman" w:cs="Times New Roman" w:eastAsia="Times New Roman" w:hint="default"/>
                <w:sz w:val="18"/>
                <w:szCs w:val="18"/>
              </w:rPr>
            </w:pPr>
            <w:r>
              <w:rPr>
                <w:rFonts w:ascii="Times New Roman"/>
                <w:sz w:val="18"/>
              </w:rPr>
              <w:t>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12"/>
                <w:sz w:val="18"/>
                <w:szCs w:val="18"/>
              </w:rPr>
              <w:t>肺癌组织基因检测产品</w:t>
            </w:r>
            <w:r>
              <w:rPr>
                <w:rFonts w:ascii="宋体" w:hAnsi="宋体" w:cs="宋体" w:eastAsia="宋体" w:hint="default"/>
                <w:sz w:val="18"/>
                <w:szCs w:val="18"/>
              </w:rPr>
            </w:r>
          </w:p>
          <w:p>
            <w:pPr>
              <w:pStyle w:val="TableParagraph"/>
              <w:spacing w:line="316" w:lineRule="auto" w:before="76"/>
              <w:ind w:left="105" w:right="92"/>
              <w:jc w:val="left"/>
              <w:rPr>
                <w:rFonts w:ascii="宋体" w:hAnsi="宋体" w:cs="宋体" w:eastAsia="宋体" w:hint="default"/>
                <w:sz w:val="18"/>
                <w:szCs w:val="18"/>
              </w:rPr>
            </w:pPr>
            <w:r>
              <w:rPr>
                <w:rFonts w:ascii="宋体" w:hAnsi="宋体" w:cs="宋体" w:eastAsia="宋体" w:hint="default"/>
                <w:spacing w:val="12"/>
                <w:sz w:val="18"/>
                <w:szCs w:val="18"/>
              </w:rPr>
              <w:t>（联合探针锚定聚合测 </w:t>
            </w:r>
            <w:r>
              <w:rPr>
                <w:rFonts w:ascii="宋体" w:hAnsi="宋体" w:cs="宋体" w:eastAsia="宋体" w:hint="default"/>
                <w:sz w:val="18"/>
                <w:szCs w:val="18"/>
              </w:rPr>
              <w:t>序法）注册申报项目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3" w:right="103"/>
              <w:jc w:val="left"/>
              <w:rPr>
                <w:rFonts w:ascii="宋体" w:hAnsi="宋体" w:cs="宋体" w:eastAsia="宋体" w:hint="default"/>
                <w:sz w:val="18"/>
                <w:szCs w:val="18"/>
              </w:rPr>
            </w:pPr>
            <w:r>
              <w:rPr>
                <w:rFonts w:ascii="宋体" w:hAnsi="宋体" w:cs="宋体" w:eastAsia="宋体" w:hint="default"/>
                <w:sz w:val="18"/>
                <w:szCs w:val="18"/>
              </w:rPr>
              <w:t>完成 </w:t>
            </w:r>
            <w:r>
              <w:rPr>
                <w:rFonts w:ascii="Times New Roman" w:hAnsi="Times New Roman" w:cs="Times New Roman" w:eastAsia="Times New Roman" w:hint="default"/>
                <w:sz w:val="18"/>
                <w:szCs w:val="18"/>
              </w:rPr>
              <w:t>CFDA</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医疗器械注册 申报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完成注册检，临床试验阶段</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5" w:right="86"/>
              <w:jc w:val="both"/>
              <w:rPr>
                <w:rFonts w:ascii="宋体" w:hAnsi="宋体" w:cs="宋体" w:eastAsia="宋体" w:hint="default"/>
                <w:sz w:val="18"/>
                <w:szCs w:val="18"/>
              </w:rPr>
            </w:pPr>
            <w:r>
              <w:rPr>
                <w:rFonts w:ascii="宋体" w:hAnsi="宋体" w:cs="宋体" w:eastAsia="宋体" w:hint="default"/>
                <w:sz w:val="18"/>
                <w:szCs w:val="18"/>
              </w:rPr>
              <w:t>遵守医疗器械管理规定， </w:t>
            </w:r>
            <w:r>
              <w:rPr>
                <w:rFonts w:ascii="宋体" w:hAnsi="宋体" w:cs="宋体" w:eastAsia="宋体" w:hint="default"/>
                <w:spacing w:val="16"/>
                <w:sz w:val="18"/>
                <w:szCs w:val="18"/>
              </w:rPr>
              <w:t>规范化肿瘤临床产品应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用，提升临床产品资质结</w:t>
            </w:r>
            <w:r>
              <w:rPr>
                <w:rFonts w:ascii="宋体" w:hAnsi="宋体" w:cs="宋体" w:eastAsia="宋体" w:hint="default"/>
                <w:sz w:val="18"/>
                <w:szCs w:val="18"/>
              </w:rPr>
              <w:t> 构</w:t>
            </w:r>
          </w:p>
        </w:tc>
      </w:tr>
      <w:tr>
        <w:trPr>
          <w:trHeight w:val="133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5" w:right="0"/>
              <w:jc w:val="center"/>
              <w:rPr>
                <w:rFonts w:ascii="Times New Roman" w:hAnsi="Times New Roman" w:cs="Times New Roman" w:eastAsia="Times New Roman" w:hint="default"/>
                <w:sz w:val="18"/>
                <w:szCs w:val="18"/>
              </w:rPr>
            </w:pPr>
            <w:r>
              <w:rPr>
                <w:rFonts w:ascii="Times New Roman"/>
                <w:sz w:val="18"/>
              </w:rPr>
              <w:t>10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7" w:lineRule="auto"/>
              <w:ind w:left="105"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BRCA</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基因突变检测产</w:t>
            </w:r>
            <w:r>
              <w:rPr>
                <w:rFonts w:ascii="宋体" w:hAnsi="宋体" w:cs="宋体" w:eastAsia="宋体" w:hint="default"/>
                <w:w w:val="99"/>
                <w:sz w:val="18"/>
                <w:szCs w:val="18"/>
              </w:rPr>
              <w:t> </w:t>
            </w:r>
            <w:r>
              <w:rPr>
                <w:rFonts w:ascii="宋体" w:hAnsi="宋体" w:cs="宋体" w:eastAsia="宋体" w:hint="default"/>
                <w:spacing w:val="-7"/>
                <w:sz w:val="18"/>
                <w:szCs w:val="18"/>
              </w:rPr>
              <w:t>品（联合探针锚定聚合测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序法）注册申报项目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58"/>
              <w:ind w:left="103" w:right="103"/>
              <w:jc w:val="left"/>
              <w:rPr>
                <w:rFonts w:ascii="宋体" w:hAnsi="宋体" w:cs="宋体" w:eastAsia="宋体" w:hint="default"/>
                <w:sz w:val="18"/>
                <w:szCs w:val="18"/>
              </w:rPr>
            </w:pPr>
            <w:r>
              <w:rPr>
                <w:rFonts w:ascii="宋体" w:hAnsi="宋体" w:cs="宋体" w:eastAsia="宋体" w:hint="default"/>
                <w:sz w:val="18"/>
                <w:szCs w:val="18"/>
              </w:rPr>
              <w:t>完成 </w:t>
            </w:r>
            <w:r>
              <w:rPr>
                <w:rFonts w:ascii="Times New Roman" w:hAnsi="Times New Roman" w:cs="Times New Roman" w:eastAsia="Times New Roman" w:hint="default"/>
                <w:sz w:val="18"/>
                <w:szCs w:val="18"/>
              </w:rPr>
              <w:t>CFDA</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医疗器械注册 申报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完成产品研发，试生产阶段</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86"/>
              <w:jc w:val="both"/>
              <w:rPr>
                <w:rFonts w:ascii="宋体" w:hAnsi="宋体" w:cs="宋体" w:eastAsia="宋体" w:hint="default"/>
                <w:sz w:val="18"/>
                <w:szCs w:val="18"/>
              </w:rPr>
            </w:pPr>
            <w:r>
              <w:rPr>
                <w:rFonts w:ascii="宋体" w:hAnsi="宋体" w:cs="宋体" w:eastAsia="宋体" w:hint="default"/>
                <w:sz w:val="18"/>
                <w:szCs w:val="18"/>
              </w:rPr>
              <w:t>遵守医疗器械管理规定， </w:t>
            </w:r>
            <w:r>
              <w:rPr>
                <w:rFonts w:ascii="宋体" w:hAnsi="宋体" w:cs="宋体" w:eastAsia="宋体" w:hint="default"/>
                <w:spacing w:val="16"/>
                <w:sz w:val="18"/>
                <w:szCs w:val="18"/>
              </w:rPr>
              <w:t>规范化肿瘤临床产品应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用，提升临床产品资质结</w:t>
            </w:r>
            <w:r>
              <w:rPr>
                <w:rFonts w:ascii="宋体" w:hAnsi="宋体" w:cs="宋体" w:eastAsia="宋体" w:hint="default"/>
                <w:sz w:val="18"/>
                <w:szCs w:val="18"/>
              </w:rPr>
              <w:t> 构</w:t>
            </w:r>
          </w:p>
        </w:tc>
      </w:tr>
      <w:tr>
        <w:trPr>
          <w:trHeight w:val="1066"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105" w:right="92"/>
              <w:jc w:val="left"/>
              <w:rPr>
                <w:rFonts w:ascii="宋体" w:hAnsi="宋体" w:cs="宋体" w:eastAsia="宋体" w:hint="default"/>
                <w:sz w:val="18"/>
                <w:szCs w:val="18"/>
              </w:rPr>
            </w:pPr>
            <w:r>
              <w:rPr>
                <w:rFonts w:ascii="宋体" w:hAnsi="宋体" w:cs="宋体" w:eastAsia="宋体" w:hint="default"/>
                <w:spacing w:val="12"/>
                <w:sz w:val="18"/>
                <w:szCs w:val="18"/>
              </w:rPr>
              <w:t>肿瘤免疫治疗基因检测 </w:t>
            </w:r>
            <w:r>
              <w:rPr>
                <w:rFonts w:ascii="宋体" w:hAnsi="宋体" w:cs="宋体" w:eastAsia="宋体" w:hint="default"/>
                <w:sz w:val="18"/>
                <w:szCs w:val="18"/>
              </w:rPr>
              <w:t>产品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103" w:right="95"/>
              <w:jc w:val="left"/>
              <w:rPr>
                <w:rFonts w:ascii="宋体" w:hAnsi="宋体" w:cs="宋体" w:eastAsia="宋体" w:hint="default"/>
                <w:sz w:val="18"/>
                <w:szCs w:val="18"/>
              </w:rPr>
            </w:pPr>
            <w:r>
              <w:rPr>
                <w:rFonts w:ascii="宋体" w:hAnsi="宋体" w:cs="宋体" w:eastAsia="宋体" w:hint="default"/>
                <w:spacing w:val="7"/>
                <w:sz w:val="18"/>
                <w:szCs w:val="18"/>
              </w:rPr>
              <w:t>免疫检查点抑制剂伴随诊 </w:t>
            </w:r>
            <w:r>
              <w:rPr>
                <w:rFonts w:ascii="宋体" w:hAnsi="宋体" w:cs="宋体" w:eastAsia="宋体" w:hint="default"/>
                <w:sz w:val="18"/>
                <w:szCs w:val="18"/>
              </w:rPr>
              <w:t>断产品开发及药厂合作</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pacing w:val="2"/>
                <w:sz w:val="18"/>
                <w:szCs w:val="18"/>
              </w:rPr>
              <w:t>完成产品开发，药厂合作进</w:t>
            </w:r>
            <w:r>
              <w:rPr>
                <w:rFonts w:ascii="宋体" w:hAnsi="宋体" w:cs="宋体" w:eastAsia="宋体" w:hint="default"/>
                <w:sz w:val="18"/>
                <w:szCs w:val="18"/>
              </w:rPr>
              <w:t> 展中</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98"/>
              <w:jc w:val="left"/>
              <w:rPr>
                <w:rFonts w:ascii="宋体" w:hAnsi="宋体" w:cs="宋体" w:eastAsia="宋体" w:hint="default"/>
                <w:sz w:val="18"/>
                <w:szCs w:val="18"/>
              </w:rPr>
            </w:pPr>
            <w:r>
              <w:rPr>
                <w:rFonts w:ascii="宋体" w:hAnsi="宋体" w:cs="宋体" w:eastAsia="宋体" w:hint="default"/>
                <w:spacing w:val="16"/>
                <w:sz w:val="18"/>
                <w:szCs w:val="18"/>
              </w:rPr>
              <w:t>完善肿瘤精准治疗产品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布局，提升市场竞争力</w:t>
            </w:r>
          </w:p>
        </w:tc>
      </w:tr>
      <w:tr>
        <w:trPr>
          <w:trHeight w:val="716"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5"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HRD </w:t>
            </w:r>
            <w:r>
              <w:rPr>
                <w:rFonts w:ascii="宋体" w:hAnsi="宋体" w:cs="宋体" w:eastAsia="宋体" w:hint="default"/>
                <w:sz w:val="18"/>
                <w:szCs w:val="18"/>
              </w:rPr>
              <w:t>检测 </w:t>
            </w:r>
            <w:r>
              <w:rPr>
                <w:rFonts w:ascii="Times New Roman" w:hAnsi="Times New Roman" w:cs="Times New Roman" w:eastAsia="Times New Roman" w:hint="default"/>
                <w:sz w:val="18"/>
                <w:szCs w:val="18"/>
              </w:rPr>
              <w:t>Panel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和软件 研发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9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PARPi</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抑制剂伴随诊断产 </w:t>
            </w:r>
            <w:r>
              <w:rPr>
                <w:rFonts w:ascii="宋体" w:hAnsi="宋体" w:cs="宋体" w:eastAsia="宋体" w:hint="default"/>
                <w:sz w:val="18"/>
                <w:szCs w:val="18"/>
              </w:rPr>
              <w:t>品开发及药厂合作</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left"/>
              <w:rPr>
                <w:rFonts w:ascii="宋体" w:hAnsi="宋体" w:cs="宋体" w:eastAsia="宋体" w:hint="default"/>
                <w:sz w:val="18"/>
                <w:szCs w:val="18"/>
              </w:rPr>
            </w:pPr>
            <w:r>
              <w:rPr>
                <w:rFonts w:ascii="宋体" w:hAnsi="宋体" w:cs="宋体" w:eastAsia="宋体" w:hint="default"/>
                <w:spacing w:val="2"/>
                <w:sz w:val="18"/>
                <w:szCs w:val="18"/>
              </w:rPr>
              <w:t>完成产品开发，药厂合作进</w:t>
            </w:r>
            <w:r>
              <w:rPr>
                <w:rFonts w:ascii="宋体" w:hAnsi="宋体" w:cs="宋体" w:eastAsia="宋体" w:hint="default"/>
                <w:sz w:val="18"/>
                <w:szCs w:val="18"/>
              </w:rPr>
              <w:t> 展中</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98"/>
              <w:jc w:val="left"/>
              <w:rPr>
                <w:rFonts w:ascii="宋体" w:hAnsi="宋体" w:cs="宋体" w:eastAsia="宋体" w:hint="default"/>
                <w:sz w:val="18"/>
                <w:szCs w:val="18"/>
              </w:rPr>
            </w:pPr>
            <w:r>
              <w:rPr>
                <w:rFonts w:ascii="宋体" w:hAnsi="宋体" w:cs="宋体" w:eastAsia="宋体" w:hint="default"/>
                <w:spacing w:val="16"/>
                <w:sz w:val="18"/>
                <w:szCs w:val="18"/>
              </w:rPr>
              <w:t>完善肿瘤精准治疗产品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布局，提升市场竞争力</w:t>
            </w:r>
          </w:p>
        </w:tc>
      </w:tr>
      <w:tr>
        <w:trPr>
          <w:trHeight w:val="71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5" w:right="99"/>
              <w:jc w:val="left"/>
              <w:rPr>
                <w:rFonts w:ascii="宋体" w:hAnsi="宋体" w:cs="宋体" w:eastAsia="宋体" w:hint="default"/>
                <w:sz w:val="18"/>
                <w:szCs w:val="18"/>
              </w:rPr>
            </w:pPr>
            <w:r>
              <w:rPr>
                <w:rFonts w:ascii="宋体" w:hAnsi="宋体" w:cs="宋体" w:eastAsia="宋体" w:hint="default"/>
                <w:sz w:val="18"/>
                <w:szCs w:val="18"/>
              </w:rPr>
              <w:t>遗传性肿瘤</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panel</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升级项 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95"/>
              <w:jc w:val="left"/>
              <w:rPr>
                <w:rFonts w:ascii="宋体" w:hAnsi="宋体" w:cs="宋体" w:eastAsia="宋体" w:hint="default"/>
                <w:sz w:val="18"/>
                <w:szCs w:val="18"/>
              </w:rPr>
            </w:pPr>
            <w:r>
              <w:rPr>
                <w:rFonts w:ascii="宋体" w:hAnsi="宋体" w:cs="宋体" w:eastAsia="宋体" w:hint="default"/>
                <w:spacing w:val="7"/>
                <w:sz w:val="18"/>
                <w:szCs w:val="18"/>
              </w:rPr>
              <w:t>提升遗传性肿瘤变异检测 </w:t>
            </w:r>
            <w:r>
              <w:rPr>
                <w:rFonts w:ascii="宋体" w:hAnsi="宋体" w:cs="宋体" w:eastAsia="宋体" w:hint="default"/>
                <w:sz w:val="18"/>
                <w:szCs w:val="18"/>
              </w:rPr>
              <w:t>性能及产品升级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完成产品升级</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99"/>
              <w:jc w:val="left"/>
              <w:rPr>
                <w:rFonts w:ascii="宋体" w:hAnsi="宋体" w:cs="宋体" w:eastAsia="宋体" w:hint="default"/>
                <w:sz w:val="18"/>
                <w:szCs w:val="18"/>
              </w:rPr>
            </w:pPr>
            <w:r>
              <w:rPr>
                <w:rFonts w:ascii="宋体" w:hAnsi="宋体" w:cs="宋体" w:eastAsia="宋体" w:hint="default"/>
                <w:spacing w:val="-2"/>
                <w:sz w:val="18"/>
                <w:szCs w:val="18"/>
              </w:rPr>
              <w:t>提升产品性能，拓展市场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商业及科研合作</w:t>
            </w:r>
          </w:p>
        </w:tc>
      </w:tr>
      <w:tr>
        <w:trPr>
          <w:trHeight w:val="102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5" w:right="92"/>
              <w:jc w:val="left"/>
              <w:rPr>
                <w:rFonts w:ascii="宋体" w:hAnsi="宋体" w:cs="宋体" w:eastAsia="宋体" w:hint="default"/>
                <w:sz w:val="18"/>
                <w:szCs w:val="18"/>
              </w:rPr>
            </w:pPr>
            <w:r>
              <w:rPr>
                <w:rFonts w:ascii="宋体" w:hAnsi="宋体" w:cs="宋体" w:eastAsia="宋体" w:hint="default"/>
                <w:spacing w:val="12"/>
                <w:sz w:val="18"/>
                <w:szCs w:val="18"/>
              </w:rPr>
              <w:t>血液病和淋巴瘤免疫组 </w:t>
            </w:r>
            <w:r>
              <w:rPr>
                <w:rFonts w:ascii="宋体" w:hAnsi="宋体" w:cs="宋体" w:eastAsia="宋体" w:hint="default"/>
                <w:sz w:val="18"/>
                <w:szCs w:val="18"/>
              </w:rPr>
              <w:t>库检测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
              <w:jc w:val="left"/>
              <w:rPr>
                <w:rFonts w:ascii="宋体" w:hAnsi="宋体" w:cs="宋体" w:eastAsia="宋体" w:hint="default"/>
                <w:sz w:val="18"/>
                <w:szCs w:val="18"/>
              </w:rPr>
            </w:pPr>
            <w:r>
              <w:rPr>
                <w:rFonts w:ascii="宋体" w:hAnsi="宋体" w:cs="宋体" w:eastAsia="宋体" w:hint="default"/>
                <w:spacing w:val="-2"/>
                <w:sz w:val="18"/>
                <w:szCs w:val="18"/>
              </w:rPr>
              <w:t>血液病，淋巴瘤分子诊断、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分型、预后等检测产品开</w:t>
            </w:r>
            <w:r>
              <w:rPr>
                <w:rFonts w:ascii="宋体" w:hAnsi="宋体" w:cs="宋体" w:eastAsia="宋体" w:hint="default"/>
                <w:spacing w:val="7"/>
                <w:sz w:val="18"/>
                <w:szCs w:val="18"/>
              </w:rPr>
              <w:t> </w:t>
            </w:r>
            <w:r>
              <w:rPr>
                <w:rFonts w:ascii="宋体" w:hAnsi="宋体" w:cs="宋体" w:eastAsia="宋体" w:hint="default"/>
                <w:sz w:val="18"/>
                <w:szCs w:val="18"/>
              </w:rPr>
              <w:t>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pacing w:val="2"/>
                <w:sz w:val="18"/>
                <w:szCs w:val="18"/>
              </w:rPr>
              <w:t>完成产品设计，技术开发及</w:t>
            </w:r>
            <w:r>
              <w:rPr>
                <w:rFonts w:ascii="宋体" w:hAnsi="宋体" w:cs="宋体" w:eastAsia="宋体" w:hint="default"/>
                <w:sz w:val="18"/>
                <w:szCs w:val="18"/>
              </w:rPr>
              <w:t> 小试</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99"/>
              <w:jc w:val="both"/>
              <w:rPr>
                <w:rFonts w:ascii="宋体" w:hAnsi="宋体" w:cs="宋体" w:eastAsia="宋体" w:hint="default"/>
                <w:sz w:val="18"/>
                <w:szCs w:val="18"/>
              </w:rPr>
            </w:pPr>
            <w:r>
              <w:rPr>
                <w:rFonts w:ascii="宋体" w:hAnsi="宋体" w:cs="宋体" w:eastAsia="宋体" w:hint="default"/>
                <w:spacing w:val="-2"/>
                <w:sz w:val="18"/>
                <w:szCs w:val="18"/>
              </w:rPr>
              <w:t>开发血液病相关产品，完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善肿瘤产品结构，提升市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场竞争力</w:t>
            </w:r>
          </w:p>
        </w:tc>
      </w:tr>
      <w:tr>
        <w:trPr>
          <w:trHeight w:val="102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5"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BGISEQ-500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平台肿瘤个</w:t>
            </w:r>
            <w:r>
              <w:rPr>
                <w:rFonts w:ascii="宋体" w:hAnsi="宋体" w:cs="宋体" w:eastAsia="宋体" w:hint="default"/>
                <w:w w:val="99"/>
                <w:sz w:val="18"/>
                <w:szCs w:val="18"/>
              </w:rPr>
              <w:t> </w:t>
            </w:r>
            <w:r>
              <w:rPr>
                <w:rFonts w:ascii="宋体" w:hAnsi="宋体" w:cs="宋体" w:eastAsia="宋体" w:hint="default"/>
                <w:sz w:val="18"/>
                <w:szCs w:val="18"/>
              </w:rPr>
              <w:t>体化</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Oseq-T/ctDNA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产品 升级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完成</w:t>
            </w:r>
            <w:r>
              <w:rPr>
                <w:rFonts w:ascii="宋体" w:hAnsi="宋体" w:cs="宋体" w:eastAsia="宋体" w:hint="default"/>
                <w:spacing w:val="-33"/>
                <w:sz w:val="18"/>
                <w:szCs w:val="18"/>
              </w:rPr>
              <w:t> </w:t>
            </w:r>
            <w:r>
              <w:rPr>
                <w:rFonts w:ascii="Times New Roman" w:hAnsi="Times New Roman" w:cs="Times New Roman" w:eastAsia="Times New Roman" w:hint="default"/>
                <w:w w:val="99"/>
                <w:sz w:val="18"/>
                <w:szCs w:val="18"/>
              </w:rPr>
              <w:t>O</w:t>
            </w:r>
            <w:r>
              <w:rPr>
                <w:rFonts w:ascii="Times New Roman" w:hAnsi="Times New Roman" w:cs="Times New Roman" w:eastAsia="Times New Roman" w:hint="default"/>
                <w:spacing w:val="-1"/>
                <w:w w:val="99"/>
                <w:sz w:val="18"/>
                <w:szCs w:val="18"/>
              </w:rPr>
              <w:t>s</w:t>
            </w:r>
            <w:r>
              <w:rPr>
                <w:rFonts w:ascii="Times New Roman" w:hAnsi="Times New Roman" w:cs="Times New Roman" w:eastAsia="Times New Roman" w:hint="default"/>
                <w:spacing w:val="-1"/>
                <w:w w:val="100"/>
                <w:sz w:val="18"/>
                <w:szCs w:val="18"/>
              </w:rPr>
              <w:t>e</w:t>
            </w:r>
            <w:r>
              <w:rPr>
                <w:rFonts w:ascii="Times New Roman" w:hAnsi="Times New Roman" w:cs="Times New Roman" w:eastAsia="Times New Roman" w:hint="default"/>
                <w:spacing w:val="1"/>
                <w:sz w:val="18"/>
                <w:szCs w:val="18"/>
              </w:rPr>
              <w:t>q</w:t>
            </w:r>
            <w:r>
              <w:rPr>
                <w:rFonts w:ascii="Times New Roman" w:hAnsi="Times New Roman" w:cs="Times New Roman" w:eastAsia="Times New Roman" w:hint="default"/>
                <w:w w:val="49"/>
                <w:sz w:val="18"/>
                <w:szCs w:val="18"/>
              </w:rPr>
              <w:t>™</w:t>
            </w:r>
            <w:r>
              <w:rPr>
                <w:rFonts w:ascii="Times New Roman" w:hAnsi="Times New Roman" w:cs="Times New Roman" w:eastAsia="Times New Roman" w:hint="default"/>
                <w:spacing w:val="1"/>
                <w:w w:val="49"/>
                <w:sz w:val="18"/>
                <w:szCs w:val="18"/>
              </w:rPr>
              <w:t>️</w:t>
            </w:r>
            <w:r>
              <w:rPr>
                <w:rFonts w:ascii="宋体" w:hAnsi="宋体" w:cs="宋体" w:eastAsia="宋体" w:hint="default"/>
                <w:sz w:val="18"/>
                <w:szCs w:val="18"/>
              </w:rPr>
              <w:t>系列产品</w:t>
            </w:r>
            <w:r>
              <w:rPr>
                <w:rFonts w:ascii="宋体" w:hAnsi="宋体" w:cs="宋体" w:eastAsia="宋体" w:hint="default"/>
                <w:spacing w:val="-33"/>
                <w:sz w:val="18"/>
                <w:szCs w:val="18"/>
              </w:rPr>
              <w:t> </w:t>
            </w:r>
            <w:r>
              <w:rPr>
                <w:rFonts w:ascii="Times New Roman" w:hAnsi="Times New Roman" w:cs="Times New Roman" w:eastAsia="Times New Roman" w:hint="default"/>
                <w:w w:val="99"/>
                <w:sz w:val="18"/>
                <w:szCs w:val="18"/>
              </w:rPr>
              <w:t>B</w:t>
            </w: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z w:val="18"/>
                <w:szCs w:val="18"/>
              </w:rPr>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自主测序平台转移</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完成平台转移</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5" w:right="98"/>
              <w:jc w:val="left"/>
              <w:rPr>
                <w:rFonts w:ascii="宋体" w:hAnsi="宋体" w:cs="宋体" w:eastAsia="宋体" w:hint="default"/>
                <w:sz w:val="18"/>
                <w:szCs w:val="18"/>
              </w:rPr>
            </w:pPr>
            <w:r>
              <w:rPr>
                <w:rFonts w:ascii="宋体" w:hAnsi="宋体" w:cs="宋体" w:eastAsia="宋体" w:hint="default"/>
                <w:spacing w:val="16"/>
                <w:sz w:val="18"/>
                <w:szCs w:val="18"/>
              </w:rPr>
              <w:t>实现测序行业上下游自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主化，提升市场竞争力</w:t>
            </w:r>
          </w:p>
        </w:tc>
      </w:tr>
      <w:tr>
        <w:trPr>
          <w:trHeight w:val="102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5"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BGISEQ-500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平台肿瘤个</w:t>
            </w:r>
            <w:r>
              <w:rPr>
                <w:rFonts w:ascii="宋体" w:hAnsi="宋体" w:cs="宋体" w:eastAsia="宋体" w:hint="default"/>
                <w:w w:val="99"/>
                <w:sz w:val="18"/>
                <w:szCs w:val="18"/>
              </w:rPr>
              <w:t> </w:t>
            </w:r>
            <w:r>
              <w:rPr>
                <w:rFonts w:ascii="宋体" w:hAnsi="宋体" w:cs="宋体" w:eastAsia="宋体" w:hint="default"/>
                <w:sz w:val="18"/>
                <w:szCs w:val="18"/>
              </w:rPr>
              <w:t>体 化</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Oseq-Drug- T/ctDNA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产品升级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91"/>
              <w:jc w:val="both"/>
              <w:rPr>
                <w:rFonts w:ascii="宋体" w:hAnsi="宋体" w:cs="宋体" w:eastAsia="宋体" w:hint="default"/>
                <w:sz w:val="18"/>
                <w:szCs w:val="18"/>
              </w:rPr>
            </w:pPr>
            <w:r>
              <w:rPr>
                <w:rFonts w:ascii="宋体" w:hAnsi="宋体" w:cs="宋体" w:eastAsia="宋体" w:hint="default"/>
                <w:spacing w:val="4"/>
                <w:sz w:val="18"/>
                <w:szCs w:val="18"/>
              </w:rPr>
              <w:t>完成</w:t>
            </w:r>
            <w:r>
              <w:rPr>
                <w:rFonts w:ascii="宋体" w:hAnsi="宋体" w:cs="宋体" w:eastAsia="宋体" w:hint="default"/>
                <w:sz w:val="18"/>
                <w:szCs w:val="18"/>
              </w:rPr>
              <w:t> </w:t>
            </w:r>
            <w:r>
              <w:rPr>
                <w:rFonts w:ascii="Times New Roman" w:hAnsi="Times New Roman" w:cs="Times New Roman" w:eastAsia="Times New Roman" w:hint="default"/>
                <w:spacing w:val="-1"/>
                <w:w w:val="83"/>
                <w:sz w:val="18"/>
                <w:szCs w:val="18"/>
              </w:rPr>
              <w:t>Oseq™️</w:t>
            </w:r>
            <w:r>
              <w:rPr>
                <w:rFonts w:ascii="Times New Roman" w:hAnsi="Times New Roman" w:cs="Times New Roman" w:eastAsia="Times New Roman" w:hint="default"/>
                <w:spacing w:val="22"/>
                <w:w w:val="83"/>
                <w:sz w:val="18"/>
                <w:szCs w:val="18"/>
              </w:rPr>
              <w:t> </w:t>
            </w:r>
            <w:r>
              <w:rPr>
                <w:rFonts w:ascii="宋体" w:hAnsi="宋体" w:cs="宋体" w:eastAsia="宋体" w:hint="default"/>
                <w:spacing w:val="9"/>
                <w:sz w:val="18"/>
                <w:szCs w:val="18"/>
              </w:rPr>
              <w:t>用药检测系 </w:t>
            </w:r>
            <w:r>
              <w:rPr>
                <w:rFonts w:ascii="宋体" w:hAnsi="宋体" w:cs="宋体" w:eastAsia="宋体" w:hint="default"/>
                <w:sz w:val="18"/>
                <w:szCs w:val="18"/>
              </w:rPr>
              <w:t>列产品 </w:t>
            </w:r>
            <w:r>
              <w:rPr>
                <w:rFonts w:ascii="Times New Roman" w:hAnsi="Times New Roman" w:cs="Times New Roman" w:eastAsia="Times New Roman" w:hint="default"/>
                <w:sz w:val="18"/>
                <w:szCs w:val="18"/>
              </w:rPr>
              <w:t>BGI</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自主测序平台</w:t>
            </w:r>
            <w:r>
              <w:rPr>
                <w:rFonts w:ascii="宋体" w:hAnsi="宋体" w:cs="宋体" w:eastAsia="宋体" w:hint="default"/>
                <w:w w:val="99"/>
                <w:sz w:val="18"/>
                <w:szCs w:val="18"/>
              </w:rPr>
              <w:t> </w:t>
            </w:r>
            <w:r>
              <w:rPr>
                <w:rFonts w:ascii="宋体" w:hAnsi="宋体" w:cs="宋体" w:eastAsia="宋体" w:hint="default"/>
                <w:sz w:val="18"/>
                <w:szCs w:val="18"/>
              </w:rPr>
              <w:t>转移</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完成平台转移</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5" w:right="98"/>
              <w:jc w:val="left"/>
              <w:rPr>
                <w:rFonts w:ascii="宋体" w:hAnsi="宋体" w:cs="宋体" w:eastAsia="宋体" w:hint="default"/>
                <w:sz w:val="18"/>
                <w:szCs w:val="18"/>
              </w:rPr>
            </w:pPr>
            <w:r>
              <w:rPr>
                <w:rFonts w:ascii="宋体" w:hAnsi="宋体" w:cs="宋体" w:eastAsia="宋体" w:hint="default"/>
                <w:spacing w:val="16"/>
                <w:sz w:val="18"/>
                <w:szCs w:val="18"/>
              </w:rPr>
              <w:t>实现测序行业上下游自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主化，引领市场发展趋势</w:t>
            </w:r>
          </w:p>
        </w:tc>
      </w:tr>
    </w:tbl>
    <w:p>
      <w:pPr>
        <w:spacing w:after="0" w:line="319"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567"/>
        <w:gridCol w:w="2129"/>
        <w:gridCol w:w="2268"/>
        <w:gridCol w:w="2408"/>
        <w:gridCol w:w="2182"/>
      </w:tblGrid>
      <w:tr>
        <w:trPr>
          <w:trHeight w:val="102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t>17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5" w:right="351"/>
              <w:jc w:val="left"/>
              <w:rPr>
                <w:rFonts w:ascii="宋体" w:hAnsi="宋体" w:cs="宋体" w:eastAsia="宋体" w:hint="default"/>
                <w:sz w:val="18"/>
                <w:szCs w:val="18"/>
              </w:rPr>
            </w:pPr>
            <w:r>
              <w:rPr>
                <w:rFonts w:ascii="Times New Roman" w:hAnsi="Times New Roman" w:cs="Times New Roman" w:eastAsia="Times New Roman" w:hint="default"/>
                <w:sz w:val="18"/>
                <w:szCs w:val="18"/>
              </w:rPr>
              <w:t>PMseq </w:t>
            </w:r>
            <w:r>
              <w:rPr>
                <w:rFonts w:ascii="宋体" w:hAnsi="宋体" w:cs="宋体" w:eastAsia="宋体" w:hint="default"/>
                <w:sz w:val="18"/>
                <w:szCs w:val="18"/>
              </w:rPr>
              <w:t>产品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BGISEQ-</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平台升级项目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3" w:right="120"/>
              <w:jc w:val="left"/>
              <w:rPr>
                <w:rFonts w:ascii="宋体" w:hAnsi="宋体" w:cs="宋体" w:eastAsia="宋体" w:hint="default"/>
                <w:sz w:val="18"/>
                <w:szCs w:val="18"/>
              </w:rPr>
            </w:pPr>
            <w:r>
              <w:rPr>
                <w:rFonts w:ascii="宋体" w:hAnsi="宋体" w:cs="宋体" w:eastAsia="宋体" w:hint="default"/>
                <w:sz w:val="18"/>
                <w:szCs w:val="18"/>
              </w:rPr>
              <w:t>更换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PMseq</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产品检测平台</w:t>
            </w:r>
            <w:r>
              <w:rPr>
                <w:rFonts w:ascii="宋体" w:hAnsi="宋体" w:cs="宋体" w:eastAsia="宋体" w:hint="default"/>
                <w:w w:val="99"/>
                <w:sz w:val="18"/>
                <w:szCs w:val="18"/>
              </w:rPr>
              <w:t> </w:t>
            </w: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BGISEQ-500 </w:t>
            </w:r>
            <w:r>
              <w:rPr>
                <w:rFonts w:ascii="宋体" w:hAnsi="宋体" w:cs="宋体" w:eastAsia="宋体" w:hint="default"/>
                <w:sz w:val="18"/>
                <w:szCs w:val="18"/>
              </w:rPr>
              <w:t>平台</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32"/>
              <w:jc w:val="left"/>
              <w:rPr>
                <w:rFonts w:ascii="宋体" w:hAnsi="宋体" w:cs="宋体" w:eastAsia="宋体" w:hint="default"/>
                <w:sz w:val="18"/>
                <w:szCs w:val="18"/>
              </w:rPr>
            </w:pPr>
            <w:r>
              <w:rPr>
                <w:rFonts w:ascii="宋体" w:hAnsi="宋体" w:cs="宋体" w:eastAsia="宋体" w:hint="default"/>
                <w:sz w:val="18"/>
                <w:szCs w:val="18"/>
              </w:rPr>
              <w:t>完成病原检测平台的自产测 序平台更换和产品升级</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5" w:right="211"/>
              <w:jc w:val="both"/>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PMseq</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产品的检测</w:t>
            </w:r>
            <w:r>
              <w:rPr>
                <w:rFonts w:ascii="宋体" w:hAnsi="宋体" w:cs="宋体" w:eastAsia="宋体" w:hint="default"/>
                <w:w w:val="99"/>
                <w:sz w:val="18"/>
                <w:szCs w:val="18"/>
              </w:rPr>
              <w:t> </w:t>
            </w:r>
            <w:r>
              <w:rPr>
                <w:rFonts w:ascii="宋体" w:hAnsi="宋体" w:cs="宋体" w:eastAsia="宋体" w:hint="default"/>
                <w:sz w:val="18"/>
                <w:szCs w:val="18"/>
              </w:rPr>
              <w:t>成本，加速产品市场推</w:t>
            </w:r>
            <w:r>
              <w:rPr>
                <w:rFonts w:ascii="宋体" w:hAnsi="宋体" w:cs="宋体" w:eastAsia="宋体" w:hint="default"/>
                <w:w w:val="99"/>
                <w:sz w:val="18"/>
                <w:szCs w:val="18"/>
              </w:rPr>
              <w:t> </w:t>
            </w:r>
            <w:r>
              <w:rPr>
                <w:rFonts w:ascii="宋体" w:hAnsi="宋体" w:cs="宋体" w:eastAsia="宋体" w:hint="default"/>
                <w:sz w:val="18"/>
                <w:szCs w:val="18"/>
              </w:rPr>
              <w:t>广</w:t>
            </w:r>
          </w:p>
        </w:tc>
      </w:tr>
      <w:tr>
        <w:trPr>
          <w:trHeight w:val="71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t>18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105" w:right="206"/>
              <w:jc w:val="left"/>
              <w:rPr>
                <w:rFonts w:ascii="宋体" w:hAnsi="宋体" w:cs="宋体" w:eastAsia="宋体" w:hint="default"/>
                <w:sz w:val="18"/>
                <w:szCs w:val="18"/>
              </w:rPr>
            </w:pPr>
            <w:r>
              <w:rPr>
                <w:rFonts w:ascii="Times New Roman" w:hAnsi="Times New Roman" w:cs="Times New Roman" w:eastAsia="Times New Roman" w:hint="default"/>
                <w:sz w:val="18"/>
                <w:szCs w:val="18"/>
              </w:rPr>
              <w:t>PMseq </w:t>
            </w:r>
            <w:r>
              <w:rPr>
                <w:rFonts w:ascii="宋体" w:hAnsi="宋体" w:cs="宋体" w:eastAsia="宋体" w:hint="default"/>
                <w:sz w:val="18"/>
                <w:szCs w:val="18"/>
              </w:rPr>
              <w:t>产品数据库升级</w:t>
            </w:r>
            <w:r>
              <w:rPr>
                <w:rFonts w:ascii="宋体" w:hAnsi="宋体" w:cs="宋体" w:eastAsia="宋体" w:hint="default"/>
                <w:w w:val="99"/>
                <w:sz w:val="18"/>
                <w:szCs w:val="18"/>
              </w:rPr>
              <w:t> </w:t>
            </w: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扩大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PMseq</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产品数据库</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完成数据库升级</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105" w:right="211"/>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PMseq</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产品的病原</w:t>
            </w:r>
            <w:r>
              <w:rPr>
                <w:rFonts w:ascii="宋体" w:hAnsi="宋体" w:cs="宋体" w:eastAsia="宋体" w:hint="default"/>
                <w:w w:val="99"/>
                <w:sz w:val="18"/>
                <w:szCs w:val="18"/>
              </w:rPr>
              <w:t> </w:t>
            </w:r>
            <w:r>
              <w:rPr>
                <w:rFonts w:ascii="宋体" w:hAnsi="宋体" w:cs="宋体" w:eastAsia="宋体" w:hint="default"/>
                <w:sz w:val="18"/>
                <w:szCs w:val="18"/>
              </w:rPr>
              <w:t>检测范围</w:t>
            </w:r>
          </w:p>
        </w:tc>
      </w:tr>
      <w:tr>
        <w:trPr>
          <w:trHeight w:val="71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t>19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212"/>
              <w:jc w:val="left"/>
              <w:rPr>
                <w:rFonts w:ascii="宋体" w:hAnsi="宋体" w:cs="宋体" w:eastAsia="宋体" w:hint="default"/>
                <w:sz w:val="18"/>
                <w:szCs w:val="18"/>
              </w:rPr>
            </w:pPr>
            <w:r>
              <w:rPr>
                <w:rFonts w:ascii="宋体" w:hAnsi="宋体" w:cs="宋体" w:eastAsia="宋体" w:hint="default"/>
                <w:sz w:val="18"/>
                <w:szCs w:val="18"/>
              </w:rPr>
              <w:t>胸腹水样本检测技术开 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PMseq</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产品的检测样</w:t>
            </w:r>
            <w:r>
              <w:rPr>
                <w:rFonts w:ascii="宋体" w:hAnsi="宋体" w:cs="宋体" w:eastAsia="宋体" w:hint="default"/>
                <w:w w:val="99"/>
                <w:sz w:val="18"/>
                <w:szCs w:val="18"/>
              </w:rPr>
              <w:t> </w:t>
            </w:r>
            <w:r>
              <w:rPr>
                <w:rFonts w:ascii="宋体" w:hAnsi="宋体" w:cs="宋体" w:eastAsia="宋体" w:hint="default"/>
                <w:sz w:val="18"/>
                <w:szCs w:val="18"/>
              </w:rPr>
              <w:t>本类型</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32"/>
              <w:jc w:val="left"/>
              <w:rPr>
                <w:rFonts w:ascii="宋体" w:hAnsi="宋体" w:cs="宋体" w:eastAsia="宋体" w:hint="default"/>
                <w:sz w:val="18"/>
                <w:szCs w:val="18"/>
              </w:rPr>
            </w:pPr>
            <w:r>
              <w:rPr>
                <w:rFonts w:ascii="宋体" w:hAnsi="宋体" w:cs="宋体" w:eastAsia="宋体" w:hint="default"/>
                <w:sz w:val="18"/>
                <w:szCs w:val="18"/>
              </w:rPr>
              <w:t>完成检测流程开发和临床样 本测试。</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丰富产品，属于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PMseq</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系列产品</w:t>
            </w:r>
          </w:p>
        </w:tc>
      </w:tr>
      <w:tr>
        <w:trPr>
          <w:trHeight w:val="71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t>20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微量样本技术开发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103" w:right="12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PMseq</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产品检测灵敏</w:t>
            </w:r>
            <w:r>
              <w:rPr>
                <w:rFonts w:ascii="宋体" w:hAnsi="宋体" w:cs="宋体" w:eastAsia="宋体" w:hint="default"/>
                <w:w w:val="99"/>
                <w:sz w:val="18"/>
                <w:szCs w:val="18"/>
              </w:rPr>
              <w:t> </w:t>
            </w:r>
            <w:r>
              <w:rPr>
                <w:rFonts w:ascii="宋体" w:hAnsi="宋体" w:cs="宋体" w:eastAsia="宋体" w:hint="default"/>
                <w:sz w:val="18"/>
                <w:szCs w:val="18"/>
              </w:rPr>
              <w:t>度和检测限值</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3" w:right="132"/>
              <w:jc w:val="left"/>
              <w:rPr>
                <w:rFonts w:ascii="宋体" w:hAnsi="宋体" w:cs="宋体" w:eastAsia="宋体" w:hint="default"/>
                <w:sz w:val="18"/>
                <w:szCs w:val="18"/>
              </w:rPr>
            </w:pPr>
            <w:r>
              <w:rPr>
                <w:rFonts w:ascii="宋体" w:hAnsi="宋体" w:cs="宋体" w:eastAsia="宋体" w:hint="default"/>
                <w:sz w:val="18"/>
                <w:szCs w:val="18"/>
              </w:rPr>
              <w:t>完成技术流程开发，临床试 验开展中。</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丰富产品，属于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PMseq</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系列产品</w:t>
            </w:r>
          </w:p>
        </w:tc>
      </w:tr>
      <w:tr>
        <w:trPr>
          <w:trHeight w:val="102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t>21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5" w:right="0"/>
              <w:jc w:val="left"/>
              <w:rPr>
                <w:rFonts w:ascii="宋体" w:hAnsi="宋体" w:cs="宋体" w:eastAsia="宋体" w:hint="default"/>
                <w:sz w:val="18"/>
                <w:szCs w:val="18"/>
              </w:rPr>
            </w:pPr>
            <w:r>
              <w:rPr>
                <w:rFonts w:ascii="宋体" w:hAnsi="宋体" w:cs="宋体" w:eastAsia="宋体" w:hint="default"/>
                <w:sz w:val="18"/>
                <w:szCs w:val="18"/>
              </w:rPr>
              <w:t>靶向扩增病原产品开发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完成立项，完成产品流程 搭建</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32"/>
              <w:jc w:val="left"/>
              <w:rPr>
                <w:rFonts w:ascii="宋体" w:hAnsi="宋体" w:cs="宋体" w:eastAsia="宋体" w:hint="default"/>
                <w:sz w:val="18"/>
                <w:szCs w:val="18"/>
              </w:rPr>
            </w:pPr>
            <w:r>
              <w:rPr>
                <w:rFonts w:ascii="宋体" w:hAnsi="宋体" w:cs="宋体" w:eastAsia="宋体" w:hint="default"/>
                <w:sz w:val="18"/>
                <w:szCs w:val="18"/>
              </w:rPr>
              <w:t>已完成检测流程搭建，主要 原材料测试和生产工艺优 化，临床样本测试中。</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5" w:right="0"/>
              <w:jc w:val="left"/>
              <w:rPr>
                <w:rFonts w:ascii="宋体" w:hAnsi="宋体" w:cs="宋体" w:eastAsia="宋体" w:hint="default"/>
                <w:sz w:val="18"/>
                <w:szCs w:val="18"/>
              </w:rPr>
            </w:pPr>
            <w:r>
              <w:rPr>
                <w:rFonts w:ascii="宋体" w:hAnsi="宋体" w:cs="宋体" w:eastAsia="宋体" w:hint="default"/>
                <w:sz w:val="18"/>
                <w:szCs w:val="18"/>
              </w:rPr>
              <w:t>丰富产品结构</w:t>
            </w:r>
          </w:p>
        </w:tc>
      </w:tr>
      <w:tr>
        <w:trPr>
          <w:trHeight w:val="71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t>22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212"/>
              <w:jc w:val="left"/>
              <w:rPr>
                <w:rFonts w:ascii="宋体" w:hAnsi="宋体" w:cs="宋体" w:eastAsia="宋体" w:hint="default"/>
                <w:sz w:val="18"/>
                <w:szCs w:val="18"/>
              </w:rPr>
            </w:pPr>
            <w:r>
              <w:rPr>
                <w:rFonts w:ascii="宋体" w:hAnsi="宋体" w:cs="宋体" w:eastAsia="宋体" w:hint="default"/>
                <w:sz w:val="18"/>
                <w:szCs w:val="18"/>
              </w:rPr>
              <w:t>纯培养细菌全基因组测 序项目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进行病原菌数据库积累</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样本收集，</w:t>
            </w:r>
            <w:r>
              <w:rPr>
                <w:rFonts w:ascii="宋体" w:hAnsi="宋体" w:cs="宋体" w:eastAsia="宋体" w:hint="default"/>
                <w:spacing w:val="1"/>
                <w:sz w:val="18"/>
                <w:szCs w:val="18"/>
              </w:rPr>
              <w:t> </w:t>
            </w:r>
            <w:r>
              <w:rPr>
                <w:rFonts w:ascii="宋体" w:hAnsi="宋体" w:cs="宋体" w:eastAsia="宋体" w:hint="default"/>
                <w:sz w:val="18"/>
                <w:szCs w:val="18"/>
              </w:rPr>
              <w:t>数据库积累</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丰富产品结构</w:t>
            </w:r>
          </w:p>
        </w:tc>
      </w:tr>
      <w:tr>
        <w:trPr>
          <w:trHeight w:val="133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2"/>
              <w:jc w:val="right"/>
              <w:rPr>
                <w:rFonts w:ascii="Times New Roman" w:hAnsi="Times New Roman" w:cs="Times New Roman" w:eastAsia="Times New Roman" w:hint="default"/>
                <w:sz w:val="18"/>
                <w:szCs w:val="18"/>
              </w:rPr>
            </w:pPr>
            <w:r>
              <w:rPr>
                <w:rFonts w:ascii="Times New Roman"/>
                <w:sz w:val="18"/>
              </w:rPr>
              <w:t>23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5" w:right="214"/>
              <w:jc w:val="left"/>
              <w:rPr>
                <w:rFonts w:ascii="宋体" w:hAnsi="宋体" w:cs="宋体" w:eastAsia="宋体" w:hint="default"/>
                <w:sz w:val="18"/>
                <w:szCs w:val="18"/>
              </w:rPr>
            </w:pPr>
            <w:r>
              <w:rPr>
                <w:rFonts w:ascii="Times New Roman" w:hAnsi="Times New Roman" w:cs="Times New Roman" w:eastAsia="Times New Roman" w:hint="default"/>
                <w:sz w:val="18"/>
                <w:szCs w:val="18"/>
              </w:rPr>
              <w:t>Pacbio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数据纠错及三代 动植物组装流程研发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46"/>
              <w:jc w:val="both"/>
              <w:rPr>
                <w:rFonts w:ascii="宋体" w:hAnsi="宋体" w:cs="宋体" w:eastAsia="宋体" w:hint="default"/>
                <w:sz w:val="18"/>
                <w:szCs w:val="18"/>
              </w:rPr>
            </w:pPr>
            <w:r>
              <w:rPr>
                <w:rFonts w:ascii="宋体" w:hAnsi="宋体" w:cs="宋体" w:eastAsia="宋体" w:hint="default"/>
                <w:sz w:val="18"/>
                <w:szCs w:val="18"/>
              </w:rPr>
              <w:t>形成业界领先的基于三代 </w:t>
            </w:r>
            <w:r>
              <w:rPr>
                <w:rFonts w:ascii="Times New Roman" w:hAnsi="Times New Roman" w:cs="Times New Roman" w:eastAsia="Times New Roman" w:hint="default"/>
                <w:sz w:val="18"/>
                <w:szCs w:val="18"/>
              </w:rPr>
              <w:t>PacBio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测序平台的组装流 程</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32"/>
              <w:jc w:val="left"/>
              <w:rPr>
                <w:rFonts w:ascii="宋体" w:hAnsi="宋体" w:cs="宋体" w:eastAsia="宋体" w:hint="default"/>
                <w:sz w:val="18"/>
                <w:szCs w:val="18"/>
              </w:rPr>
            </w:pPr>
            <w:r>
              <w:rPr>
                <w:rFonts w:ascii="宋体" w:hAnsi="宋体" w:cs="宋体" w:eastAsia="宋体" w:hint="default"/>
                <w:sz w:val="18"/>
                <w:szCs w:val="18"/>
              </w:rPr>
              <w:t>完成流程开发和测试，并针 对其中新方法进行专利申请</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5" w:right="146"/>
              <w:jc w:val="left"/>
              <w:rPr>
                <w:rFonts w:ascii="宋体" w:hAnsi="宋体" w:cs="宋体" w:eastAsia="宋体" w:hint="default"/>
                <w:sz w:val="18"/>
                <w:szCs w:val="18"/>
              </w:rPr>
            </w:pPr>
            <w:r>
              <w:rPr>
                <w:rFonts w:ascii="宋体" w:hAnsi="宋体" w:cs="宋体" w:eastAsia="宋体" w:hint="default"/>
                <w:sz w:val="18"/>
                <w:szCs w:val="18"/>
              </w:rPr>
              <w:t>有利于进一步扩大基于 三代 </w:t>
            </w:r>
            <w:r>
              <w:rPr>
                <w:rFonts w:ascii="Times New Roman" w:hAnsi="Times New Roman" w:cs="Times New Roman" w:eastAsia="Times New Roman" w:hint="default"/>
                <w:sz w:val="18"/>
                <w:szCs w:val="18"/>
              </w:rPr>
              <w:t>PacBio </w:t>
            </w:r>
            <w:r>
              <w:rPr>
                <w:rFonts w:ascii="宋体" w:hAnsi="宋体" w:cs="宋体" w:eastAsia="宋体" w:hint="default"/>
                <w:sz w:val="18"/>
                <w:szCs w:val="18"/>
              </w:rPr>
              <w:t>测序平台的 </w:t>
            </w:r>
            <w:r>
              <w:rPr>
                <w:rFonts w:ascii="Times New Roman" w:hAnsi="Times New Roman" w:cs="Times New Roman" w:eastAsia="Times New Roman" w:hint="default"/>
                <w:sz w:val="18"/>
                <w:szCs w:val="18"/>
              </w:rPr>
              <w:t>denovo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组装项目的市场 占有率</w:t>
            </w:r>
          </w:p>
        </w:tc>
      </w:tr>
      <w:tr>
        <w:trPr>
          <w:trHeight w:val="1340"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82"/>
              <w:jc w:val="right"/>
              <w:rPr>
                <w:rFonts w:ascii="Times New Roman" w:hAnsi="Times New Roman" w:cs="Times New Roman" w:eastAsia="Times New Roman" w:hint="default"/>
                <w:sz w:val="18"/>
                <w:szCs w:val="18"/>
              </w:rPr>
            </w:pPr>
            <w:r>
              <w:rPr>
                <w:rFonts w:ascii="Times New Roman"/>
                <w:sz w:val="18"/>
              </w:rPr>
              <w:t>24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105" w:right="212"/>
              <w:jc w:val="left"/>
              <w:rPr>
                <w:rFonts w:ascii="宋体" w:hAnsi="宋体" w:cs="宋体" w:eastAsia="宋体" w:hint="default"/>
                <w:sz w:val="18"/>
                <w:szCs w:val="18"/>
              </w:rPr>
            </w:pPr>
            <w:r>
              <w:rPr>
                <w:rFonts w:ascii="宋体" w:hAnsi="宋体" w:cs="宋体" w:eastAsia="宋体" w:hint="default"/>
                <w:sz w:val="18"/>
                <w:szCs w:val="18"/>
              </w:rPr>
              <w:t>动植物多平台联合组装 流程研发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3" w:right="175"/>
              <w:jc w:val="left"/>
              <w:rPr>
                <w:rFonts w:ascii="宋体" w:hAnsi="宋体" w:cs="宋体" w:eastAsia="宋体" w:hint="default"/>
                <w:sz w:val="18"/>
                <w:szCs w:val="18"/>
              </w:rPr>
            </w:pPr>
            <w:r>
              <w:rPr>
                <w:rFonts w:ascii="宋体" w:hAnsi="宋体" w:cs="宋体" w:eastAsia="宋体" w:hint="default"/>
                <w:sz w:val="18"/>
                <w:szCs w:val="18"/>
              </w:rPr>
              <w:t>开发多个平台（二代测 序、三代测序、</w:t>
            </w:r>
            <w:r>
              <w:rPr>
                <w:rFonts w:ascii="Times New Roman" w:hAnsi="Times New Roman" w:cs="Times New Roman" w:eastAsia="Times New Roman" w:hint="default"/>
                <w:sz w:val="18"/>
                <w:szCs w:val="18"/>
              </w:rPr>
              <w:t>Bionano </w:t>
            </w:r>
            <w:r>
              <w:rPr>
                <w:rFonts w:ascii="宋体" w:hAnsi="宋体" w:cs="宋体" w:eastAsia="宋体" w:hint="default"/>
                <w:sz w:val="18"/>
                <w:szCs w:val="18"/>
              </w:rPr>
              <w:t>测序、</w:t>
            </w:r>
            <w:r>
              <w:rPr>
                <w:rFonts w:ascii="Times New Roman" w:hAnsi="Times New Roman" w:cs="Times New Roman" w:eastAsia="Times New Roman" w:hint="default"/>
                <w:sz w:val="18"/>
                <w:szCs w:val="18"/>
              </w:rPr>
              <w:t>10X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测序）联合组 装的流程</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103" w:right="132"/>
              <w:jc w:val="left"/>
              <w:rPr>
                <w:rFonts w:ascii="宋体" w:hAnsi="宋体" w:cs="宋体" w:eastAsia="宋体" w:hint="default"/>
                <w:sz w:val="18"/>
                <w:szCs w:val="18"/>
              </w:rPr>
            </w:pPr>
            <w:r>
              <w:rPr>
                <w:rFonts w:ascii="宋体" w:hAnsi="宋体" w:cs="宋体" w:eastAsia="宋体" w:hint="default"/>
                <w:sz w:val="18"/>
                <w:szCs w:val="18"/>
              </w:rPr>
              <w:t>完成流程开发和测试，并针 对其中新方法进行专利申请</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5" w:right="266"/>
              <w:jc w:val="both"/>
              <w:rPr>
                <w:rFonts w:ascii="宋体" w:hAnsi="宋体" w:cs="宋体" w:eastAsia="宋体" w:hint="default"/>
                <w:sz w:val="18"/>
                <w:szCs w:val="18"/>
              </w:rPr>
            </w:pPr>
            <w:r>
              <w:rPr>
                <w:rFonts w:ascii="宋体" w:hAnsi="宋体" w:cs="宋体" w:eastAsia="宋体" w:hint="default"/>
                <w:sz w:val="18"/>
                <w:szCs w:val="18"/>
              </w:rPr>
              <w:t>有利于进一步扩大动植 物基因组组装项目的市 场占有率</w:t>
            </w:r>
          </w:p>
        </w:tc>
      </w:tr>
      <w:tr>
        <w:trPr>
          <w:trHeight w:val="133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2"/>
              <w:jc w:val="right"/>
              <w:rPr>
                <w:rFonts w:ascii="Times New Roman" w:hAnsi="Times New Roman" w:cs="Times New Roman" w:eastAsia="Times New Roman" w:hint="default"/>
                <w:sz w:val="18"/>
                <w:szCs w:val="18"/>
              </w:rPr>
            </w:pPr>
            <w:r>
              <w:rPr>
                <w:rFonts w:ascii="Times New Roman"/>
                <w:sz w:val="18"/>
              </w:rPr>
              <w:t>25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5" w:right="113"/>
              <w:jc w:val="left"/>
              <w:rPr>
                <w:rFonts w:ascii="宋体" w:hAnsi="宋体" w:cs="宋体" w:eastAsia="宋体" w:hint="default"/>
                <w:sz w:val="18"/>
                <w:szCs w:val="18"/>
              </w:rPr>
            </w:pPr>
            <w:r>
              <w:rPr>
                <w:rFonts w:ascii="宋体" w:hAnsi="宋体" w:cs="宋体" w:eastAsia="宋体" w:hint="default"/>
                <w:sz w:val="18"/>
                <w:szCs w:val="18"/>
              </w:rPr>
              <w:t>人外周血中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exosomal</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z w:val="18"/>
                <w:szCs w:val="18"/>
              </w:rPr>
              <w:t>small RNA </w:t>
            </w:r>
            <w:r>
              <w:rPr>
                <w:rFonts w:ascii="宋体" w:hAnsi="宋体" w:cs="宋体" w:eastAsia="宋体" w:hint="default"/>
                <w:sz w:val="18"/>
                <w:szCs w:val="18"/>
              </w:rPr>
              <w:t>产品 </w:t>
            </w:r>
            <w:r>
              <w:rPr>
                <w:rFonts w:ascii="Times New Roman" w:hAnsi="Times New Roman" w:cs="Times New Roman" w:eastAsia="Times New Roman" w:hint="default"/>
                <w:sz w:val="18"/>
                <w:szCs w:val="18"/>
              </w:rPr>
              <w:t>&amp;</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人外 周血中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exosomal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转录组产品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color w:val="333333"/>
                <w:sz w:val="18"/>
                <w:szCs w:val="18"/>
              </w:rPr>
              <w:t>开发针对人体液（包括血 清、脑脊液、尿液、羊 水）和细胞培养液的外泌 体 </w:t>
            </w:r>
            <w:r>
              <w:rPr>
                <w:rFonts w:ascii="Times New Roman" w:hAnsi="Times New Roman" w:cs="Times New Roman" w:eastAsia="Times New Roman" w:hint="default"/>
                <w:color w:val="333333"/>
                <w:sz w:val="18"/>
                <w:szCs w:val="18"/>
              </w:rPr>
              <w:t>RNA</w:t>
            </w:r>
            <w:r>
              <w:rPr>
                <w:rFonts w:ascii="Times New Roman" w:hAnsi="Times New Roman" w:cs="Times New Roman" w:eastAsia="Times New Roman" w:hint="default"/>
                <w:color w:val="333333"/>
                <w:spacing w:val="-3"/>
                <w:sz w:val="18"/>
                <w:szCs w:val="18"/>
              </w:rPr>
              <w:t> </w:t>
            </w:r>
            <w:r>
              <w:rPr>
                <w:rFonts w:ascii="宋体" w:hAnsi="宋体" w:cs="宋体" w:eastAsia="宋体" w:hint="default"/>
                <w:color w:val="333333"/>
                <w:sz w:val="18"/>
                <w:szCs w:val="18"/>
              </w:rPr>
              <w:t>产品</w:t>
            </w:r>
            <w:r>
              <w:rPr>
                <w:rFonts w:ascii="宋体" w:hAnsi="宋体" w:cs="宋体" w:eastAsia="宋体" w:hint="default"/>
                <w:sz w:val="18"/>
                <w:szCs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完成新产品开发并已上市</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5" w:right="266"/>
              <w:jc w:val="left"/>
              <w:rPr>
                <w:rFonts w:ascii="宋体" w:hAnsi="宋体" w:cs="宋体" w:eastAsia="宋体" w:hint="default"/>
                <w:sz w:val="18"/>
                <w:szCs w:val="18"/>
              </w:rPr>
            </w:pPr>
            <w:r>
              <w:rPr>
                <w:rFonts w:ascii="宋体" w:hAnsi="宋体" w:cs="宋体" w:eastAsia="宋体" w:hint="default"/>
                <w:sz w:val="18"/>
                <w:szCs w:val="18"/>
              </w:rPr>
              <w:t>新增产品，丰富了产品 线</w:t>
            </w:r>
          </w:p>
        </w:tc>
      </w:tr>
      <w:tr>
        <w:trPr>
          <w:trHeight w:val="1964"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t>26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color w:val="333333"/>
                <w:sz w:val="18"/>
                <w:szCs w:val="18"/>
              </w:rPr>
              <w:t>BGISEQ-500 PE100</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产品</w:t>
            </w:r>
            <w:r>
              <w:rPr>
                <w:rFonts w:ascii="宋体" w:hAnsi="宋体" w:cs="宋体" w:eastAsia="宋体" w:hint="default"/>
                <w:sz w:val="18"/>
                <w:szCs w:val="18"/>
              </w:rPr>
            </w:r>
          </w:p>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color w:val="333333"/>
                <w:sz w:val="18"/>
                <w:szCs w:val="18"/>
              </w:rPr>
              <w:t>评估</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3" w:right="173"/>
              <w:jc w:val="both"/>
              <w:rPr>
                <w:rFonts w:ascii="宋体" w:hAnsi="宋体" w:cs="宋体" w:eastAsia="宋体" w:hint="default"/>
                <w:sz w:val="18"/>
                <w:szCs w:val="18"/>
              </w:rPr>
            </w:pPr>
            <w:r>
              <w:rPr>
                <w:rFonts w:ascii="宋体" w:hAnsi="宋体" w:cs="宋体" w:eastAsia="宋体" w:hint="default"/>
                <w:color w:val="333333"/>
                <w:sz w:val="18"/>
                <w:szCs w:val="18"/>
              </w:rPr>
              <w:t>对人全外显子测序，人全 基因组重测序，动植物重 测序以及转录组测序进行 不同样品的比较分析，挖 掘</w:t>
            </w:r>
            <w:r>
              <w:rPr>
                <w:rFonts w:ascii="宋体" w:hAnsi="宋体" w:cs="宋体" w:eastAsia="宋体" w:hint="default"/>
                <w:color w:val="333333"/>
                <w:spacing w:val="-46"/>
                <w:sz w:val="18"/>
                <w:szCs w:val="18"/>
              </w:rPr>
              <w:t> </w:t>
            </w:r>
            <w:r>
              <w:rPr>
                <w:rFonts w:ascii="Times New Roman" w:hAnsi="Times New Roman" w:cs="Times New Roman" w:eastAsia="Times New Roman" w:hint="default"/>
                <w:color w:val="333333"/>
                <w:sz w:val="18"/>
                <w:szCs w:val="18"/>
              </w:rPr>
              <w:t>BGISEQ-500 </w:t>
            </w:r>
            <w:r>
              <w:rPr>
                <w:rFonts w:ascii="宋体" w:hAnsi="宋体" w:cs="宋体" w:eastAsia="宋体" w:hint="default"/>
                <w:color w:val="333333"/>
                <w:sz w:val="18"/>
                <w:szCs w:val="18"/>
              </w:rPr>
              <w:t>的平台特</w:t>
            </w:r>
            <w:r>
              <w:rPr>
                <w:rFonts w:ascii="宋体" w:hAnsi="宋体" w:cs="宋体" w:eastAsia="宋体" w:hint="default"/>
                <w:color w:val="333333"/>
                <w:w w:val="99"/>
                <w:sz w:val="18"/>
                <w:szCs w:val="18"/>
              </w:rPr>
              <w:t> </w:t>
            </w:r>
            <w:r>
              <w:rPr>
                <w:rFonts w:ascii="宋体" w:hAnsi="宋体" w:cs="宋体" w:eastAsia="宋体" w:hint="default"/>
                <w:color w:val="333333"/>
                <w:sz w:val="18"/>
                <w:szCs w:val="18"/>
              </w:rPr>
              <w:t>性和性能优势</w:t>
            </w:r>
            <w:r>
              <w:rPr>
                <w:rFonts w:ascii="宋体" w:hAnsi="宋体" w:cs="宋体" w:eastAsia="宋体" w:hint="default"/>
                <w:sz w:val="18"/>
                <w:szCs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0" w:lineRule="auto"/>
              <w:ind w:left="103" w:right="175"/>
              <w:jc w:val="left"/>
              <w:rPr>
                <w:rFonts w:ascii="宋体" w:hAnsi="宋体" w:cs="宋体" w:eastAsia="宋体" w:hint="default"/>
                <w:sz w:val="18"/>
                <w:szCs w:val="18"/>
              </w:rPr>
            </w:pPr>
            <w:r>
              <w:rPr>
                <w:rFonts w:ascii="宋体" w:hAnsi="宋体" w:cs="宋体" w:eastAsia="宋体" w:hint="default"/>
                <w:sz w:val="18"/>
                <w:szCs w:val="18"/>
              </w:rPr>
              <w:t>完成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BGISEQ-500 </w:t>
            </w:r>
            <w:r>
              <w:rPr>
                <w:rFonts w:ascii="宋体" w:hAnsi="宋体" w:cs="宋体" w:eastAsia="宋体" w:hint="default"/>
                <w:sz w:val="18"/>
                <w:szCs w:val="18"/>
              </w:rPr>
              <w:t>平台</w:t>
            </w:r>
            <w:r>
              <w:rPr>
                <w:rFonts w:ascii="宋体" w:hAnsi="宋体" w:cs="宋体" w:eastAsia="宋体" w:hint="default"/>
                <w:color w:val="333333"/>
                <w:sz w:val="18"/>
                <w:szCs w:val="18"/>
              </w:rPr>
              <w:t>和</w:t>
            </w:r>
            <w:r>
              <w:rPr>
                <w:rFonts w:ascii="宋体" w:hAnsi="宋体" w:cs="宋体" w:eastAsia="宋体" w:hint="default"/>
                <w:color w:val="333333"/>
                <w:w w:val="99"/>
                <w:sz w:val="18"/>
                <w:szCs w:val="18"/>
              </w:rPr>
              <w:t> </w:t>
            </w:r>
            <w:r>
              <w:rPr>
                <w:rFonts w:ascii="Times New Roman" w:hAnsi="Times New Roman" w:cs="Times New Roman" w:eastAsia="Times New Roman" w:hint="default"/>
                <w:color w:val="333333"/>
                <w:sz w:val="18"/>
                <w:szCs w:val="18"/>
              </w:rPr>
              <w:t>Hiseq</w:t>
            </w:r>
            <w:r>
              <w:rPr>
                <w:rFonts w:ascii="Times New Roman" w:hAnsi="Times New Roman" w:cs="Times New Roman" w:eastAsia="Times New Roman" w:hint="default"/>
                <w:color w:val="333333"/>
                <w:spacing w:val="1"/>
                <w:sz w:val="18"/>
                <w:szCs w:val="18"/>
              </w:rPr>
              <w:t> </w:t>
            </w:r>
            <w:r>
              <w:rPr>
                <w:rFonts w:ascii="宋体" w:hAnsi="宋体" w:cs="宋体" w:eastAsia="宋体" w:hint="default"/>
                <w:color w:val="333333"/>
                <w:sz w:val="18"/>
                <w:szCs w:val="18"/>
              </w:rPr>
              <w:t>平台数据进行的比</w:t>
            </w:r>
            <w:r>
              <w:rPr>
                <w:rFonts w:ascii="宋体" w:hAnsi="宋体" w:cs="宋体" w:eastAsia="宋体" w:hint="default"/>
                <w:color w:val="333333"/>
                <w:w w:val="99"/>
                <w:sz w:val="18"/>
                <w:szCs w:val="18"/>
              </w:rPr>
              <w:t> </w:t>
            </w:r>
            <w:r>
              <w:rPr>
                <w:rFonts w:ascii="宋体" w:hAnsi="宋体" w:cs="宋体" w:eastAsia="宋体" w:hint="default"/>
                <w:color w:val="333333"/>
                <w:sz w:val="18"/>
                <w:szCs w:val="18"/>
              </w:rPr>
              <w:t>较，充分挖掘了</w:t>
            </w:r>
            <w:r>
              <w:rPr>
                <w:rFonts w:ascii="宋体" w:hAnsi="宋体" w:cs="宋体" w:eastAsia="宋体" w:hint="default"/>
                <w:color w:val="333333"/>
                <w:spacing w:val="-45"/>
                <w:sz w:val="18"/>
                <w:szCs w:val="18"/>
              </w:rPr>
              <w:t> </w:t>
            </w:r>
            <w:r>
              <w:rPr>
                <w:rFonts w:ascii="Times New Roman" w:hAnsi="Times New Roman" w:cs="Times New Roman" w:eastAsia="Times New Roman" w:hint="default"/>
                <w:color w:val="333333"/>
                <w:sz w:val="18"/>
                <w:szCs w:val="18"/>
              </w:rPr>
              <w:t>BGISEQ-</w:t>
            </w:r>
            <w:r>
              <w:rPr>
                <w:rFonts w:ascii="Times New Roman" w:hAnsi="Times New Roman" w:cs="Times New Roman" w:eastAsia="Times New Roman" w:hint="default"/>
                <w:color w:val="333333"/>
                <w:w w:val="99"/>
                <w:sz w:val="18"/>
                <w:szCs w:val="18"/>
              </w:rPr>
              <w:t> </w:t>
            </w:r>
            <w:r>
              <w:rPr>
                <w:rFonts w:ascii="Times New Roman" w:hAnsi="Times New Roman" w:cs="Times New Roman" w:eastAsia="Times New Roman" w:hint="default"/>
                <w:color w:val="333333"/>
                <w:sz w:val="18"/>
                <w:szCs w:val="18"/>
              </w:rPr>
              <w:t>500</w:t>
            </w:r>
            <w:r>
              <w:rPr>
                <w:rFonts w:ascii="Times New Roman" w:hAnsi="Times New Roman" w:cs="Times New Roman" w:eastAsia="Times New Roman" w:hint="default"/>
                <w:color w:val="333333"/>
                <w:spacing w:val="1"/>
                <w:sz w:val="18"/>
                <w:szCs w:val="18"/>
              </w:rPr>
              <w:t> </w:t>
            </w:r>
            <w:r>
              <w:rPr>
                <w:rFonts w:ascii="宋体" w:hAnsi="宋体" w:cs="宋体" w:eastAsia="宋体" w:hint="default"/>
                <w:sz w:val="18"/>
                <w:szCs w:val="18"/>
              </w:rPr>
              <w:t>平台的精准和适用方面</w:t>
            </w:r>
            <w:r>
              <w:rPr>
                <w:rFonts w:ascii="宋体" w:hAnsi="宋体" w:cs="宋体" w:eastAsia="宋体" w:hint="default"/>
                <w:w w:val="99"/>
                <w:sz w:val="18"/>
                <w:szCs w:val="18"/>
              </w:rPr>
              <w:t> </w:t>
            </w:r>
            <w:r>
              <w:rPr>
                <w:rFonts w:ascii="宋体" w:hAnsi="宋体" w:cs="宋体" w:eastAsia="宋体" w:hint="default"/>
                <w:sz w:val="18"/>
                <w:szCs w:val="18"/>
              </w:rPr>
              <w:t>的优势</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BGISEQ-500 </w:t>
            </w:r>
            <w:r>
              <w:rPr>
                <w:rFonts w:ascii="宋体" w:hAnsi="宋体" w:cs="宋体" w:eastAsia="宋体" w:hint="default"/>
                <w:sz w:val="18"/>
                <w:szCs w:val="18"/>
              </w:rPr>
              <w:t>平台的</w:t>
            </w:r>
          </w:p>
          <w:p>
            <w:pPr>
              <w:pStyle w:val="TableParagraph"/>
              <w:spacing w:line="316" w:lineRule="auto" w:before="60"/>
              <w:ind w:left="105" w:right="266"/>
              <w:jc w:val="left"/>
              <w:rPr>
                <w:rFonts w:ascii="宋体" w:hAnsi="宋体" w:cs="宋体" w:eastAsia="宋体" w:hint="default"/>
                <w:sz w:val="18"/>
                <w:szCs w:val="18"/>
              </w:rPr>
            </w:pPr>
            <w:r>
              <w:rPr>
                <w:rFonts w:ascii="宋体" w:hAnsi="宋体" w:cs="宋体" w:eastAsia="宋体" w:hint="default"/>
                <w:sz w:val="18"/>
                <w:szCs w:val="18"/>
              </w:rPr>
              <w:t>产品推广提供了有效支 持，有利于扩大</w:t>
            </w:r>
          </w:p>
          <w:p>
            <w:pPr>
              <w:pStyle w:val="TableParagraph"/>
              <w:spacing w:line="300" w:lineRule="auto" w:before="19"/>
              <w:ind w:left="105"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BGISEQ-500 </w:t>
            </w:r>
            <w:r>
              <w:rPr>
                <w:rFonts w:ascii="宋体" w:hAnsi="宋体" w:cs="宋体" w:eastAsia="宋体" w:hint="default"/>
                <w:sz w:val="18"/>
                <w:szCs w:val="18"/>
              </w:rPr>
              <w:t>产品的市场</w:t>
            </w:r>
            <w:r>
              <w:rPr>
                <w:rFonts w:ascii="宋体" w:hAnsi="宋体" w:cs="宋体" w:eastAsia="宋体" w:hint="default"/>
                <w:w w:val="99"/>
                <w:sz w:val="18"/>
                <w:szCs w:val="18"/>
              </w:rPr>
              <w:t> </w:t>
            </w:r>
            <w:r>
              <w:rPr>
                <w:rFonts w:ascii="宋体" w:hAnsi="宋体" w:cs="宋体" w:eastAsia="宋体" w:hint="default"/>
                <w:sz w:val="18"/>
                <w:szCs w:val="18"/>
              </w:rPr>
              <w:t>占有</w:t>
            </w:r>
          </w:p>
        </w:tc>
      </w:tr>
      <w:tr>
        <w:trPr>
          <w:trHeight w:val="133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2"/>
              <w:jc w:val="right"/>
              <w:rPr>
                <w:rFonts w:ascii="Times New Roman" w:hAnsi="Times New Roman" w:cs="Times New Roman" w:eastAsia="Times New Roman" w:hint="default"/>
                <w:sz w:val="18"/>
                <w:szCs w:val="18"/>
              </w:rPr>
            </w:pPr>
            <w:r>
              <w:rPr>
                <w:rFonts w:ascii="Times New Roman"/>
                <w:sz w:val="18"/>
              </w:rPr>
              <w:t>27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MetaGenomics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流程升级</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对流程中软件、数据库、 分析点</w:t>
            </w:r>
            <w:r>
              <w:rPr>
                <w:rFonts w:ascii="宋体" w:hAnsi="宋体" w:cs="宋体" w:eastAsia="宋体" w:hint="default"/>
                <w:color w:val="333333"/>
                <w:sz w:val="18"/>
                <w:szCs w:val="18"/>
              </w:rPr>
              <w:t>升级，提升流程使</w:t>
            </w:r>
            <w:r>
              <w:rPr>
                <w:rFonts w:ascii="宋体" w:hAnsi="宋体" w:cs="宋体" w:eastAsia="宋体" w:hint="default"/>
                <w:color w:val="333333"/>
                <w:sz w:val="18"/>
                <w:szCs w:val="18"/>
              </w:rPr>
              <w:t> 用的便利性和减少分析时 间</w:t>
            </w:r>
            <w:r>
              <w:rPr>
                <w:rFonts w:ascii="宋体" w:hAnsi="宋体" w:cs="宋体" w:eastAsia="宋体" w:hint="default"/>
                <w:sz w:val="18"/>
                <w:szCs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32"/>
              <w:jc w:val="both"/>
              <w:rPr>
                <w:rFonts w:ascii="宋体" w:hAnsi="宋体" w:cs="宋体" w:eastAsia="宋体" w:hint="default"/>
                <w:sz w:val="18"/>
                <w:szCs w:val="18"/>
              </w:rPr>
            </w:pPr>
            <w:r>
              <w:rPr>
                <w:rFonts w:ascii="宋体" w:hAnsi="宋体" w:cs="宋体" w:eastAsia="宋体" w:hint="default"/>
                <w:sz w:val="18"/>
                <w:szCs w:val="18"/>
              </w:rPr>
              <w:t>完成了分析流程中软件、数 据库升级，丰富了流程的分 析点、减少了流程分析时间</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5" w:right="264"/>
              <w:jc w:val="both"/>
              <w:rPr>
                <w:rFonts w:ascii="宋体" w:hAnsi="宋体" w:cs="宋体" w:eastAsia="宋体" w:hint="default"/>
                <w:sz w:val="18"/>
                <w:szCs w:val="18"/>
              </w:rPr>
            </w:pPr>
            <w:r>
              <w:rPr>
                <w:rFonts w:ascii="宋体" w:hAnsi="宋体" w:cs="宋体" w:eastAsia="宋体" w:hint="default"/>
                <w:sz w:val="18"/>
                <w:szCs w:val="18"/>
              </w:rPr>
              <w:t>丰富了产品的分析点和 减少了分析时间，提升 了产品竞争力</w:t>
            </w:r>
          </w:p>
        </w:tc>
      </w:tr>
      <w:tr>
        <w:trPr>
          <w:trHeight w:val="1340"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82"/>
              <w:jc w:val="right"/>
              <w:rPr>
                <w:rFonts w:ascii="Times New Roman" w:hAnsi="Times New Roman" w:cs="Times New Roman" w:eastAsia="Times New Roman" w:hint="default"/>
                <w:sz w:val="18"/>
                <w:szCs w:val="18"/>
              </w:rPr>
            </w:pPr>
            <w:r>
              <w:rPr>
                <w:rFonts w:ascii="Times New Roman"/>
                <w:sz w:val="18"/>
              </w:rPr>
              <w:t>28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RNAseq</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流程升级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3" w:right="170"/>
              <w:jc w:val="both"/>
              <w:rPr>
                <w:rFonts w:ascii="宋体" w:hAnsi="宋体" w:cs="宋体" w:eastAsia="宋体" w:hint="default"/>
                <w:sz w:val="18"/>
                <w:szCs w:val="18"/>
              </w:rPr>
            </w:pPr>
            <w:r>
              <w:rPr>
                <w:rFonts w:ascii="宋体" w:hAnsi="宋体" w:cs="宋体" w:eastAsia="宋体" w:hint="default"/>
                <w:sz w:val="18"/>
                <w:szCs w:val="18"/>
              </w:rPr>
              <w:t>针对转录组、</w:t>
            </w:r>
            <w:r>
              <w:rPr>
                <w:rFonts w:ascii="Times New Roman" w:hAnsi="Times New Roman" w:cs="Times New Roman" w:eastAsia="Times New Roman" w:hint="default"/>
                <w:sz w:val="18"/>
                <w:szCs w:val="18"/>
              </w:rPr>
              <w:t>RNA-seq</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LncRNA</w:t>
            </w:r>
            <w:r>
              <w:rPr>
                <w:rFonts w:ascii="宋体" w:hAnsi="宋体" w:cs="宋体" w:eastAsia="宋体" w:hint="default"/>
                <w:sz w:val="18"/>
                <w:szCs w:val="18"/>
              </w:rPr>
              <w:t>、环状</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RNA</w:t>
            </w:r>
            <w:r>
              <w:rPr>
                <w:rFonts w:ascii="宋体" w:hAnsi="宋体" w:cs="宋体" w:eastAsia="宋体" w:hint="default"/>
                <w:sz w:val="18"/>
                <w:szCs w:val="18"/>
              </w:rPr>
              <w:t>、</w:t>
            </w:r>
            <w:r>
              <w:rPr>
                <w:rFonts w:ascii="宋体" w:hAnsi="宋体" w:cs="宋体" w:eastAsia="宋体" w:hint="default"/>
                <w:color w:val="333333"/>
                <w:sz w:val="18"/>
                <w:szCs w:val="18"/>
              </w:rPr>
              <w:t>竞</w:t>
            </w:r>
            <w:r>
              <w:rPr>
                <w:rFonts w:ascii="宋体" w:hAnsi="宋体" w:cs="宋体" w:eastAsia="宋体" w:hint="default"/>
                <w:color w:val="333333"/>
                <w:sz w:val="18"/>
                <w:szCs w:val="18"/>
              </w:rPr>
              <w:t> 争性内源 </w:t>
            </w:r>
            <w:r>
              <w:rPr>
                <w:rFonts w:ascii="Times New Roman" w:hAnsi="Times New Roman" w:cs="Times New Roman" w:eastAsia="Times New Roman" w:hint="default"/>
                <w:color w:val="333333"/>
                <w:sz w:val="18"/>
                <w:szCs w:val="18"/>
              </w:rPr>
              <w:t>RNA</w:t>
            </w:r>
            <w:r>
              <w:rPr>
                <w:rFonts w:ascii="Times New Roman" w:hAnsi="Times New Roman" w:cs="Times New Roman" w:eastAsia="Times New Roman" w:hint="default"/>
                <w:color w:val="333333"/>
                <w:spacing w:val="-3"/>
                <w:sz w:val="18"/>
                <w:szCs w:val="18"/>
              </w:rPr>
              <w:t> </w:t>
            </w:r>
            <w:r>
              <w:rPr>
                <w:rFonts w:ascii="宋体" w:hAnsi="宋体" w:cs="宋体" w:eastAsia="宋体" w:hint="default"/>
                <w:color w:val="333333"/>
                <w:sz w:val="18"/>
                <w:szCs w:val="18"/>
              </w:rPr>
              <w:t>等分析进 行升级</w:t>
            </w:r>
            <w:r>
              <w:rPr>
                <w:rFonts w:ascii="宋体" w:hAnsi="宋体" w:cs="宋体" w:eastAsia="宋体" w:hint="default"/>
                <w:sz w:val="18"/>
                <w:szCs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132"/>
              <w:jc w:val="both"/>
              <w:rPr>
                <w:rFonts w:ascii="宋体" w:hAnsi="宋体" w:cs="宋体" w:eastAsia="宋体" w:hint="default"/>
                <w:sz w:val="18"/>
                <w:szCs w:val="18"/>
              </w:rPr>
            </w:pPr>
            <w:r>
              <w:rPr>
                <w:rFonts w:ascii="宋体" w:hAnsi="宋体" w:cs="宋体" w:eastAsia="宋体" w:hint="default"/>
                <w:sz w:val="18"/>
                <w:szCs w:val="18"/>
              </w:rPr>
              <w:t>完成分析流程升级，对流程 的适用性、分析软件、数据 库、分析点的升级</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8"/>
              <w:ind w:left="105" w:right="266"/>
              <w:jc w:val="left"/>
              <w:rPr>
                <w:rFonts w:ascii="宋体" w:hAnsi="宋体" w:cs="宋体" w:eastAsia="宋体" w:hint="default"/>
                <w:sz w:val="18"/>
                <w:szCs w:val="18"/>
              </w:rPr>
            </w:pPr>
            <w:r>
              <w:rPr>
                <w:rFonts w:ascii="宋体" w:hAnsi="宋体" w:cs="宋体" w:eastAsia="宋体" w:hint="default"/>
                <w:sz w:val="18"/>
                <w:szCs w:val="18"/>
              </w:rPr>
              <w:t>丰富了产品的分析点， 提升了产品竞争力</w:t>
            </w:r>
          </w:p>
        </w:tc>
      </w:tr>
    </w:tbl>
    <w:p>
      <w:pPr>
        <w:spacing w:after="0" w:line="314"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567"/>
        <w:gridCol w:w="2129"/>
        <w:gridCol w:w="2268"/>
        <w:gridCol w:w="2408"/>
        <w:gridCol w:w="2182"/>
      </w:tblGrid>
      <w:tr>
        <w:trPr>
          <w:trHeight w:val="102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t>29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多组学联合分析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10"/>
              <w:jc w:val="both"/>
              <w:rPr>
                <w:rFonts w:ascii="宋体" w:hAnsi="宋体" w:cs="宋体" w:eastAsia="宋体" w:hint="default"/>
                <w:sz w:val="18"/>
                <w:szCs w:val="18"/>
              </w:rPr>
            </w:pPr>
            <w:r>
              <w:rPr>
                <w:rFonts w:ascii="宋体" w:hAnsi="宋体" w:cs="宋体" w:eastAsia="宋体" w:hint="default"/>
                <w:color w:val="333333"/>
                <w:sz w:val="18"/>
                <w:szCs w:val="18"/>
              </w:rPr>
              <w:t>开发针对信使</w:t>
            </w:r>
            <w:r>
              <w:rPr>
                <w:rFonts w:ascii="宋体" w:hAnsi="宋体" w:cs="宋体" w:eastAsia="宋体" w:hint="default"/>
                <w:color w:val="333333"/>
                <w:spacing w:val="-49"/>
                <w:sz w:val="18"/>
                <w:szCs w:val="18"/>
              </w:rPr>
              <w:t> </w:t>
            </w:r>
            <w:r>
              <w:rPr>
                <w:rFonts w:ascii="Times New Roman" w:hAnsi="Times New Roman" w:cs="Times New Roman" w:eastAsia="Times New Roman" w:hint="default"/>
                <w:color w:val="333333"/>
                <w:sz w:val="18"/>
                <w:szCs w:val="18"/>
              </w:rPr>
              <w:t>RNA</w:t>
            </w:r>
            <w:r>
              <w:rPr>
                <w:rFonts w:ascii="宋体" w:hAnsi="宋体" w:cs="宋体" w:eastAsia="宋体" w:hint="default"/>
                <w:color w:val="333333"/>
                <w:sz w:val="18"/>
                <w:szCs w:val="18"/>
              </w:rPr>
              <w:t>、非编 码</w:t>
            </w:r>
            <w:r>
              <w:rPr>
                <w:rFonts w:ascii="宋体" w:hAnsi="宋体" w:cs="宋体" w:eastAsia="宋体" w:hint="default"/>
                <w:color w:val="333333"/>
                <w:spacing w:val="-49"/>
                <w:sz w:val="18"/>
                <w:szCs w:val="18"/>
              </w:rPr>
              <w:t> </w:t>
            </w:r>
            <w:r>
              <w:rPr>
                <w:rFonts w:ascii="Times New Roman" w:hAnsi="Times New Roman" w:cs="Times New Roman" w:eastAsia="Times New Roman" w:hint="default"/>
                <w:color w:val="333333"/>
                <w:sz w:val="18"/>
                <w:szCs w:val="18"/>
              </w:rPr>
              <w:t>RNA</w:t>
            </w:r>
            <w:r>
              <w:rPr>
                <w:rFonts w:ascii="宋体" w:hAnsi="宋体" w:cs="宋体" w:eastAsia="宋体" w:hint="default"/>
                <w:color w:val="333333"/>
                <w:sz w:val="18"/>
                <w:szCs w:val="18"/>
              </w:rPr>
              <w:t>、表观修饰的联合 分析新产品</w:t>
            </w:r>
            <w:r>
              <w:rPr>
                <w:rFonts w:ascii="宋体" w:hAnsi="宋体" w:cs="宋体" w:eastAsia="宋体" w:hint="default"/>
                <w:sz w:val="18"/>
                <w:szCs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32"/>
              <w:jc w:val="both"/>
              <w:rPr>
                <w:rFonts w:ascii="宋体" w:hAnsi="宋体" w:cs="宋体" w:eastAsia="宋体" w:hint="default"/>
                <w:sz w:val="18"/>
                <w:szCs w:val="18"/>
              </w:rPr>
            </w:pPr>
            <w:r>
              <w:rPr>
                <w:rFonts w:ascii="宋体" w:hAnsi="宋体" w:cs="宋体" w:eastAsia="宋体" w:hint="default"/>
                <w:sz w:val="18"/>
                <w:szCs w:val="18"/>
              </w:rPr>
              <w:t>进行信息分析的流程开发和 测试，并完成软件著作权申 请</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266"/>
              <w:jc w:val="both"/>
              <w:rPr>
                <w:rFonts w:ascii="宋体" w:hAnsi="宋体" w:cs="宋体" w:eastAsia="宋体" w:hint="default"/>
                <w:sz w:val="18"/>
                <w:szCs w:val="18"/>
              </w:rPr>
            </w:pPr>
            <w:r>
              <w:rPr>
                <w:rFonts w:ascii="宋体" w:hAnsi="宋体" w:cs="宋体" w:eastAsia="宋体" w:hint="default"/>
                <w:sz w:val="18"/>
                <w:szCs w:val="18"/>
              </w:rPr>
              <w:t>新增产品，提升联合分 析竞争力，丰富了产品 线</w:t>
            </w:r>
          </w:p>
        </w:tc>
      </w:tr>
      <w:tr>
        <w:trPr>
          <w:trHeight w:val="165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t>30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0" w:lineRule="auto"/>
              <w:ind w:left="105" w:right="15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SMRT </w:t>
            </w:r>
            <w:r>
              <w:rPr>
                <w:rFonts w:ascii="宋体" w:hAnsi="宋体" w:cs="宋体" w:eastAsia="宋体" w:hint="default"/>
                <w:sz w:val="18"/>
                <w:szCs w:val="18"/>
              </w:rPr>
              <w:t>技术精确研究目</w:t>
            </w:r>
            <w:r>
              <w:rPr>
                <w:rFonts w:ascii="宋体" w:hAnsi="宋体" w:cs="宋体" w:eastAsia="宋体" w:hint="default"/>
                <w:spacing w:val="-85"/>
                <w:sz w:val="18"/>
                <w:szCs w:val="18"/>
              </w:rPr>
              <w:t> </w:t>
            </w:r>
            <w:r>
              <w:rPr>
                <w:rFonts w:ascii="宋体" w:hAnsi="宋体" w:cs="宋体" w:eastAsia="宋体" w:hint="default"/>
                <w:sz w:val="18"/>
                <w:szCs w:val="18"/>
              </w:rPr>
              <w:t>标基因全长转录本结构</w:t>
            </w:r>
            <w:r>
              <w:rPr>
                <w:rFonts w:ascii="Times New Roman" w:hAnsi="Times New Roman" w:cs="Times New Roman" w:eastAsia="Times New Roman" w:hint="default"/>
                <w:sz w:val="18"/>
                <w:szCs w:val="18"/>
              </w:rPr>
              <w:t>- </w:t>
            </w:r>
            <w:r>
              <w:rPr>
                <w:rFonts w:ascii="宋体" w:hAnsi="宋体" w:cs="宋体" w:eastAsia="宋体" w:hint="default"/>
                <w:sz w:val="18"/>
                <w:szCs w:val="18"/>
              </w:rPr>
              <w:t>人群</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SMN </w:t>
            </w:r>
            <w:r>
              <w:rPr>
                <w:rFonts w:ascii="宋体" w:hAnsi="宋体" w:cs="宋体" w:eastAsia="宋体" w:hint="default"/>
                <w:sz w:val="18"/>
                <w:szCs w:val="18"/>
              </w:rPr>
              <w:t>基因转录本 结构研究</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3" w:right="173"/>
              <w:jc w:val="both"/>
              <w:rPr>
                <w:rFonts w:ascii="宋体" w:hAnsi="宋体" w:cs="宋体" w:eastAsia="宋体" w:hint="default"/>
                <w:sz w:val="18"/>
                <w:szCs w:val="18"/>
              </w:rPr>
            </w:pPr>
            <w:r>
              <w:rPr>
                <w:rFonts w:ascii="宋体" w:hAnsi="宋体" w:cs="宋体" w:eastAsia="宋体" w:hint="default"/>
                <w:color w:val="333333"/>
                <w:sz w:val="18"/>
                <w:szCs w:val="18"/>
              </w:rPr>
              <w:t>借助于第三代测序</w:t>
            </w:r>
            <w:r>
              <w:rPr>
                <w:rFonts w:ascii="宋体" w:hAnsi="宋体" w:cs="宋体" w:eastAsia="宋体" w:hint="default"/>
                <w:color w:val="333333"/>
                <w:spacing w:val="-47"/>
                <w:sz w:val="18"/>
                <w:szCs w:val="18"/>
              </w:rPr>
              <w:t> </w:t>
            </w:r>
            <w:r>
              <w:rPr>
                <w:rFonts w:ascii="Times New Roman" w:hAnsi="Times New Roman" w:cs="Times New Roman" w:eastAsia="Times New Roman" w:hint="default"/>
                <w:color w:val="333333"/>
                <w:sz w:val="18"/>
                <w:szCs w:val="18"/>
              </w:rPr>
              <w:t>Pacbio</w:t>
            </w:r>
            <w:r>
              <w:rPr>
                <w:rFonts w:ascii="Times New Roman" w:hAnsi="Times New Roman" w:cs="Times New Roman" w:eastAsia="Times New Roman" w:hint="default"/>
                <w:color w:val="333333"/>
                <w:w w:val="100"/>
                <w:sz w:val="18"/>
                <w:szCs w:val="18"/>
              </w:rPr>
              <w:t> </w:t>
            </w:r>
            <w:r>
              <w:rPr>
                <w:rFonts w:ascii="宋体" w:hAnsi="宋体" w:cs="宋体" w:eastAsia="宋体" w:hint="default"/>
                <w:color w:val="333333"/>
                <w:sz w:val="18"/>
                <w:szCs w:val="18"/>
              </w:rPr>
              <w:t>平台，以脊髓性肌萎缩症 样品作为案例，开发针对 基因的转录本结构研究的 新产品</w:t>
            </w:r>
            <w:r>
              <w:rPr>
                <w:rFonts w:ascii="宋体" w:hAnsi="宋体" w:cs="宋体" w:eastAsia="宋体" w:hint="default"/>
                <w:sz w:val="18"/>
                <w:szCs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3" w:right="132"/>
              <w:jc w:val="both"/>
              <w:rPr>
                <w:rFonts w:ascii="宋体" w:hAnsi="宋体" w:cs="宋体" w:eastAsia="宋体" w:hint="default"/>
                <w:sz w:val="18"/>
                <w:szCs w:val="18"/>
              </w:rPr>
            </w:pPr>
            <w:r>
              <w:rPr>
                <w:rFonts w:ascii="宋体" w:hAnsi="宋体" w:cs="宋体" w:eastAsia="宋体" w:hint="default"/>
                <w:sz w:val="18"/>
                <w:szCs w:val="18"/>
              </w:rPr>
              <w:t>完成了样品的测序和基础分 析，针对新转录本结构的细 致分析正在进行中</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5" w:right="266"/>
              <w:jc w:val="both"/>
              <w:rPr>
                <w:rFonts w:ascii="宋体" w:hAnsi="宋体" w:cs="宋体" w:eastAsia="宋体" w:hint="default"/>
                <w:sz w:val="18"/>
                <w:szCs w:val="18"/>
              </w:rPr>
            </w:pPr>
            <w:r>
              <w:rPr>
                <w:rFonts w:ascii="宋体" w:hAnsi="宋体" w:cs="宋体" w:eastAsia="宋体" w:hint="default"/>
                <w:sz w:val="18"/>
                <w:szCs w:val="18"/>
              </w:rPr>
              <w:t>基于三代测序平台应用 方向的新开发，拓展三 代平台的利用</w:t>
            </w:r>
          </w:p>
        </w:tc>
      </w:tr>
      <w:tr>
        <w:trPr>
          <w:trHeight w:val="71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t>31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212"/>
              <w:jc w:val="left"/>
              <w:rPr>
                <w:rFonts w:ascii="宋体" w:hAnsi="宋体" w:cs="宋体" w:eastAsia="宋体" w:hint="default"/>
                <w:sz w:val="18"/>
                <w:szCs w:val="18"/>
              </w:rPr>
            </w:pPr>
            <w:r>
              <w:rPr>
                <w:rFonts w:ascii="宋体" w:hAnsi="宋体" w:cs="宋体" w:eastAsia="宋体" w:hint="default"/>
                <w:sz w:val="18"/>
                <w:szCs w:val="18"/>
              </w:rPr>
              <w:t>转座酶介导的高通量染 色质结构研究</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开发针对开放染色质研究 领域的新产品</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完成新产品开发并已上市</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266"/>
              <w:jc w:val="left"/>
              <w:rPr>
                <w:rFonts w:ascii="宋体" w:hAnsi="宋体" w:cs="宋体" w:eastAsia="宋体" w:hint="default"/>
                <w:sz w:val="18"/>
                <w:szCs w:val="18"/>
              </w:rPr>
            </w:pPr>
            <w:r>
              <w:rPr>
                <w:rFonts w:ascii="宋体" w:hAnsi="宋体" w:cs="宋体" w:eastAsia="宋体" w:hint="default"/>
                <w:sz w:val="18"/>
                <w:szCs w:val="18"/>
              </w:rPr>
              <w:t>新增产品，丰富了产品 线</w:t>
            </w:r>
          </w:p>
        </w:tc>
      </w:tr>
      <w:tr>
        <w:trPr>
          <w:trHeight w:val="1340"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82"/>
              <w:jc w:val="right"/>
              <w:rPr>
                <w:rFonts w:ascii="Times New Roman" w:hAnsi="Times New Roman" w:cs="Times New Roman" w:eastAsia="Times New Roman" w:hint="default"/>
                <w:sz w:val="18"/>
                <w:szCs w:val="18"/>
              </w:rPr>
            </w:pPr>
            <w:r>
              <w:rPr>
                <w:rFonts w:ascii="Times New Roman"/>
                <w:sz w:val="18"/>
              </w:rPr>
              <w:t>32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7" w:lineRule="auto"/>
              <w:ind w:left="105" w:right="176"/>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BGI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Online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云平台 的人全基因组信息分析 流程开发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7" w:lineRule="auto"/>
              <w:ind w:left="103" w:right="137"/>
              <w:jc w:val="both"/>
              <w:rPr>
                <w:rFonts w:ascii="宋体" w:hAnsi="宋体" w:cs="宋体" w:eastAsia="宋体" w:hint="default"/>
                <w:sz w:val="18"/>
                <w:szCs w:val="18"/>
              </w:rPr>
            </w:pPr>
            <w:r>
              <w:rPr>
                <w:rFonts w:ascii="宋体" w:hAnsi="宋体" w:cs="宋体" w:eastAsia="宋体" w:hint="default"/>
                <w:sz w:val="18"/>
                <w:szCs w:val="18"/>
              </w:rPr>
              <w:t>利用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BGI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Online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云平台， 开发精准、高效的人全基 因组信息分析流程</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7" w:lineRule="auto"/>
              <w:ind w:left="103" w:right="132"/>
              <w:jc w:val="left"/>
              <w:rPr>
                <w:rFonts w:ascii="宋体" w:hAnsi="宋体" w:cs="宋体" w:eastAsia="宋体" w:hint="default"/>
                <w:sz w:val="18"/>
                <w:szCs w:val="18"/>
              </w:rPr>
            </w:pPr>
            <w:r>
              <w:rPr>
                <w:rFonts w:ascii="宋体" w:hAnsi="宋体" w:cs="宋体" w:eastAsia="宋体" w:hint="default"/>
                <w:sz w:val="18"/>
                <w:szCs w:val="18"/>
              </w:rPr>
              <w:t>实现了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小时内完成人全 基因组信息分析，达成了项 目立项预期</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264"/>
              <w:jc w:val="both"/>
              <w:rPr>
                <w:rFonts w:ascii="宋体" w:hAnsi="宋体" w:cs="宋体" w:eastAsia="宋体" w:hint="default"/>
                <w:sz w:val="18"/>
                <w:szCs w:val="18"/>
              </w:rPr>
            </w:pPr>
            <w:r>
              <w:rPr>
                <w:rFonts w:ascii="宋体" w:hAnsi="宋体" w:cs="宋体" w:eastAsia="宋体" w:hint="default"/>
                <w:sz w:val="18"/>
                <w:szCs w:val="18"/>
              </w:rPr>
              <w:t>充分利用了云计算平台 的精准、快速、低价优 势，加强了人全基因组 分析的竞争力</w:t>
            </w:r>
          </w:p>
        </w:tc>
      </w:tr>
      <w:tr>
        <w:trPr>
          <w:trHeight w:val="196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t>33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105" w:right="224"/>
              <w:jc w:val="left"/>
              <w:rPr>
                <w:rFonts w:ascii="宋体" w:hAnsi="宋体" w:cs="宋体" w:eastAsia="宋体" w:hint="default"/>
                <w:sz w:val="18"/>
                <w:szCs w:val="18"/>
              </w:rPr>
            </w:pPr>
            <w:r>
              <w:rPr>
                <w:rFonts w:ascii="Times New Roman" w:hAnsi="Times New Roman" w:cs="Times New Roman" w:eastAsia="Times New Roman" w:hint="default"/>
                <w:sz w:val="18"/>
                <w:szCs w:val="18"/>
              </w:rPr>
              <w:t>BGI OnlineV1.5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平台升 级研发项目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6"/>
              <w:ind w:left="103" w:right="137"/>
              <w:jc w:val="both"/>
              <w:rPr>
                <w:rFonts w:ascii="宋体" w:hAnsi="宋体" w:cs="宋体" w:eastAsia="宋体" w:hint="default"/>
                <w:sz w:val="18"/>
                <w:szCs w:val="18"/>
              </w:rPr>
            </w:pPr>
            <w:r>
              <w:rPr>
                <w:rFonts w:ascii="宋体" w:hAnsi="宋体" w:cs="宋体" w:eastAsia="宋体" w:hint="default"/>
                <w:sz w:val="18"/>
                <w:szCs w:val="18"/>
              </w:rPr>
              <w:t>提升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BGI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Online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基因云计 算平台的稳定性，建立问 题反馈系统与机制，及时 解决用户使用中的问题。</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32"/>
              <w:jc w:val="left"/>
              <w:rPr>
                <w:rFonts w:ascii="宋体" w:hAnsi="宋体" w:cs="宋体" w:eastAsia="宋体" w:hint="default"/>
                <w:sz w:val="18"/>
                <w:szCs w:val="18"/>
              </w:rPr>
            </w:pPr>
            <w:r>
              <w:rPr>
                <w:rFonts w:ascii="宋体" w:hAnsi="宋体" w:cs="宋体" w:eastAsia="宋体" w:hint="default"/>
                <w:sz w:val="18"/>
                <w:szCs w:val="18"/>
              </w:rPr>
              <w:t>启用新业务集群，保证线上 业务平稳，有效避免上线故 障的发生。启用新反馈系 统， </w:t>
            </w:r>
            <w:r>
              <w:rPr>
                <w:rFonts w:ascii="Times New Roman" w:hAnsi="Times New Roman" w:cs="Times New Roman" w:eastAsia="Times New Roman" w:hint="default"/>
                <w:sz w:val="18"/>
                <w:szCs w:val="18"/>
              </w:rPr>
              <w:t>24 </w:t>
            </w:r>
            <w:r>
              <w:rPr>
                <w:rFonts w:ascii="宋体" w:hAnsi="宋体" w:cs="宋体" w:eastAsia="宋体" w:hint="default"/>
                <w:sz w:val="18"/>
                <w:szCs w:val="18"/>
              </w:rPr>
              <w:t>小时内解决客户在 使用过程中遇到的使用问 题。项目目标达成。</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5" w:right="266"/>
              <w:jc w:val="left"/>
              <w:rPr>
                <w:rFonts w:ascii="宋体" w:hAnsi="宋体" w:cs="宋体" w:eastAsia="宋体" w:hint="default"/>
                <w:sz w:val="18"/>
                <w:szCs w:val="18"/>
              </w:rPr>
            </w:pPr>
            <w:r>
              <w:rPr>
                <w:rFonts w:ascii="宋体" w:hAnsi="宋体" w:cs="宋体" w:eastAsia="宋体" w:hint="default"/>
                <w:sz w:val="18"/>
                <w:szCs w:val="18"/>
              </w:rPr>
              <w:t>平台稳定性与可用性进 一步提升，为未来高 效、智能的大规模基因 分析业务开展奠定了基 础。</w:t>
            </w:r>
          </w:p>
        </w:tc>
      </w:tr>
    </w:tbl>
    <w:p>
      <w:pPr>
        <w:pStyle w:val="BodyText"/>
        <w:spacing w:line="676" w:lineRule="auto" w:before="51"/>
        <w:ind w:right="5811"/>
        <w:jc w:val="left"/>
      </w:pPr>
      <w:r>
        <w:rPr/>
        <w:pict>
          <v:shape style="position:absolute;margin-left:58.080002pt;margin-top:54.701721pt;width:479.15pt;height:208.1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1"/>
                    <w:gridCol w:w="2393"/>
                    <w:gridCol w:w="2393"/>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15.31%</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174,314,115.65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176,724,051.02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103,884,872.46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7.88%</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2,120,638.15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0.78%</w:t>
                        </w:r>
                      </w:p>
                    </w:tc>
                  </w:tr>
                </w:tbl>
                <w:p>
                  <w:pPr/>
                </w:p>
              </w:txbxContent>
            </v:textbox>
            <w10:wrap type="none"/>
          </v:shape>
        </w:pict>
      </w:r>
      <w:r>
        <w:rPr/>
        <w:t>注：</w:t>
      </w:r>
      <w:r>
        <w:rPr>
          <w:rFonts w:ascii="Times New Roman" w:hAnsi="Times New Roman" w:cs="Times New Roman" w:eastAsia="Times New Roman" w:hint="default"/>
        </w:rPr>
        <w:t>PMseq</w:t>
      </w:r>
      <w:r>
        <w:rPr/>
        <w:t>产品为</w:t>
      </w:r>
      <w:r>
        <w:rPr>
          <w:spacing w:val="-7"/>
        </w:rPr>
        <w:t> </w:t>
      </w:r>
      <w:r>
        <w:rPr>
          <w:rFonts w:ascii="Times New Roman" w:hAnsi="Times New Roman" w:cs="Times New Roman" w:eastAsia="Times New Roman" w:hint="default"/>
        </w:rPr>
        <w:t>PMseq</w:t>
      </w:r>
      <w:r>
        <w:rPr/>
        <w:t>病原微生物快速检测产品 近三年公司研发投入金额及占营业收入的比例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44"/>
        <w:ind w:right="141"/>
        <w:jc w:val="left"/>
      </w:pPr>
      <w:r>
        <w:rPr/>
        <w:t>研发投入总额占营业收入的比重较上年发生显著变化的原因</w:t>
      </w:r>
    </w:p>
    <w:p>
      <w:pPr>
        <w:pStyle w:val="BodyText"/>
        <w:spacing w:line="338" w:lineRule="auto" w:before="117"/>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4"/>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41"/>
        <w:jc w:val="left"/>
      </w:pPr>
      <w:r>
        <w:rPr/>
        <w:t>公司需遵守《深圳证券交易所创业板行业信息披露指引第</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w:t>
      </w:r>
    </w:p>
    <w:p>
      <w:pPr>
        <w:spacing w:after="0" w:line="240" w:lineRule="auto"/>
        <w:jc w:val="left"/>
        <w:sectPr>
          <w:pgSz w:w="11910" w:h="16840"/>
          <w:pgMar w:header="880" w:footer="974" w:top="1100" w:bottom="1160" w:left="980" w:right="980"/>
        </w:sectPr>
      </w:pPr>
    </w:p>
    <w:p>
      <w:pPr>
        <w:spacing w:line="240" w:lineRule="auto" w:before="0"/>
        <w:rPr>
          <w:rFonts w:ascii="宋体" w:hAnsi="宋体" w:cs="宋体" w:eastAsia="宋体" w:hint="default"/>
          <w:sz w:val="22"/>
          <w:szCs w:val="22"/>
        </w:rPr>
      </w:pPr>
    </w:p>
    <w:p>
      <w:pPr>
        <w:pStyle w:val="BodyText"/>
        <w:spacing w:line="240" w:lineRule="auto" w:before="44"/>
        <w:ind w:right="0"/>
        <w:jc w:val="left"/>
      </w:pPr>
      <w:r>
        <w:rPr/>
        <w:t>医疗器械产品相关情况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3"/>
          <w:szCs w:val="23"/>
        </w:rPr>
      </w:pPr>
    </w:p>
    <w:p>
      <w:pPr>
        <w:pStyle w:val="Heading4"/>
        <w:spacing w:line="300" w:lineRule="auto" w:before="0"/>
        <w:ind w:right="0"/>
        <w:jc w:val="left"/>
        <w:rPr>
          <w:b w:val="0"/>
          <w:bCs w:val="0"/>
        </w:rPr>
      </w:pPr>
      <w:r>
        <w:rPr>
          <w:rFonts w:ascii="Times New Roman" w:hAnsi="Times New Roman" w:cs="Times New Roman" w:eastAsia="Times New Roman" w:hint="default"/>
          <w:w w:val="95"/>
        </w:rPr>
        <w:t>1</w:t>
      </w:r>
      <w:r>
        <w:rPr>
          <w:w w:val="95"/>
        </w:rPr>
        <w:t>、处于注册申请中的医疗器械名称、注册分类、临床用途、注册所处的阶段、进展情况、是否按照国家食品药品监督管理</w:t>
      </w:r>
      <w:r>
        <w:rPr>
          <w:spacing w:val="16"/>
          <w:w w:val="95"/>
        </w:rPr>
        <w:t> </w:t>
      </w:r>
      <w:r>
        <w:rPr>
          <w:spacing w:val="16"/>
          <w:w w:val="95"/>
        </w:rPr>
      </w:r>
      <w:r>
        <w:rPr/>
        <w:t>部门的相关规定申报创新医疗器械</w:t>
      </w:r>
      <w:r>
        <w:rPr>
          <w:b w:val="0"/>
          <w:bCs w:val="0"/>
        </w:rPr>
      </w:r>
    </w:p>
    <w:p>
      <w:pPr>
        <w:spacing w:line="240" w:lineRule="auto" w:before="4"/>
        <w:rPr>
          <w:rFonts w:ascii="宋体" w:hAnsi="宋体" w:cs="宋体" w:eastAsia="宋体" w:hint="default"/>
          <w:b/>
          <w:bCs/>
          <w:sz w:val="14"/>
          <w:szCs w:val="14"/>
        </w:rPr>
      </w:pPr>
    </w:p>
    <w:p>
      <w:pPr>
        <w:pStyle w:val="BodyText"/>
        <w:spacing w:line="240" w:lineRule="auto"/>
        <w:ind w:left="513" w:right="0"/>
        <w:jc w:val="left"/>
      </w:pPr>
      <w:r>
        <w:rPr/>
        <w:t>截至报告期末，处于注册申请中的Ⅱ类、Ⅲ类医疗器械注册证共计</w:t>
      </w:r>
      <w:r>
        <w:rPr>
          <w:spacing w:val="-45"/>
        </w:rPr>
        <w:t> </w:t>
      </w:r>
      <w:r>
        <w:rPr>
          <w:rFonts w:ascii="Times New Roman" w:hAnsi="Times New Roman" w:cs="Times New Roman" w:eastAsia="Times New Roman" w:hint="default"/>
        </w:rPr>
        <w:t>12 </w:t>
      </w:r>
      <w:r>
        <w:rPr/>
        <w:t>项。具体信息详见下表：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471"/>
        <w:gridCol w:w="1462"/>
        <w:gridCol w:w="708"/>
        <w:gridCol w:w="4352"/>
        <w:gridCol w:w="1069"/>
        <w:gridCol w:w="710"/>
        <w:gridCol w:w="958"/>
      </w:tblGrid>
      <w:tr>
        <w:trPr>
          <w:trHeight w:val="946" w:hRule="exact"/>
        </w:trPr>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9" w:right="14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67" w:right="163"/>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89"/>
                <w:sz w:val="18"/>
                <w:szCs w:val="18"/>
              </w:rPr>
              <w:t> </w:t>
            </w:r>
            <w:r>
              <w:rPr>
                <w:rFonts w:ascii="宋体" w:hAnsi="宋体" w:cs="宋体" w:eastAsia="宋体" w:hint="default"/>
                <w:b/>
                <w:bCs/>
                <w:sz w:val="18"/>
                <w:szCs w:val="18"/>
              </w:rPr>
              <w:t>分类</w:t>
            </w:r>
            <w:r>
              <w:rPr>
                <w:rFonts w:ascii="宋体" w:hAnsi="宋体" w:cs="宋体" w:eastAsia="宋体" w:hint="default"/>
                <w:sz w:val="18"/>
                <w:szCs w:val="18"/>
              </w:rPr>
            </w:r>
          </w:p>
        </w:tc>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48" w:right="166" w:hanging="180"/>
              <w:jc w:val="left"/>
              <w:rPr>
                <w:rFonts w:ascii="宋体" w:hAnsi="宋体" w:cs="宋体" w:eastAsia="宋体" w:hint="default"/>
                <w:sz w:val="18"/>
                <w:szCs w:val="18"/>
              </w:rPr>
            </w:pPr>
            <w:r>
              <w:rPr>
                <w:rFonts w:ascii="宋体" w:hAnsi="宋体" w:cs="宋体" w:eastAsia="宋体" w:hint="default"/>
                <w:b/>
                <w:bCs/>
                <w:sz w:val="18"/>
                <w:szCs w:val="18"/>
              </w:rPr>
              <w:t>注册所处</w:t>
            </w:r>
            <w:r>
              <w:rPr>
                <w:rFonts w:ascii="宋体" w:hAnsi="宋体" w:cs="宋体" w:eastAsia="宋体" w:hint="default"/>
                <w:b/>
                <w:bCs/>
                <w:w w:val="99"/>
                <w:sz w:val="18"/>
                <w:szCs w:val="18"/>
              </w:rPr>
              <w:t> </w:t>
            </w:r>
            <w:r>
              <w:rPr>
                <w:rFonts w:ascii="宋体" w:hAnsi="宋体" w:cs="宋体" w:eastAsia="宋体" w:hint="default"/>
                <w:b/>
                <w:bCs/>
                <w:sz w:val="18"/>
                <w:szCs w:val="18"/>
              </w:rPr>
              <w:t>阶段</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65" w:right="168"/>
              <w:jc w:val="left"/>
              <w:rPr>
                <w:rFonts w:ascii="宋体" w:hAnsi="宋体" w:cs="宋体" w:eastAsia="宋体" w:hint="default"/>
                <w:sz w:val="18"/>
                <w:szCs w:val="18"/>
              </w:rPr>
            </w:pPr>
            <w:r>
              <w:rPr>
                <w:rFonts w:ascii="宋体" w:hAnsi="宋体" w:cs="宋体" w:eastAsia="宋体" w:hint="default"/>
                <w:b/>
                <w:bCs/>
                <w:sz w:val="18"/>
                <w:szCs w:val="18"/>
              </w:rPr>
              <w:t>进展</w:t>
            </w:r>
            <w:r>
              <w:rPr>
                <w:rFonts w:ascii="宋体" w:hAnsi="宋体" w:cs="宋体" w:eastAsia="宋体" w:hint="default"/>
                <w:b/>
                <w:bCs/>
                <w:spacing w:val="-89"/>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12" w:right="111"/>
              <w:jc w:val="center"/>
              <w:rPr>
                <w:rFonts w:ascii="宋体" w:hAnsi="宋体" w:cs="宋体" w:eastAsia="宋体" w:hint="default"/>
                <w:sz w:val="18"/>
                <w:szCs w:val="18"/>
              </w:rPr>
            </w:pPr>
            <w:r>
              <w:rPr>
                <w:rFonts w:ascii="宋体" w:hAnsi="宋体" w:cs="宋体" w:eastAsia="宋体" w:hint="default"/>
                <w:b/>
                <w:bCs/>
                <w:sz w:val="18"/>
                <w:szCs w:val="18"/>
              </w:rPr>
              <w:t>是否申报</w:t>
            </w:r>
            <w:r>
              <w:rPr>
                <w:rFonts w:ascii="宋体" w:hAnsi="宋体" w:cs="宋体" w:eastAsia="宋体" w:hint="default"/>
                <w:b/>
                <w:bCs/>
                <w:w w:val="99"/>
                <w:sz w:val="18"/>
                <w:szCs w:val="18"/>
              </w:rPr>
              <w:t> </w:t>
            </w:r>
            <w:r>
              <w:rPr>
                <w:rFonts w:ascii="宋体" w:hAnsi="宋体" w:cs="宋体" w:eastAsia="宋体" w:hint="default"/>
                <w:b/>
                <w:bCs/>
                <w:sz w:val="18"/>
                <w:szCs w:val="18"/>
              </w:rPr>
              <w:t>创新医疗</w:t>
            </w:r>
            <w:r>
              <w:rPr>
                <w:rFonts w:ascii="宋体" w:hAnsi="宋体" w:cs="宋体" w:eastAsia="宋体" w:hint="default"/>
                <w:b/>
                <w:bCs/>
                <w:w w:val="99"/>
                <w:sz w:val="18"/>
                <w:szCs w:val="18"/>
              </w:rPr>
              <w:t> </w:t>
            </w:r>
            <w:r>
              <w:rPr>
                <w:rFonts w:ascii="宋体" w:hAnsi="宋体" w:cs="宋体" w:eastAsia="宋体" w:hint="default"/>
                <w:b/>
                <w:bCs/>
                <w:sz w:val="18"/>
                <w:szCs w:val="18"/>
              </w:rPr>
              <w:t>器械</w:t>
            </w:r>
            <w:r>
              <w:rPr>
                <w:rFonts w:ascii="宋体" w:hAnsi="宋体" w:cs="宋体" w:eastAsia="宋体" w:hint="default"/>
                <w:sz w:val="18"/>
                <w:szCs w:val="18"/>
              </w:rPr>
            </w:r>
          </w:p>
        </w:tc>
      </w:tr>
      <w:tr>
        <w:trPr>
          <w:trHeight w:val="2506" w:hRule="exact"/>
        </w:trPr>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sz w:val="18"/>
              </w:rPr>
              <w:t>EGFR/KRAS/A</w:t>
            </w:r>
          </w:p>
          <w:p>
            <w:pPr>
              <w:pStyle w:val="TableParagraph"/>
              <w:spacing w:line="300" w:lineRule="auto" w:before="63"/>
              <w:ind w:left="103" w:right="209"/>
              <w:jc w:val="left"/>
              <w:rPr>
                <w:rFonts w:ascii="宋体" w:hAnsi="宋体" w:cs="宋体" w:eastAsia="宋体" w:hint="default"/>
                <w:sz w:val="18"/>
                <w:szCs w:val="18"/>
              </w:rPr>
            </w:pPr>
            <w:r>
              <w:rPr>
                <w:rFonts w:ascii="Times New Roman" w:hAnsi="Times New Roman" w:cs="Times New Roman" w:eastAsia="Times New Roman" w:hint="default"/>
                <w:sz w:val="18"/>
                <w:szCs w:val="18"/>
              </w:rPr>
              <w:t>LK</w:t>
            </w:r>
            <w:r>
              <w:rPr>
                <w:rFonts w:ascii="宋体" w:hAnsi="宋体" w:cs="宋体" w:eastAsia="宋体" w:hint="default"/>
                <w:sz w:val="18"/>
                <w:szCs w:val="18"/>
              </w:rPr>
              <w:t>基因突变联 合检测试剂盒</w:t>
            </w:r>
          </w:p>
          <w:p>
            <w:pPr>
              <w:pStyle w:val="TableParagraph"/>
              <w:spacing w:line="316" w:lineRule="auto" w:before="31"/>
              <w:ind w:left="103" w:right="266"/>
              <w:jc w:val="left"/>
              <w:rPr>
                <w:rFonts w:ascii="宋体" w:hAnsi="宋体" w:cs="宋体" w:eastAsia="宋体" w:hint="default"/>
                <w:sz w:val="18"/>
                <w:szCs w:val="18"/>
              </w:rPr>
            </w:pPr>
            <w:r>
              <w:rPr>
                <w:rFonts w:ascii="宋体" w:hAnsi="宋体" w:cs="宋体" w:eastAsia="宋体" w:hint="default"/>
                <w:sz w:val="18"/>
                <w:szCs w:val="18"/>
              </w:rPr>
              <w:t>（联合探针锚 定聚合测序 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67"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103" w:right="98"/>
              <w:jc w:val="both"/>
              <w:rPr>
                <w:rFonts w:ascii="宋体" w:hAnsi="宋体" w:cs="宋体" w:eastAsia="宋体" w:hint="default"/>
                <w:sz w:val="18"/>
                <w:szCs w:val="18"/>
              </w:rPr>
            </w:pPr>
            <w:r>
              <w:rPr>
                <w:rFonts w:ascii="宋体" w:hAnsi="宋体" w:cs="宋体" w:eastAsia="宋体" w:hint="default"/>
                <w:spacing w:val="7"/>
                <w:sz w:val="18"/>
                <w:szCs w:val="18"/>
              </w:rPr>
              <w:t>本试剂盒用于定性检测经临床确诊为非小细胞肺癌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患者的福尔马林固定石蜡包埋（简称</w:t>
            </w:r>
            <w:r>
              <w:rPr>
                <w:rFonts w:ascii="宋体" w:hAnsi="宋体" w:cs="宋体" w:eastAsia="宋体" w:hint="default"/>
                <w:spacing w:val="-33"/>
                <w:sz w:val="18"/>
                <w:szCs w:val="18"/>
              </w:rPr>
              <w:t> </w:t>
            </w:r>
            <w:r>
              <w:rPr>
                <w:rFonts w:ascii="Times New Roman" w:hAnsi="Times New Roman" w:cs="Times New Roman" w:eastAsia="Times New Roman" w:hint="default"/>
                <w:spacing w:val="-6"/>
                <w:sz w:val="18"/>
                <w:szCs w:val="18"/>
              </w:rPr>
              <w:t>FFPE</w:t>
            </w:r>
            <w:r>
              <w:rPr>
                <w:rFonts w:ascii="宋体" w:hAnsi="宋体" w:cs="宋体" w:eastAsia="宋体" w:hint="default"/>
                <w:spacing w:val="-6"/>
                <w:sz w:val="18"/>
                <w:szCs w:val="18"/>
              </w:rPr>
              <w:t>）病理组织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样本中 </w:t>
            </w:r>
            <w:r>
              <w:rPr>
                <w:rFonts w:ascii="Times New Roman" w:hAnsi="Times New Roman" w:cs="Times New Roman" w:eastAsia="Times New Roman" w:hint="default"/>
                <w:sz w:val="18"/>
                <w:szCs w:val="18"/>
              </w:rPr>
              <w:t>EGFR </w:t>
            </w:r>
            <w:r>
              <w:rPr>
                <w:rFonts w:ascii="宋体" w:hAnsi="宋体" w:cs="宋体" w:eastAsia="宋体" w:hint="default"/>
                <w:sz w:val="18"/>
                <w:szCs w:val="18"/>
              </w:rPr>
              <w:t>基因、</w:t>
            </w:r>
            <w:r>
              <w:rPr>
                <w:rFonts w:ascii="Times New Roman" w:hAnsi="Times New Roman" w:cs="Times New Roman" w:eastAsia="Times New Roman" w:hint="default"/>
                <w:sz w:val="18"/>
                <w:szCs w:val="18"/>
              </w:rPr>
              <w:t>KRAS </w:t>
            </w:r>
            <w:r>
              <w:rPr>
                <w:rFonts w:ascii="宋体" w:hAnsi="宋体" w:cs="宋体" w:eastAsia="宋体" w:hint="default"/>
                <w:sz w:val="18"/>
                <w:szCs w:val="18"/>
              </w:rPr>
              <w:t>基因和 </w:t>
            </w:r>
            <w:r>
              <w:rPr>
                <w:rFonts w:ascii="Times New Roman" w:hAnsi="Times New Roman" w:cs="Times New Roman" w:eastAsia="Times New Roman" w:hint="default"/>
                <w:sz w:val="18"/>
                <w:szCs w:val="18"/>
              </w:rPr>
              <w:t>ALK</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基因中发生</w:t>
            </w:r>
            <w:r>
              <w:rPr>
                <w:rFonts w:ascii="宋体" w:hAnsi="宋体" w:cs="宋体" w:eastAsia="宋体" w:hint="default"/>
                <w:w w:val="99"/>
                <w:sz w:val="18"/>
                <w:szCs w:val="18"/>
              </w:rPr>
              <w:t> </w:t>
            </w:r>
            <w:r>
              <w:rPr>
                <w:rFonts w:ascii="宋体" w:hAnsi="宋体" w:cs="宋体" w:eastAsia="宋体" w:hint="default"/>
                <w:spacing w:val="-4"/>
                <w:sz w:val="18"/>
                <w:szCs w:val="18"/>
              </w:rPr>
              <w:t>的突变，包括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EGFR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基因</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L858R</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T790M</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G719X</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突 </w:t>
            </w:r>
            <w:r>
              <w:rPr>
                <w:rFonts w:ascii="宋体" w:hAnsi="宋体" w:cs="宋体" w:eastAsia="宋体" w:hint="default"/>
                <w:spacing w:val="-4"/>
                <w:sz w:val="18"/>
                <w:szCs w:val="18"/>
              </w:rPr>
              <w:t>变，</w:t>
            </w:r>
            <w:r>
              <w:rPr>
                <w:rFonts w:ascii="Times New Roman" w:hAnsi="Times New Roman" w:cs="Times New Roman" w:eastAsia="Times New Roman" w:hint="default"/>
                <w:spacing w:val="-4"/>
                <w:sz w:val="18"/>
                <w:szCs w:val="18"/>
              </w:rPr>
              <w:t>EGFR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外显子缺失，</w:t>
            </w:r>
            <w:r>
              <w:rPr>
                <w:rFonts w:ascii="Times New Roman" w:hAnsi="Times New Roman" w:cs="Times New Roman" w:eastAsia="Times New Roman" w:hint="default"/>
                <w:spacing w:val="-3"/>
                <w:sz w:val="18"/>
                <w:szCs w:val="18"/>
              </w:rPr>
              <w:t>KRAS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G12D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突 变和 </w:t>
            </w:r>
            <w:r>
              <w:rPr>
                <w:rFonts w:ascii="Times New Roman" w:hAnsi="Times New Roman" w:cs="Times New Roman" w:eastAsia="Times New Roman" w:hint="default"/>
                <w:sz w:val="18"/>
                <w:szCs w:val="18"/>
              </w:rPr>
              <w:t>ALK</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融合基因。本试剂盒仅用于对非小细胞肺</w:t>
            </w:r>
            <w:r>
              <w:rPr>
                <w:rFonts w:ascii="宋体" w:hAnsi="宋体" w:cs="宋体" w:eastAsia="宋体" w:hint="default"/>
                <w:w w:val="99"/>
                <w:sz w:val="18"/>
                <w:szCs w:val="18"/>
              </w:rPr>
              <w:t> </w:t>
            </w:r>
            <w:r>
              <w:rPr>
                <w:rFonts w:ascii="宋体" w:hAnsi="宋体" w:cs="宋体" w:eastAsia="宋体" w:hint="default"/>
                <w:sz w:val="18"/>
                <w:szCs w:val="18"/>
              </w:rPr>
              <w:t>癌患者靶基因序列的检测，其检测结果用于非小细胞</w:t>
            </w:r>
            <w:r>
              <w:rPr>
                <w:rFonts w:ascii="宋体" w:hAnsi="宋体" w:cs="宋体" w:eastAsia="宋体" w:hint="default"/>
                <w:w w:val="99"/>
                <w:sz w:val="18"/>
                <w:szCs w:val="18"/>
              </w:rPr>
              <w:t> </w:t>
            </w:r>
            <w:r>
              <w:rPr>
                <w:rFonts w:ascii="宋体" w:hAnsi="宋体" w:cs="宋体" w:eastAsia="宋体" w:hint="default"/>
                <w:sz w:val="18"/>
                <w:szCs w:val="18"/>
              </w:rPr>
              <w:t>肺癌患者的靶向用药参考。</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
              <w:jc w:val="center"/>
              <w:rPr>
                <w:rFonts w:ascii="宋体" w:hAnsi="宋体" w:cs="宋体" w:eastAsia="宋体" w:hint="default"/>
                <w:sz w:val="18"/>
                <w:szCs w:val="18"/>
              </w:rPr>
            </w:pPr>
            <w:r>
              <w:rPr>
                <w:rFonts w:ascii="宋体" w:hAnsi="宋体" w:cs="宋体" w:eastAsia="宋体" w:hint="default"/>
                <w:sz w:val="18"/>
                <w:szCs w:val="18"/>
              </w:rPr>
              <w:t>临床试验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70"/>
              <w:jc w:val="right"/>
              <w:rPr>
                <w:rFonts w:ascii="宋体" w:hAnsi="宋体" w:cs="宋体" w:eastAsia="宋体" w:hint="default"/>
                <w:sz w:val="18"/>
                <w:szCs w:val="18"/>
              </w:rPr>
            </w:pPr>
            <w:r>
              <w:rPr>
                <w:rFonts w:ascii="宋体" w:hAnsi="宋体" w:cs="宋体" w:eastAsia="宋体" w:hint="default"/>
                <w:sz w:val="18"/>
                <w:szCs w:val="18"/>
              </w:rPr>
              <w:t>正常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79"/>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570" w:hRule="exact"/>
        </w:trPr>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266"/>
              <w:jc w:val="both"/>
              <w:rPr>
                <w:rFonts w:ascii="宋体" w:hAnsi="宋体" w:cs="宋体" w:eastAsia="宋体" w:hint="default"/>
                <w:sz w:val="18"/>
                <w:szCs w:val="18"/>
              </w:rPr>
            </w:pPr>
            <w:r>
              <w:rPr>
                <w:rFonts w:ascii="Times New Roman" w:hAnsi="Times New Roman" w:cs="Times New Roman" w:eastAsia="Times New Roman" w:hint="default"/>
                <w:sz w:val="18"/>
                <w:szCs w:val="18"/>
              </w:rPr>
              <w:t>BRCA1/2</w:t>
            </w:r>
            <w:r>
              <w:rPr>
                <w:rFonts w:ascii="宋体" w:hAnsi="宋体" w:cs="宋体" w:eastAsia="宋体" w:hint="default"/>
                <w:sz w:val="18"/>
                <w:szCs w:val="18"/>
              </w:rPr>
              <w:t>基因</w:t>
            </w:r>
            <w:r>
              <w:rPr>
                <w:rFonts w:ascii="宋体" w:hAnsi="宋体" w:cs="宋体" w:eastAsia="宋体" w:hint="default"/>
                <w:w w:val="99"/>
                <w:sz w:val="18"/>
                <w:szCs w:val="18"/>
              </w:rPr>
              <w:t> </w:t>
            </w:r>
            <w:r>
              <w:rPr>
                <w:rFonts w:ascii="宋体" w:hAnsi="宋体" w:cs="宋体" w:eastAsia="宋体" w:hint="default"/>
                <w:sz w:val="18"/>
                <w:szCs w:val="18"/>
              </w:rPr>
              <w:t>突变检测试剂</w:t>
            </w:r>
            <w:r>
              <w:rPr>
                <w:rFonts w:ascii="宋体" w:hAnsi="宋体" w:cs="宋体" w:eastAsia="宋体" w:hint="default"/>
                <w:w w:val="99"/>
                <w:sz w:val="18"/>
                <w:szCs w:val="18"/>
              </w:rPr>
              <w:t> </w:t>
            </w:r>
            <w:r>
              <w:rPr>
                <w:rFonts w:ascii="宋体" w:hAnsi="宋体" w:cs="宋体" w:eastAsia="宋体" w:hint="default"/>
                <w:sz w:val="18"/>
                <w:szCs w:val="18"/>
              </w:rPr>
              <w:t>盒（联合探针</w:t>
            </w:r>
            <w:r>
              <w:rPr>
                <w:rFonts w:ascii="宋体" w:hAnsi="宋体" w:cs="宋体" w:eastAsia="宋体" w:hint="default"/>
                <w:w w:val="99"/>
                <w:sz w:val="18"/>
                <w:szCs w:val="18"/>
              </w:rPr>
              <w:t> </w:t>
            </w:r>
            <w:r>
              <w:rPr>
                <w:rFonts w:ascii="宋体" w:hAnsi="宋体" w:cs="宋体" w:eastAsia="宋体" w:hint="default"/>
                <w:sz w:val="18"/>
                <w:szCs w:val="18"/>
              </w:rPr>
              <w:t>锚定聚合测序</w:t>
            </w:r>
            <w:r>
              <w:rPr>
                <w:rFonts w:ascii="宋体" w:hAnsi="宋体" w:cs="宋体" w:eastAsia="宋体" w:hint="default"/>
                <w:w w:val="99"/>
                <w:sz w:val="18"/>
                <w:szCs w:val="18"/>
              </w:rPr>
              <w:t> </w:t>
            </w:r>
            <w:r>
              <w:rPr>
                <w:rFonts w:ascii="宋体" w:hAnsi="宋体" w:cs="宋体" w:eastAsia="宋体" w:hint="default"/>
                <w:sz w:val="18"/>
                <w:szCs w:val="18"/>
              </w:rPr>
              <w:t>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103" w:right="215"/>
              <w:jc w:val="left"/>
              <w:rPr>
                <w:rFonts w:ascii="宋体" w:hAnsi="宋体" w:cs="宋体" w:eastAsia="宋体" w:hint="default"/>
                <w:sz w:val="18"/>
                <w:szCs w:val="18"/>
              </w:rPr>
            </w:pPr>
            <w:r>
              <w:rPr>
                <w:rFonts w:ascii="宋体" w:hAnsi="宋体" w:cs="宋体" w:eastAsia="宋体" w:hint="default"/>
                <w:sz w:val="18"/>
                <w:szCs w:val="18"/>
              </w:rPr>
              <w:t>本试剂盒用于定性检测经临床确诊为卵巢癌</w:t>
            </w:r>
            <w:r>
              <w:rPr>
                <w:rFonts w:ascii="Times New Roman" w:hAnsi="Times New Roman" w:cs="Times New Roman" w:eastAsia="Times New Roman" w:hint="default"/>
                <w:sz w:val="18"/>
                <w:szCs w:val="18"/>
              </w:rPr>
              <w:t>(</w:t>
            </w:r>
            <w:r>
              <w:rPr>
                <w:rFonts w:ascii="宋体" w:hAnsi="宋体" w:cs="宋体" w:eastAsia="宋体" w:hint="default"/>
                <w:sz w:val="18"/>
                <w:szCs w:val="18"/>
              </w:rPr>
              <w:t>及乳腺 癌</w:t>
            </w:r>
            <w:r>
              <w:rPr>
                <w:rFonts w:ascii="Times New Roman" w:hAnsi="Times New Roman" w:cs="Times New Roman" w:eastAsia="Times New Roman" w:hint="default"/>
                <w:sz w:val="18"/>
                <w:szCs w:val="18"/>
              </w:rPr>
              <w:t>)</w:t>
            </w:r>
            <w:r>
              <w:rPr>
                <w:rFonts w:ascii="宋体" w:hAnsi="宋体" w:cs="宋体" w:eastAsia="宋体" w:hint="default"/>
                <w:sz w:val="18"/>
                <w:szCs w:val="18"/>
              </w:rPr>
              <w:t>患者的血液样本中的</w:t>
            </w:r>
            <w:r>
              <w:rPr>
                <w:rFonts w:ascii="Times New Roman" w:hAnsi="Times New Roman" w:cs="Times New Roman" w:eastAsia="Times New Roman" w:hint="default"/>
                <w:sz w:val="18"/>
                <w:szCs w:val="18"/>
              </w:rPr>
              <w:t>BRCA1/2</w:t>
            </w:r>
            <w:r>
              <w:rPr>
                <w:rFonts w:ascii="宋体" w:hAnsi="宋体" w:cs="宋体" w:eastAsia="宋体" w:hint="default"/>
                <w:sz w:val="18"/>
                <w:szCs w:val="18"/>
              </w:rPr>
              <w:t>基因生殖系变异， 包括</w:t>
            </w:r>
            <w:r>
              <w:rPr>
                <w:rFonts w:ascii="Times New Roman" w:hAnsi="Times New Roman" w:cs="Times New Roman" w:eastAsia="Times New Roman" w:hint="default"/>
                <w:sz w:val="18"/>
                <w:szCs w:val="18"/>
              </w:rPr>
              <w:t>BRCA1/2</w:t>
            </w:r>
            <w:r>
              <w:rPr>
                <w:rFonts w:ascii="宋体" w:hAnsi="宋体" w:cs="宋体" w:eastAsia="宋体" w:hint="default"/>
                <w:sz w:val="18"/>
                <w:szCs w:val="18"/>
              </w:rPr>
              <w:t>基因外显子区的移码突变、无义突变 以及邻近</w:t>
            </w:r>
            <w:r>
              <w:rPr>
                <w:rFonts w:ascii="Times New Roman" w:hAnsi="Times New Roman" w:cs="Times New Roman" w:eastAsia="Times New Roman" w:hint="default"/>
                <w:sz w:val="18"/>
                <w:szCs w:val="18"/>
              </w:rPr>
              <w:t>15bp</w:t>
            </w:r>
            <w:r>
              <w:rPr>
                <w:rFonts w:ascii="宋体" w:hAnsi="宋体" w:cs="宋体" w:eastAsia="宋体" w:hint="default"/>
                <w:sz w:val="18"/>
                <w:szCs w:val="18"/>
              </w:rPr>
              <w:t>内含子区的剪切位点突变。</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试生产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正常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882" w:hRule="exact"/>
        </w:trPr>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5" w:right="0"/>
              <w:jc w:val="left"/>
              <w:rPr>
                <w:rFonts w:ascii="Times New Roman" w:hAnsi="Times New Roman" w:cs="Times New Roman" w:eastAsia="Times New Roman" w:hint="default"/>
                <w:sz w:val="18"/>
                <w:szCs w:val="18"/>
              </w:rPr>
            </w:pPr>
            <w:r>
              <w:rPr>
                <w:rFonts w:ascii="Times New Roman"/>
                <w:sz w:val="18"/>
              </w:rPr>
              <w:t>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66"/>
              <w:jc w:val="both"/>
              <w:rPr>
                <w:rFonts w:ascii="宋体" w:hAnsi="宋体" w:cs="宋体" w:eastAsia="宋体" w:hint="default"/>
                <w:sz w:val="18"/>
                <w:szCs w:val="18"/>
              </w:rPr>
            </w:pPr>
            <w:r>
              <w:rPr>
                <w:rFonts w:ascii="宋体" w:hAnsi="宋体" w:cs="宋体" w:eastAsia="宋体" w:hint="default"/>
                <w:sz w:val="18"/>
                <w:szCs w:val="18"/>
              </w:rPr>
              <w:t>胚胎植入前染 色体非整倍体 检测试剂盒</w:t>
            </w:r>
          </w:p>
          <w:p>
            <w:pPr>
              <w:pStyle w:val="TableParagraph"/>
              <w:spacing w:line="316" w:lineRule="auto" w:before="19"/>
              <w:ind w:left="103" w:right="266"/>
              <w:jc w:val="left"/>
              <w:rPr>
                <w:rFonts w:ascii="宋体" w:hAnsi="宋体" w:cs="宋体" w:eastAsia="宋体" w:hint="default"/>
                <w:sz w:val="18"/>
                <w:szCs w:val="18"/>
              </w:rPr>
            </w:pPr>
            <w:r>
              <w:rPr>
                <w:rFonts w:ascii="宋体" w:hAnsi="宋体" w:cs="宋体" w:eastAsia="宋体" w:hint="default"/>
                <w:sz w:val="18"/>
                <w:szCs w:val="18"/>
              </w:rPr>
              <w:t>（联合探针锚 定聚合测序 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00" w:lineRule="auto"/>
              <w:ind w:left="103" w:right="215"/>
              <w:jc w:val="left"/>
              <w:rPr>
                <w:rFonts w:ascii="宋体" w:hAnsi="宋体" w:cs="宋体" w:eastAsia="宋体" w:hint="default"/>
                <w:sz w:val="18"/>
                <w:szCs w:val="18"/>
              </w:rPr>
            </w:pPr>
            <w:r>
              <w:rPr>
                <w:rFonts w:ascii="宋体" w:hAnsi="宋体" w:cs="宋体" w:eastAsia="宋体" w:hint="default"/>
                <w:sz w:val="18"/>
                <w:szCs w:val="18"/>
              </w:rPr>
              <w:t>本试剂盒用于对体外受精－胚胎移植</w:t>
            </w:r>
            <w:r>
              <w:rPr>
                <w:rFonts w:ascii="Times New Roman" w:hAnsi="Times New Roman" w:cs="Times New Roman" w:eastAsia="Times New Roman" w:hint="default"/>
                <w:sz w:val="18"/>
                <w:szCs w:val="18"/>
              </w:rPr>
              <w:t>(In vitro fertilization-embryo transfer,</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IVF-ET)</w:t>
            </w:r>
            <w:r>
              <w:rPr>
                <w:rFonts w:ascii="宋体" w:hAnsi="宋体" w:cs="宋体" w:eastAsia="宋体" w:hint="default"/>
                <w:sz w:val="18"/>
                <w:szCs w:val="18"/>
              </w:rPr>
              <w:t>的囊胚期胚胎滋</w:t>
            </w:r>
            <w:r>
              <w:rPr>
                <w:rFonts w:ascii="宋体" w:hAnsi="宋体" w:cs="宋体" w:eastAsia="宋体" w:hint="default"/>
                <w:w w:val="99"/>
                <w:sz w:val="18"/>
                <w:szCs w:val="18"/>
              </w:rPr>
              <w:t> </w:t>
            </w:r>
            <w:r>
              <w:rPr>
                <w:rFonts w:ascii="宋体" w:hAnsi="宋体" w:cs="宋体" w:eastAsia="宋体" w:hint="default"/>
                <w:sz w:val="18"/>
                <w:szCs w:val="18"/>
              </w:rPr>
              <w:t>养层细胞进行</w:t>
            </w:r>
            <w:r>
              <w:rPr>
                <w:rFonts w:ascii="Times New Roman" w:hAnsi="Times New Roman" w:cs="Times New Roman" w:eastAsia="Times New Roman" w:hint="default"/>
                <w:sz w:val="18"/>
                <w:szCs w:val="18"/>
              </w:rPr>
              <w:t>24</w:t>
            </w:r>
            <w:r>
              <w:rPr>
                <w:rFonts w:ascii="宋体" w:hAnsi="宋体" w:cs="宋体" w:eastAsia="宋体" w:hint="default"/>
                <w:sz w:val="18"/>
                <w:szCs w:val="18"/>
              </w:rPr>
              <w:t>条染色体非整倍体检测。</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临床试验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暂停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570" w:hRule="exact"/>
        </w:trPr>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66"/>
              <w:jc w:val="left"/>
              <w:rPr>
                <w:rFonts w:ascii="宋体" w:hAnsi="宋体" w:cs="宋体" w:eastAsia="宋体" w:hint="default"/>
                <w:sz w:val="18"/>
                <w:szCs w:val="18"/>
              </w:rPr>
            </w:pPr>
            <w:r>
              <w:rPr>
                <w:rFonts w:ascii="宋体" w:hAnsi="宋体" w:cs="宋体" w:eastAsia="宋体" w:hint="default"/>
                <w:sz w:val="18"/>
                <w:szCs w:val="18"/>
              </w:rPr>
              <w:t>遗传性耳聋基 因检测试剂盒</w:t>
            </w:r>
          </w:p>
          <w:p>
            <w:pPr>
              <w:pStyle w:val="TableParagraph"/>
              <w:spacing w:line="316" w:lineRule="auto" w:before="17"/>
              <w:ind w:left="103" w:right="266"/>
              <w:jc w:val="left"/>
              <w:rPr>
                <w:rFonts w:ascii="宋体" w:hAnsi="宋体" w:cs="宋体" w:eastAsia="宋体" w:hint="default"/>
                <w:sz w:val="18"/>
                <w:szCs w:val="18"/>
              </w:rPr>
            </w:pPr>
            <w:r>
              <w:rPr>
                <w:rFonts w:ascii="宋体" w:hAnsi="宋体" w:cs="宋体" w:eastAsia="宋体" w:hint="default"/>
                <w:sz w:val="18"/>
                <w:szCs w:val="18"/>
              </w:rPr>
              <w:t>（联合探针锚 定聚合测序 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09" w:lineRule="auto"/>
              <w:ind w:left="103" w:right="242"/>
              <w:jc w:val="both"/>
              <w:rPr>
                <w:rFonts w:ascii="宋体" w:hAnsi="宋体" w:cs="宋体" w:eastAsia="宋体" w:hint="default"/>
                <w:sz w:val="18"/>
                <w:szCs w:val="18"/>
              </w:rPr>
            </w:pPr>
            <w:r>
              <w:rPr>
                <w:rFonts w:ascii="宋体" w:hAnsi="宋体" w:cs="宋体" w:eastAsia="宋体" w:hint="default"/>
                <w:sz w:val="18"/>
                <w:szCs w:val="18"/>
              </w:rPr>
              <w:t>本试剂盒用于体外定性检测人全血及干血片样本中 人基因组</w:t>
            </w:r>
            <w:r>
              <w:rPr>
                <w:rFonts w:ascii="Times New Roman" w:hAnsi="Times New Roman" w:cs="Times New Roman" w:eastAsia="Times New Roman" w:hint="default"/>
                <w:sz w:val="18"/>
                <w:szCs w:val="18"/>
              </w:rPr>
              <w:t>DNA </w:t>
            </w:r>
            <w:r>
              <w:rPr>
                <w:rFonts w:ascii="宋体" w:hAnsi="宋体" w:cs="宋体" w:eastAsia="宋体" w:hint="default"/>
                <w:sz w:val="18"/>
                <w:szCs w:val="18"/>
              </w:rPr>
              <w:t>的</w:t>
            </w:r>
            <w:r>
              <w:rPr>
                <w:rFonts w:ascii="Times New Roman" w:hAnsi="Times New Roman" w:cs="Times New Roman" w:eastAsia="Times New Roman" w:hint="default"/>
                <w:sz w:val="18"/>
                <w:szCs w:val="18"/>
              </w:rPr>
              <w:t>4 </w:t>
            </w:r>
            <w:r>
              <w:rPr>
                <w:rFonts w:ascii="宋体" w:hAnsi="宋体" w:cs="宋体" w:eastAsia="宋体" w:hint="default"/>
                <w:sz w:val="18"/>
                <w:szCs w:val="18"/>
              </w:rPr>
              <w:t>个遗传性耳聋基因的</w:t>
            </w:r>
            <w:r>
              <w:rPr>
                <w:rFonts w:ascii="Times New Roman" w:hAnsi="Times New Roman" w:cs="Times New Roman" w:eastAsia="Times New Roman" w:hint="default"/>
                <w:sz w:val="18"/>
                <w:szCs w:val="18"/>
              </w:rPr>
              <w:t>20 </w:t>
            </w:r>
            <w:r>
              <w:rPr>
                <w:rFonts w:ascii="宋体" w:hAnsi="宋体" w:cs="宋体" w:eastAsia="宋体" w:hint="default"/>
                <w:sz w:val="18"/>
                <w:szCs w:val="18"/>
              </w:rPr>
              <w:t>个突变 位点，检测结果提供</w:t>
            </w:r>
            <w:r>
              <w:rPr>
                <w:rFonts w:ascii="Times New Roman" w:hAnsi="Times New Roman" w:cs="Times New Roman" w:eastAsia="Times New Roman" w:hint="default"/>
                <w:sz w:val="18"/>
                <w:szCs w:val="18"/>
              </w:rPr>
              <w:t>20  </w:t>
            </w:r>
            <w:r>
              <w:rPr>
                <w:rFonts w:ascii="宋体" w:hAnsi="宋体" w:cs="宋体" w:eastAsia="宋体" w:hint="default"/>
                <w:sz w:val="18"/>
                <w:szCs w:val="18"/>
              </w:rPr>
              <w:t>个位点的突变类型。</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试生产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正常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572" w:hRule="exact"/>
        </w:trPr>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103" w:right="266"/>
              <w:jc w:val="both"/>
              <w:rPr>
                <w:rFonts w:ascii="宋体" w:hAnsi="宋体" w:cs="宋体" w:eastAsia="宋体" w:hint="default"/>
                <w:sz w:val="18"/>
                <w:szCs w:val="18"/>
              </w:rPr>
            </w:pPr>
            <w:r>
              <w:rPr>
                <w:rFonts w:ascii="宋体" w:hAnsi="宋体" w:cs="宋体" w:eastAsia="宋体" w:hint="default"/>
                <w:sz w:val="18"/>
                <w:szCs w:val="18"/>
              </w:rPr>
              <w:t>胚胎植入前染 色体非整倍体 检测软件</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3"/>
              <w:ind w:left="103" w:right="213"/>
              <w:jc w:val="left"/>
              <w:rPr>
                <w:rFonts w:ascii="宋体" w:hAnsi="宋体" w:cs="宋体" w:eastAsia="宋体" w:hint="default"/>
                <w:sz w:val="18"/>
                <w:szCs w:val="18"/>
              </w:rPr>
            </w:pPr>
            <w:r>
              <w:rPr>
                <w:rFonts w:ascii="宋体" w:hAnsi="宋体" w:cs="宋体" w:eastAsia="宋体" w:hint="default"/>
                <w:sz w:val="18"/>
                <w:szCs w:val="18"/>
              </w:rPr>
              <w:t>本软件对体外受精－胚胎移植</w:t>
            </w:r>
            <w:r>
              <w:rPr>
                <w:rFonts w:ascii="Times New Roman" w:hAnsi="Times New Roman" w:cs="Times New Roman" w:eastAsia="Times New Roman" w:hint="default"/>
                <w:sz w:val="18"/>
                <w:szCs w:val="18"/>
              </w:rPr>
              <w:t>(In vitro fertilization- embryo transfer,</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IVF-ET)</w:t>
            </w:r>
            <w:r>
              <w:rPr>
                <w:rFonts w:ascii="宋体" w:hAnsi="宋体" w:cs="宋体" w:eastAsia="宋体" w:hint="default"/>
                <w:sz w:val="18"/>
                <w:szCs w:val="18"/>
              </w:rPr>
              <w:t>的胚胎细胞在基因测序仪上</w:t>
            </w:r>
            <w:r>
              <w:rPr>
                <w:rFonts w:ascii="宋体" w:hAnsi="宋体" w:cs="宋体" w:eastAsia="宋体" w:hint="default"/>
                <w:w w:val="99"/>
                <w:sz w:val="18"/>
                <w:szCs w:val="18"/>
              </w:rPr>
              <w:t> </w:t>
            </w:r>
            <w:r>
              <w:rPr>
                <w:rFonts w:ascii="宋体" w:hAnsi="宋体" w:cs="宋体" w:eastAsia="宋体" w:hint="default"/>
                <w:sz w:val="18"/>
                <w:szCs w:val="18"/>
              </w:rPr>
              <w:t>获得的基因组</w:t>
            </w:r>
            <w:r>
              <w:rPr>
                <w:rFonts w:ascii="Times New Roman" w:hAnsi="Times New Roman" w:cs="Times New Roman" w:eastAsia="Times New Roman" w:hint="default"/>
                <w:sz w:val="18"/>
                <w:szCs w:val="18"/>
              </w:rPr>
              <w:t>DNA</w:t>
            </w:r>
            <w:r>
              <w:rPr>
                <w:rFonts w:ascii="宋体" w:hAnsi="宋体" w:cs="宋体" w:eastAsia="宋体" w:hint="default"/>
                <w:sz w:val="18"/>
                <w:szCs w:val="18"/>
              </w:rPr>
              <w:t>序列数据进行计算，获得与之对 应的参考序列比对结果，并根据阈值进行统计和筛 选以达到对</w:t>
            </w:r>
            <w:r>
              <w:rPr>
                <w:rFonts w:ascii="Times New Roman" w:hAnsi="Times New Roman" w:cs="Times New Roman" w:eastAsia="Times New Roman" w:hint="default"/>
                <w:sz w:val="18"/>
                <w:szCs w:val="18"/>
              </w:rPr>
              <w:t>24</w:t>
            </w:r>
            <w:r>
              <w:rPr>
                <w:rFonts w:ascii="宋体" w:hAnsi="宋体" w:cs="宋体" w:eastAsia="宋体" w:hint="default"/>
                <w:sz w:val="18"/>
                <w:szCs w:val="18"/>
              </w:rPr>
              <w:t>条染色体非整倍体检出的目的。</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注册审评</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正常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58" w:hRule="exact"/>
        </w:trPr>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9" w:lineRule="auto"/>
              <w:ind w:left="103" w:right="139"/>
              <w:jc w:val="left"/>
              <w:rPr>
                <w:rFonts w:ascii="宋体" w:hAnsi="宋体" w:cs="宋体" w:eastAsia="宋体" w:hint="default"/>
                <w:sz w:val="18"/>
                <w:szCs w:val="18"/>
              </w:rPr>
            </w:pPr>
            <w:r>
              <w:rPr>
                <w:rFonts w:ascii="宋体" w:hAnsi="宋体" w:cs="宋体" w:eastAsia="宋体" w:hint="default"/>
                <w:sz w:val="18"/>
                <w:szCs w:val="18"/>
              </w:rPr>
              <w:t>遗传性</w:t>
            </w:r>
            <w:r>
              <w:rPr>
                <w:rFonts w:ascii="Times New Roman" w:hAnsi="Times New Roman" w:cs="Times New Roman" w:eastAsia="Times New Roman" w:hint="default"/>
                <w:sz w:val="18"/>
                <w:szCs w:val="18"/>
              </w:rPr>
              <w:t>BRCA</w:t>
            </w:r>
            <w:r>
              <w:rPr>
                <w:rFonts w:ascii="宋体" w:hAnsi="宋体" w:cs="宋体" w:eastAsia="宋体" w:hint="default"/>
                <w:sz w:val="18"/>
                <w:szCs w:val="18"/>
              </w:rPr>
              <w:t>基 因分析注释软 件</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103" w:right="147"/>
              <w:jc w:val="left"/>
              <w:rPr>
                <w:rFonts w:ascii="宋体" w:hAnsi="宋体" w:cs="宋体" w:eastAsia="宋体" w:hint="default"/>
                <w:sz w:val="18"/>
                <w:szCs w:val="18"/>
              </w:rPr>
            </w:pPr>
            <w:r>
              <w:rPr>
                <w:rFonts w:ascii="宋体" w:hAnsi="宋体" w:cs="宋体" w:eastAsia="宋体" w:hint="default"/>
                <w:sz w:val="18"/>
                <w:szCs w:val="18"/>
              </w:rPr>
              <w:t>本产品适用于遗传性</w:t>
            </w:r>
            <w:r>
              <w:rPr>
                <w:rFonts w:ascii="Times New Roman" w:hAnsi="Times New Roman" w:cs="Times New Roman" w:eastAsia="Times New Roman" w:hint="default"/>
                <w:sz w:val="18"/>
                <w:szCs w:val="18"/>
              </w:rPr>
              <w:t>BRCA</w:t>
            </w:r>
            <w:r>
              <w:rPr>
                <w:rFonts w:ascii="宋体" w:hAnsi="宋体" w:cs="宋体" w:eastAsia="宋体" w:hint="default"/>
                <w:sz w:val="18"/>
                <w:szCs w:val="18"/>
              </w:rPr>
              <w:t>基因检测数据的分析和注 释，通过对测序（</w:t>
            </w:r>
            <w:r>
              <w:rPr>
                <w:rFonts w:ascii="Times New Roman" w:hAnsi="Times New Roman" w:cs="Times New Roman" w:eastAsia="Times New Roman" w:hint="default"/>
                <w:sz w:val="18"/>
                <w:szCs w:val="18"/>
              </w:rPr>
              <w:t>NGS</w:t>
            </w:r>
            <w:r>
              <w:rPr>
                <w:rFonts w:ascii="宋体" w:hAnsi="宋体" w:cs="宋体" w:eastAsia="宋体" w:hint="default"/>
                <w:sz w:val="18"/>
                <w:szCs w:val="18"/>
              </w:rPr>
              <w:t>）数据的质控、过滤、比 对，获得对应参考序列比对结果。基于比对结果， 进行变异分析，得到</w:t>
            </w:r>
            <w:r>
              <w:rPr>
                <w:rFonts w:ascii="Times New Roman" w:hAnsi="Times New Roman" w:cs="Times New Roman" w:eastAsia="Times New Roman" w:hint="default"/>
                <w:sz w:val="18"/>
                <w:szCs w:val="18"/>
              </w:rPr>
              <w:t>BRCA1/2</w:t>
            </w:r>
            <w:r>
              <w:rPr>
                <w:rFonts w:ascii="宋体" w:hAnsi="宋体" w:cs="宋体" w:eastAsia="宋体" w:hint="default"/>
                <w:sz w:val="18"/>
                <w:szCs w:val="18"/>
              </w:rPr>
              <w:t>基因突变的分析结</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注册检验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正常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80" w:footer="974" w:top="1100" w:bottom="1160" w:left="980" w:right="96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471"/>
        <w:gridCol w:w="1462"/>
        <w:gridCol w:w="708"/>
        <w:gridCol w:w="4352"/>
        <w:gridCol w:w="1069"/>
        <w:gridCol w:w="710"/>
        <w:gridCol w:w="958"/>
      </w:tblGrid>
      <w:tr>
        <w:trPr>
          <w:trHeight w:val="946" w:hRule="exact"/>
        </w:trPr>
        <w:tc>
          <w:tcPr>
            <w:tcW w:w="47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3" w:right="235"/>
              <w:jc w:val="left"/>
              <w:rPr>
                <w:rFonts w:ascii="宋体" w:hAnsi="宋体" w:cs="宋体" w:eastAsia="宋体" w:hint="default"/>
                <w:sz w:val="18"/>
                <w:szCs w:val="18"/>
              </w:rPr>
            </w:pPr>
            <w:r>
              <w:rPr>
                <w:rFonts w:ascii="宋体" w:hAnsi="宋体" w:cs="宋体" w:eastAsia="宋体" w:hint="default"/>
                <w:sz w:val="18"/>
                <w:szCs w:val="18"/>
              </w:rPr>
              <w:t>果，包含</w:t>
            </w:r>
            <w:r>
              <w:rPr>
                <w:rFonts w:ascii="Times New Roman" w:hAnsi="Times New Roman" w:cs="Times New Roman" w:eastAsia="Times New Roman" w:hint="default"/>
                <w:sz w:val="18"/>
                <w:szCs w:val="18"/>
              </w:rPr>
              <w:t>SNP</w:t>
            </w:r>
            <w:r>
              <w:rPr>
                <w:rFonts w:ascii="宋体" w:hAnsi="宋体" w:cs="宋体" w:eastAsia="宋体" w:hint="default"/>
                <w:sz w:val="18"/>
                <w:szCs w:val="18"/>
              </w:rPr>
              <w:t>、</w:t>
            </w:r>
            <w:r>
              <w:rPr>
                <w:rFonts w:ascii="Times New Roman" w:hAnsi="Times New Roman" w:cs="Times New Roman" w:eastAsia="Times New Roman" w:hint="default"/>
                <w:sz w:val="18"/>
                <w:szCs w:val="18"/>
              </w:rPr>
              <w:t>InDel</w:t>
            </w:r>
            <w:r>
              <w:rPr>
                <w:rFonts w:ascii="宋体" w:hAnsi="宋体" w:cs="宋体" w:eastAsia="宋体" w:hint="default"/>
                <w:sz w:val="18"/>
                <w:szCs w:val="18"/>
              </w:rPr>
              <w:t>、</w:t>
            </w:r>
            <w:r>
              <w:rPr>
                <w:rFonts w:ascii="Times New Roman" w:hAnsi="Times New Roman" w:cs="Times New Roman" w:eastAsia="Times New Roman" w:hint="default"/>
                <w:sz w:val="18"/>
                <w:szCs w:val="18"/>
              </w:rPr>
              <w:t>CNV</w:t>
            </w:r>
            <w:r>
              <w:rPr>
                <w:rFonts w:ascii="宋体" w:hAnsi="宋体" w:cs="宋体" w:eastAsia="宋体" w:hint="default"/>
                <w:sz w:val="18"/>
                <w:szCs w:val="18"/>
              </w:rPr>
              <w:t>三种突变类型，并对突 变检测结果进行注释，预测蛋白质层面的序列改 变，进而对突变致病性进行分级。</w:t>
            </w:r>
          </w:p>
        </w:tc>
        <w:tc>
          <w:tcPr>
            <w:tcW w:w="10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228"/>
              <w:jc w:val="left"/>
              <w:rPr>
                <w:rFonts w:ascii="宋体" w:hAnsi="宋体" w:cs="宋体" w:eastAsia="宋体" w:hint="default"/>
                <w:sz w:val="18"/>
                <w:szCs w:val="18"/>
              </w:rPr>
            </w:pPr>
            <w:r>
              <w:rPr>
                <w:rFonts w:ascii="宋体" w:hAnsi="宋体" w:cs="宋体" w:eastAsia="宋体" w:hint="default"/>
                <w:sz w:val="18"/>
                <w:szCs w:val="18"/>
              </w:rPr>
              <w:t>抗甲状腺球蛋 白抗体（</w:t>
            </w:r>
            <w:r>
              <w:rPr>
                <w:rFonts w:ascii="Times New Roman" w:hAnsi="Times New Roman" w:cs="Times New Roman" w:eastAsia="Times New Roman" w:hint="default"/>
                <w:sz w:val="18"/>
                <w:szCs w:val="18"/>
              </w:rPr>
              <w:t>TG-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Ab</w:t>
            </w:r>
            <w:r>
              <w:rPr>
                <w:rFonts w:ascii="宋体" w:hAnsi="宋体" w:cs="宋体" w:eastAsia="宋体" w:hint="default"/>
                <w:sz w:val="18"/>
                <w:szCs w:val="18"/>
              </w:rPr>
              <w:t>）测定试剂 盒（化学发光 免疫分析法）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276"/>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本试剂盒用于体外定量测定人血清中抗甲状腺球蛋 白抗体（</w:t>
            </w:r>
            <w:r>
              <w:rPr>
                <w:rFonts w:ascii="Times New Roman" w:hAnsi="Times New Roman" w:cs="Times New Roman" w:eastAsia="Times New Roman" w:hint="default"/>
                <w:sz w:val="18"/>
                <w:szCs w:val="18"/>
              </w:rPr>
              <w:t>TG-Ab</w:t>
            </w:r>
            <w:r>
              <w:rPr>
                <w:rFonts w:ascii="宋体" w:hAnsi="宋体" w:cs="宋体" w:eastAsia="宋体" w:hint="default"/>
                <w:sz w:val="18"/>
                <w:szCs w:val="18"/>
              </w:rPr>
              <w:t>）的含量。</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注册检验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正常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85" w:right="0"/>
              <w:jc w:val="left"/>
              <w:rPr>
                <w:rFonts w:ascii="Times New Roman" w:hAnsi="Times New Roman" w:cs="Times New Roman" w:eastAsia="Times New Roman" w:hint="default"/>
                <w:sz w:val="18"/>
                <w:szCs w:val="18"/>
              </w:rPr>
            </w:pPr>
            <w:r>
              <w:rPr>
                <w:rFonts w:ascii="Times New Roman"/>
                <w:sz w:val="18"/>
              </w:rPr>
              <w:t>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68"/>
              <w:jc w:val="left"/>
              <w:rPr>
                <w:rFonts w:ascii="宋体" w:hAnsi="宋体" w:cs="宋体" w:eastAsia="宋体" w:hint="default"/>
                <w:sz w:val="18"/>
                <w:szCs w:val="18"/>
              </w:rPr>
            </w:pPr>
            <w:r>
              <w:rPr>
                <w:rFonts w:ascii="宋体" w:hAnsi="宋体" w:cs="宋体" w:eastAsia="宋体" w:hint="default"/>
                <w:sz w:val="18"/>
                <w:szCs w:val="18"/>
              </w:rPr>
              <w:t>包虫</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抗体检 测试剂盒（酶 联免疫法）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103" w:right="359"/>
              <w:jc w:val="left"/>
              <w:rPr>
                <w:rFonts w:ascii="宋体" w:hAnsi="宋体" w:cs="宋体" w:eastAsia="宋体" w:hint="default"/>
                <w:sz w:val="18"/>
                <w:szCs w:val="18"/>
              </w:rPr>
            </w:pPr>
            <w:r>
              <w:rPr>
                <w:rFonts w:ascii="宋体" w:hAnsi="宋体" w:cs="宋体" w:eastAsia="宋体" w:hint="default"/>
                <w:sz w:val="18"/>
                <w:szCs w:val="18"/>
              </w:rPr>
              <w:t>本试剂盒用于体外定性检测人血清中的包虫</w:t>
            </w:r>
            <w:r>
              <w:rPr>
                <w:rFonts w:ascii="Times New Roman" w:hAnsi="Times New Roman" w:cs="Times New Roman" w:eastAsia="Times New Roman" w:hint="default"/>
                <w:sz w:val="18"/>
                <w:szCs w:val="18"/>
              </w:rPr>
              <w:t>IgG</w:t>
            </w:r>
            <w:r>
              <w:rPr>
                <w:rFonts w:ascii="宋体" w:hAnsi="宋体" w:cs="宋体" w:eastAsia="宋体" w:hint="default"/>
                <w:sz w:val="18"/>
                <w:szCs w:val="18"/>
              </w:rPr>
              <w:t>抗 体。</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注册检验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正常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60" w:hRule="exact"/>
        </w:trPr>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3"/>
              <w:ind w:left="103" w:right="223"/>
              <w:jc w:val="both"/>
              <w:rPr>
                <w:rFonts w:ascii="宋体" w:hAnsi="宋体" w:cs="宋体" w:eastAsia="宋体" w:hint="default"/>
                <w:sz w:val="18"/>
                <w:szCs w:val="18"/>
              </w:rPr>
            </w:pPr>
            <w:r>
              <w:rPr>
                <w:rFonts w:ascii="宋体" w:hAnsi="宋体" w:cs="宋体" w:eastAsia="宋体" w:hint="default"/>
                <w:sz w:val="18"/>
                <w:szCs w:val="18"/>
              </w:rPr>
              <w:t>乙型肝炎病毒 基因分型检测 试剂盒（</w:t>
            </w:r>
            <w:r>
              <w:rPr>
                <w:rFonts w:ascii="Times New Roman" w:hAnsi="Times New Roman" w:cs="Times New Roman" w:eastAsia="Times New Roman" w:hint="default"/>
                <w:sz w:val="18"/>
                <w:szCs w:val="18"/>
              </w:rPr>
              <w:t>PCR- </w:t>
            </w:r>
            <w:r>
              <w:rPr>
                <w:rFonts w:ascii="宋体" w:hAnsi="宋体" w:cs="宋体" w:eastAsia="宋体" w:hint="default"/>
                <w:sz w:val="18"/>
                <w:szCs w:val="18"/>
              </w:rPr>
              <w:t>荧光探针法）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3"/>
              <w:ind w:left="103" w:right="254"/>
              <w:jc w:val="left"/>
              <w:rPr>
                <w:rFonts w:ascii="宋体" w:hAnsi="宋体" w:cs="宋体" w:eastAsia="宋体" w:hint="default"/>
                <w:sz w:val="18"/>
                <w:szCs w:val="18"/>
              </w:rPr>
            </w:pPr>
            <w:r>
              <w:rPr>
                <w:rFonts w:ascii="宋体" w:hAnsi="宋体" w:cs="宋体" w:eastAsia="宋体" w:hint="default"/>
                <w:sz w:val="18"/>
                <w:szCs w:val="18"/>
              </w:rPr>
              <w:t>本试剂盒用于对乙型肝炎病毒（</w:t>
            </w:r>
            <w:r>
              <w:rPr>
                <w:rFonts w:ascii="Times New Roman" w:hAnsi="Times New Roman" w:cs="Times New Roman" w:eastAsia="Times New Roman" w:hint="default"/>
                <w:sz w:val="18"/>
                <w:szCs w:val="18"/>
              </w:rPr>
              <w:t>HBV</w:t>
            </w:r>
            <w:r>
              <w:rPr>
                <w:rFonts w:ascii="宋体" w:hAnsi="宋体" w:cs="宋体" w:eastAsia="宋体" w:hint="default"/>
                <w:sz w:val="18"/>
                <w:szCs w:val="18"/>
              </w:rPr>
              <w:t>）阳性血清样 本中的</w:t>
            </w:r>
            <w:r>
              <w:rPr>
                <w:rFonts w:ascii="Times New Roman" w:hAnsi="Times New Roman" w:cs="Times New Roman" w:eastAsia="Times New Roman" w:hint="default"/>
                <w:sz w:val="18"/>
                <w:szCs w:val="18"/>
              </w:rPr>
              <w:t>B</w:t>
            </w:r>
            <w:r>
              <w:rPr>
                <w:rFonts w:ascii="宋体" w:hAnsi="宋体" w:cs="宋体" w:eastAsia="宋体" w:hint="default"/>
                <w:sz w:val="18"/>
                <w:szCs w:val="18"/>
              </w:rPr>
              <w:t>型、</w:t>
            </w:r>
            <w:r>
              <w:rPr>
                <w:rFonts w:ascii="Times New Roman" w:hAnsi="Times New Roman" w:cs="Times New Roman" w:eastAsia="Times New Roman" w:hint="default"/>
                <w:sz w:val="18"/>
                <w:szCs w:val="18"/>
              </w:rPr>
              <w:t>C</w:t>
            </w:r>
            <w:r>
              <w:rPr>
                <w:rFonts w:ascii="宋体" w:hAnsi="宋体" w:cs="宋体" w:eastAsia="宋体" w:hint="default"/>
                <w:sz w:val="18"/>
                <w:szCs w:val="18"/>
              </w:rPr>
              <w:t>型、</w:t>
            </w:r>
            <w:r>
              <w:rPr>
                <w:rFonts w:ascii="Times New Roman" w:hAnsi="Times New Roman" w:cs="Times New Roman" w:eastAsia="Times New Roman" w:hint="default"/>
                <w:sz w:val="18"/>
                <w:szCs w:val="18"/>
              </w:rPr>
              <w:t>D</w:t>
            </w:r>
            <w:r>
              <w:rPr>
                <w:rFonts w:ascii="宋体" w:hAnsi="宋体" w:cs="宋体" w:eastAsia="宋体" w:hint="default"/>
                <w:sz w:val="18"/>
                <w:szCs w:val="18"/>
              </w:rPr>
              <w:t>型进行定性分型检测，不建议 用于未知样本的乙型肝炎病毒核酸阴性或阳性检 测。</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试生产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正常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194" w:hRule="exact"/>
        </w:trPr>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66"/>
              <w:jc w:val="both"/>
              <w:rPr>
                <w:rFonts w:ascii="宋体" w:hAnsi="宋体" w:cs="宋体" w:eastAsia="宋体" w:hint="default"/>
                <w:sz w:val="18"/>
                <w:szCs w:val="18"/>
              </w:rPr>
            </w:pPr>
            <w:r>
              <w:rPr>
                <w:rFonts w:ascii="宋体" w:hAnsi="宋体" w:cs="宋体" w:eastAsia="宋体" w:hint="default"/>
                <w:sz w:val="18"/>
                <w:szCs w:val="18"/>
              </w:rPr>
              <w:t>颗粒状角膜营 养不良基因单 核苷酸多态性</w:t>
            </w:r>
          </w:p>
          <w:p>
            <w:pPr>
              <w:pStyle w:val="TableParagraph"/>
              <w:spacing w:line="300" w:lineRule="auto" w:before="19"/>
              <w:ind w:left="103" w:right="11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SNP</w:t>
            </w:r>
            <w:r>
              <w:rPr>
                <w:rFonts w:ascii="宋体" w:hAnsi="宋体" w:cs="宋体" w:eastAsia="宋体" w:hint="default"/>
                <w:sz w:val="18"/>
                <w:szCs w:val="18"/>
              </w:rPr>
              <w:t>）核酸检 测试剂盒</w:t>
            </w:r>
          </w:p>
          <w:p>
            <w:pPr>
              <w:pStyle w:val="TableParagraph"/>
              <w:spacing w:line="300" w:lineRule="auto" w:before="31"/>
              <w:ind w:left="103" w:right="22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 针法）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7" w:lineRule="auto"/>
              <w:ind w:left="103" w:right="134"/>
              <w:jc w:val="left"/>
              <w:rPr>
                <w:rFonts w:ascii="宋体" w:hAnsi="宋体" w:cs="宋体" w:eastAsia="宋体" w:hint="default"/>
                <w:sz w:val="18"/>
                <w:szCs w:val="18"/>
              </w:rPr>
            </w:pPr>
            <w:r>
              <w:rPr>
                <w:rFonts w:ascii="宋体" w:hAnsi="宋体" w:cs="宋体" w:eastAsia="宋体" w:hint="default"/>
                <w:sz w:val="18"/>
                <w:szCs w:val="18"/>
              </w:rPr>
              <w:t>本试剂盒用于检测颗粒状角膜营养不良基因单核苷 酸多态性，包括</w:t>
            </w:r>
            <w:r>
              <w:rPr>
                <w:rFonts w:ascii="Times New Roman" w:hAnsi="Times New Roman" w:cs="Times New Roman" w:eastAsia="Times New Roman" w:hint="default"/>
                <w:sz w:val="18"/>
                <w:szCs w:val="18"/>
              </w:rPr>
              <w:t>TGFBI</w:t>
            </w:r>
            <w:r>
              <w:rPr>
                <w:rFonts w:ascii="宋体" w:hAnsi="宋体" w:cs="宋体" w:eastAsia="宋体" w:hint="default"/>
                <w:sz w:val="18"/>
                <w:szCs w:val="18"/>
              </w:rPr>
              <w:t>（</w:t>
            </w:r>
            <w:r>
              <w:rPr>
                <w:rFonts w:ascii="Times New Roman" w:hAnsi="Times New Roman" w:cs="Times New Roman" w:eastAsia="Times New Roman" w:hint="default"/>
                <w:sz w:val="18"/>
                <w:szCs w:val="18"/>
              </w:rPr>
              <w:t>Transforing growth</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factor</w:t>
            </w:r>
            <w:r>
              <w:rPr>
                <w:rFonts w:ascii="宋体" w:hAnsi="宋体" w:cs="宋体" w:eastAsia="宋体" w:hint="default"/>
                <w:sz w:val="18"/>
                <w:szCs w:val="18"/>
              </w:rPr>
              <w:t>一</w:t>
            </w:r>
            <w:r>
              <w:rPr>
                <w:rFonts w:ascii="Times New Roman" w:hAnsi="Times New Roman" w:cs="Times New Roman" w:eastAsia="Times New Roman" w:hint="default"/>
                <w:sz w:val="18"/>
                <w:szCs w:val="18"/>
              </w:rPr>
              <w:t>β</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z w:val="18"/>
                <w:szCs w:val="18"/>
              </w:rPr>
              <w:t>induce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gene</w:t>
            </w:r>
            <w:r>
              <w:rPr>
                <w:rFonts w:ascii="宋体" w:hAnsi="宋体" w:cs="宋体" w:eastAsia="宋体" w:hint="default"/>
                <w:sz w:val="18"/>
                <w:szCs w:val="18"/>
              </w:rPr>
              <w:t>）基因</w:t>
            </w:r>
            <w:r>
              <w:rPr>
                <w:rFonts w:ascii="Times New Roman" w:hAnsi="Times New Roman" w:cs="Times New Roman" w:eastAsia="Times New Roman" w:hint="default"/>
                <w:sz w:val="18"/>
                <w:szCs w:val="18"/>
              </w:rPr>
              <w:t>3</w:t>
            </w:r>
            <w:r>
              <w:rPr>
                <w:rFonts w:ascii="宋体" w:hAnsi="宋体" w:cs="宋体" w:eastAsia="宋体" w:hint="default"/>
                <w:sz w:val="18"/>
                <w:szCs w:val="18"/>
              </w:rPr>
              <w:t>个突变点。试剂盒以人基因组 </w:t>
            </w:r>
            <w:r>
              <w:rPr>
                <w:rFonts w:ascii="Times New Roman" w:hAnsi="Times New Roman" w:cs="Times New Roman" w:eastAsia="Times New Roman" w:hint="default"/>
                <w:sz w:val="18"/>
                <w:szCs w:val="18"/>
              </w:rPr>
              <w:t>DNA</w:t>
            </w:r>
            <w:r>
              <w:rPr>
                <w:rFonts w:ascii="宋体" w:hAnsi="宋体" w:cs="宋体" w:eastAsia="宋体" w:hint="default"/>
                <w:sz w:val="18"/>
                <w:szCs w:val="18"/>
              </w:rPr>
              <w:t>为检测样本，提供突变状态的定性评估。辅助 临床医生从分子水平设计出适合不同个体特点治疗 方案，最大限度的保证患者的视力水平。</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试生产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正常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194" w:hRule="exact"/>
        </w:trPr>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09" w:lineRule="auto"/>
              <w:ind w:left="103" w:right="125"/>
              <w:jc w:val="left"/>
              <w:rPr>
                <w:rFonts w:ascii="宋体" w:hAnsi="宋体" w:cs="宋体" w:eastAsia="宋体" w:hint="default"/>
                <w:sz w:val="18"/>
                <w:szCs w:val="18"/>
              </w:rPr>
            </w:pPr>
            <w:r>
              <w:rPr>
                <w:rFonts w:ascii="宋体" w:hAnsi="宋体" w:cs="宋体" w:eastAsia="宋体" w:hint="default"/>
                <w:sz w:val="18"/>
                <w:szCs w:val="18"/>
              </w:rPr>
              <w:t>丙型肝炎病毒 </w:t>
            </w:r>
            <w:r>
              <w:rPr>
                <w:rFonts w:ascii="Times New Roman" w:hAnsi="Times New Roman" w:cs="Times New Roman" w:eastAsia="Times New Roman" w:hint="default"/>
                <w:sz w:val="18"/>
                <w:szCs w:val="18"/>
              </w:rPr>
              <w:t>(HCV)</w:t>
            </w:r>
            <w:r>
              <w:rPr>
                <w:rFonts w:ascii="宋体" w:hAnsi="宋体" w:cs="宋体" w:eastAsia="宋体" w:hint="default"/>
                <w:sz w:val="18"/>
                <w:szCs w:val="18"/>
              </w:rPr>
              <w:t>基因分型</w:t>
            </w:r>
            <w:r>
              <w:rPr>
                <w:rFonts w:ascii="宋体" w:hAnsi="宋体" w:cs="宋体" w:eastAsia="宋体" w:hint="default"/>
                <w:w w:val="99"/>
                <w:sz w:val="18"/>
                <w:szCs w:val="18"/>
              </w:rPr>
              <w:t> </w:t>
            </w:r>
            <w:r>
              <w:rPr>
                <w:rFonts w:ascii="宋体" w:hAnsi="宋体" w:cs="宋体" w:eastAsia="宋体" w:hint="default"/>
                <w:sz w:val="18"/>
                <w:szCs w:val="18"/>
              </w:rPr>
              <w:t>检测试剂盒</w:t>
            </w:r>
          </w:p>
          <w:p>
            <w:pPr>
              <w:pStyle w:val="TableParagraph"/>
              <w:spacing w:line="300" w:lineRule="auto" w:before="24"/>
              <w:ind w:left="103" w:right="2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 针法）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103"/>
              <w:jc w:val="left"/>
              <w:rPr>
                <w:rFonts w:ascii="宋体" w:hAnsi="宋体" w:cs="宋体" w:eastAsia="宋体" w:hint="default"/>
                <w:sz w:val="18"/>
                <w:szCs w:val="18"/>
              </w:rPr>
            </w:pPr>
            <w:r>
              <w:rPr>
                <w:rFonts w:ascii="宋体" w:hAnsi="宋体" w:cs="宋体" w:eastAsia="宋体" w:hint="default"/>
                <w:sz w:val="18"/>
                <w:szCs w:val="18"/>
              </w:rPr>
              <w:t>本试剂盒用于对体外定性检测已明确为丙型肝炎病 毒核酸阳性患者的临床血清、血浆样本中的丙型肝 炎病毒（</w:t>
            </w:r>
            <w:r>
              <w:rPr>
                <w:rFonts w:ascii="Times New Roman" w:hAnsi="Times New Roman" w:cs="Times New Roman" w:eastAsia="Times New Roman" w:hint="default"/>
                <w:sz w:val="18"/>
                <w:szCs w:val="18"/>
              </w:rPr>
              <w:t>HCV</w:t>
            </w:r>
            <w:r>
              <w:rPr>
                <w:rFonts w:ascii="宋体" w:hAnsi="宋体" w:cs="宋体" w:eastAsia="宋体" w:hint="default"/>
                <w:sz w:val="18"/>
                <w:szCs w:val="18"/>
              </w:rPr>
              <w:t>）</w:t>
            </w:r>
            <w:r>
              <w:rPr>
                <w:rFonts w:ascii="Times New Roman" w:hAnsi="Times New Roman" w:cs="Times New Roman" w:eastAsia="Times New Roman" w:hint="default"/>
                <w:sz w:val="18"/>
                <w:szCs w:val="18"/>
              </w:rPr>
              <w:t>1b</w:t>
            </w:r>
            <w:r>
              <w:rPr>
                <w:rFonts w:ascii="宋体" w:hAnsi="宋体" w:cs="宋体" w:eastAsia="宋体" w:hint="default"/>
                <w:sz w:val="18"/>
                <w:szCs w:val="18"/>
              </w:rPr>
              <w:t>、</w:t>
            </w:r>
            <w:r>
              <w:rPr>
                <w:rFonts w:ascii="Times New Roman" w:hAnsi="Times New Roman" w:cs="Times New Roman" w:eastAsia="Times New Roman" w:hint="default"/>
                <w:sz w:val="18"/>
                <w:szCs w:val="18"/>
              </w:rPr>
              <w:t>2a</w:t>
            </w:r>
            <w:r>
              <w:rPr>
                <w:rFonts w:ascii="宋体" w:hAnsi="宋体" w:cs="宋体" w:eastAsia="宋体" w:hint="default"/>
                <w:sz w:val="18"/>
                <w:szCs w:val="18"/>
              </w:rPr>
              <w:t>、</w:t>
            </w:r>
            <w:r>
              <w:rPr>
                <w:rFonts w:ascii="Times New Roman" w:hAnsi="Times New Roman" w:cs="Times New Roman" w:eastAsia="Times New Roman" w:hint="default"/>
                <w:sz w:val="18"/>
                <w:szCs w:val="18"/>
              </w:rPr>
              <w:t>3a</w:t>
            </w:r>
            <w:r>
              <w:rPr>
                <w:rFonts w:ascii="宋体" w:hAnsi="宋体" w:cs="宋体" w:eastAsia="宋体" w:hint="default"/>
                <w:sz w:val="18"/>
                <w:szCs w:val="18"/>
              </w:rPr>
              <w:t>、</w:t>
            </w:r>
            <w:r>
              <w:rPr>
                <w:rFonts w:ascii="Times New Roman" w:hAnsi="Times New Roman" w:cs="Times New Roman" w:eastAsia="Times New Roman" w:hint="default"/>
                <w:sz w:val="18"/>
                <w:szCs w:val="18"/>
              </w:rPr>
              <w:t>3b</w:t>
            </w:r>
            <w:r>
              <w:rPr>
                <w:rFonts w:ascii="宋体" w:hAnsi="宋体" w:cs="宋体" w:eastAsia="宋体" w:hint="default"/>
                <w:sz w:val="18"/>
                <w:szCs w:val="18"/>
              </w:rPr>
              <w:t>和</w:t>
            </w:r>
            <w:r>
              <w:rPr>
                <w:rFonts w:ascii="Times New Roman" w:hAnsi="Times New Roman" w:cs="Times New Roman" w:eastAsia="Times New Roman" w:hint="default"/>
                <w:sz w:val="18"/>
                <w:szCs w:val="18"/>
              </w:rPr>
              <w:t>6a</w:t>
            </w:r>
            <w:r>
              <w:rPr>
                <w:rFonts w:ascii="宋体" w:hAnsi="宋体" w:cs="宋体" w:eastAsia="宋体" w:hint="default"/>
                <w:sz w:val="18"/>
                <w:szCs w:val="18"/>
              </w:rPr>
              <w:t>亚型进行分型检 测。辅助医疗专业人员了解患者的丙型肝炎病毒基 因型以确定适宜的治疗方法。检测结果仅供临床参 考，临床医生应结合患者病情及其他实验室检测指 标等因素对患者治疗进行综合判断。</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试生产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正常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58" w:hRule="exact"/>
        </w:trPr>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84"/>
              <w:jc w:val="left"/>
              <w:rPr>
                <w:rFonts w:ascii="宋体" w:hAnsi="宋体" w:cs="宋体" w:eastAsia="宋体" w:hint="default"/>
                <w:sz w:val="18"/>
                <w:szCs w:val="18"/>
              </w:rPr>
            </w:pPr>
            <w:r>
              <w:rPr>
                <w:rFonts w:ascii="宋体" w:hAnsi="宋体" w:cs="宋体" w:eastAsia="宋体" w:hint="default"/>
                <w:sz w:val="18"/>
                <w:szCs w:val="18"/>
              </w:rPr>
              <w:t>柯萨奇病毒</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z w:val="18"/>
                <w:szCs w:val="18"/>
              </w:rPr>
              <w:t> </w:t>
            </w:r>
            <w:r>
              <w:rPr>
                <w:rFonts w:ascii="宋体" w:hAnsi="宋体" w:cs="宋体" w:eastAsia="宋体" w:hint="default"/>
                <w:sz w:val="18"/>
                <w:szCs w:val="18"/>
              </w:rPr>
              <w:t>型</w:t>
            </w:r>
            <w:r>
              <w:rPr>
                <w:rFonts w:ascii="Times New Roman" w:hAnsi="Times New Roman" w:cs="Times New Roman" w:eastAsia="Times New Roman" w:hint="default"/>
                <w:sz w:val="18"/>
                <w:szCs w:val="18"/>
              </w:rPr>
              <w:t>/A10</w:t>
            </w:r>
            <w:r>
              <w:rPr>
                <w:rFonts w:ascii="宋体" w:hAnsi="宋体" w:cs="宋体" w:eastAsia="宋体" w:hint="default"/>
                <w:sz w:val="18"/>
                <w:szCs w:val="18"/>
              </w:rPr>
              <w:t>型检测 试剂盒（</w:t>
            </w:r>
            <w:r>
              <w:rPr>
                <w:rFonts w:ascii="Times New Roman" w:hAnsi="Times New Roman" w:cs="Times New Roman" w:eastAsia="Times New Roman" w:hint="default"/>
                <w:sz w:val="18"/>
                <w:szCs w:val="18"/>
              </w:rPr>
              <w:t>PCR- </w:t>
            </w:r>
            <w:r>
              <w:rPr>
                <w:rFonts w:ascii="宋体" w:hAnsi="宋体" w:cs="宋体" w:eastAsia="宋体" w:hint="default"/>
                <w:sz w:val="18"/>
                <w:szCs w:val="18"/>
              </w:rPr>
              <w:t>荧光探针法）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435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237"/>
              <w:jc w:val="both"/>
              <w:rPr>
                <w:rFonts w:ascii="宋体" w:hAnsi="宋体" w:cs="宋体" w:eastAsia="宋体" w:hint="default"/>
                <w:sz w:val="18"/>
                <w:szCs w:val="18"/>
              </w:rPr>
            </w:pPr>
            <w:r>
              <w:rPr>
                <w:rFonts w:ascii="宋体" w:hAnsi="宋体" w:cs="宋体" w:eastAsia="宋体" w:hint="default"/>
                <w:sz w:val="18"/>
                <w:szCs w:val="18"/>
              </w:rPr>
              <w:t>本试剂盒适用于体外定性检测手足口病患者咽拭子 样本中柯萨奇病毒</w:t>
            </w:r>
            <w:r>
              <w:rPr>
                <w:rFonts w:ascii="Times New Roman" w:hAnsi="Times New Roman" w:cs="Times New Roman" w:eastAsia="Times New Roman" w:hint="default"/>
                <w:sz w:val="18"/>
                <w:szCs w:val="18"/>
              </w:rPr>
              <w:t>A6</w:t>
            </w:r>
            <w:r>
              <w:rPr>
                <w:rFonts w:ascii="宋体" w:hAnsi="宋体" w:cs="宋体" w:eastAsia="宋体" w:hint="default"/>
                <w:sz w:val="18"/>
                <w:szCs w:val="18"/>
              </w:rPr>
              <w:t>型</w:t>
            </w:r>
            <w:r>
              <w:rPr>
                <w:rFonts w:ascii="Times New Roman" w:hAnsi="Times New Roman" w:cs="Times New Roman" w:eastAsia="Times New Roman" w:hint="default"/>
                <w:sz w:val="18"/>
                <w:szCs w:val="18"/>
              </w:rPr>
              <w:t>/A10</w:t>
            </w:r>
            <w:r>
              <w:rPr>
                <w:rFonts w:ascii="宋体" w:hAnsi="宋体" w:cs="宋体" w:eastAsia="宋体" w:hint="default"/>
                <w:sz w:val="18"/>
                <w:szCs w:val="18"/>
              </w:rPr>
              <w:t>型核酸；为手足口病患 者的诊断提供辅助手段。检测结果仅供临床参考， 最终诊断应紧密结合其他临床指标综合考虑。</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试生产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正常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4"/>
        <w:spacing w:line="297" w:lineRule="auto"/>
        <w:ind w:right="0"/>
        <w:jc w:val="left"/>
        <w:rPr>
          <w:b w:val="0"/>
          <w:bCs w:val="0"/>
        </w:rPr>
      </w:pPr>
      <w:r>
        <w:rPr>
          <w:rFonts w:ascii="Times New Roman" w:hAnsi="Times New Roman" w:cs="Times New Roman" w:eastAsia="Times New Roman" w:hint="default"/>
          <w:w w:val="95"/>
        </w:rPr>
        <w:t>2</w:t>
      </w:r>
      <w:r>
        <w:rPr>
          <w:w w:val="95"/>
        </w:rPr>
        <w:t>、已获得注册证的医疗器械名称、注册分类、临床用途、注册证有效期，并注明是否为报告期内新注册、变更注册或者注 </w:t>
      </w:r>
      <w:r>
        <w:rPr>
          <w:spacing w:val="16"/>
          <w:w w:val="95"/>
        </w:rPr>
        <w:t> </w:t>
      </w:r>
      <w:r>
        <w:rPr>
          <w:spacing w:val="16"/>
          <w:w w:val="95"/>
        </w:rPr>
      </w:r>
      <w:r>
        <w:rPr/>
        <w:t>册证失效</w:t>
      </w:r>
      <w:r>
        <w:rPr>
          <w:b w:val="0"/>
          <w:bCs w:val="0"/>
        </w:rPr>
      </w: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6"/>
          <w:szCs w:val="16"/>
        </w:rPr>
      </w:pPr>
    </w:p>
    <w:p>
      <w:pPr>
        <w:pStyle w:val="BodyText"/>
        <w:spacing w:line="240" w:lineRule="auto"/>
        <w:ind w:left="513" w:right="0"/>
        <w:jc w:val="left"/>
      </w:pPr>
      <w:r>
        <w:rPr/>
        <w:t>截至报告期末，公司获得的医疗器械主要产品注册证共计</w:t>
      </w:r>
      <w:r>
        <w:rPr>
          <w:rFonts w:ascii="Times New Roman" w:hAnsi="Times New Roman" w:cs="Times New Roman" w:eastAsia="Times New Roman" w:hint="default"/>
        </w:rPr>
        <w:t>107</w:t>
      </w:r>
      <w:r>
        <w:rPr/>
        <w:t>项。具体信息详见下表：</w:t>
      </w:r>
    </w:p>
    <w:p>
      <w:pPr>
        <w:spacing w:line="240" w:lineRule="auto" w:before="1"/>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543"/>
        <w:gridCol w:w="2269"/>
        <w:gridCol w:w="710"/>
        <w:gridCol w:w="3401"/>
        <w:gridCol w:w="1381"/>
        <w:gridCol w:w="1289"/>
      </w:tblGrid>
      <w:tr>
        <w:trPr>
          <w:trHeight w:val="883"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170" w:right="17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163" w:right="161"/>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89"/>
                <w:sz w:val="18"/>
                <w:szCs w:val="18"/>
              </w:rPr>
              <w:t> </w:t>
            </w:r>
            <w:r>
              <w:rPr>
                <w:rFonts w:ascii="宋体" w:hAnsi="宋体" w:cs="宋体" w:eastAsia="宋体" w:hint="default"/>
                <w:b/>
                <w:bCs/>
                <w:sz w:val="18"/>
                <w:szCs w:val="18"/>
              </w:rPr>
              <w:t>分类</w:t>
            </w:r>
            <w:r>
              <w:rPr>
                <w:rFonts w:ascii="宋体" w:hAnsi="宋体" w:cs="宋体" w:eastAsia="宋体" w:hint="default"/>
                <w:sz w:val="18"/>
                <w:szCs w:val="18"/>
              </w:rPr>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注册证有效期</w:t>
            </w:r>
            <w:r>
              <w:rPr>
                <w:rFonts w:ascii="宋体" w:hAnsi="宋体" w:cs="宋体" w:eastAsia="宋体" w:hint="default"/>
                <w:sz w:val="18"/>
                <w:szCs w:val="18"/>
              </w:rPr>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57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乙型肝炎病毒表面抗体检</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本产品用于体外定性检测人血清或血浆</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2023/1/2</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bl>
    <w:p>
      <w:pPr>
        <w:spacing w:after="0" w:line="240" w:lineRule="auto"/>
        <w:jc w:val="center"/>
        <w:rPr>
          <w:rFonts w:ascii="宋体" w:hAnsi="宋体" w:cs="宋体" w:eastAsia="宋体" w:hint="default"/>
          <w:sz w:val="18"/>
          <w:szCs w:val="18"/>
        </w:rPr>
        <w:sectPr>
          <w:pgSz w:w="11910" w:h="16840"/>
          <w:pgMar w:header="880" w:footer="974" w:top="1100" w:bottom="1160" w:left="980" w:right="960"/>
        </w:sectPr>
      </w:pPr>
    </w:p>
    <w:p>
      <w:pPr>
        <w:spacing w:line="240" w:lineRule="auto" w:before="11"/>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543"/>
        <w:gridCol w:w="2269"/>
        <w:gridCol w:w="710"/>
        <w:gridCol w:w="3401"/>
        <w:gridCol w:w="1381"/>
        <w:gridCol w:w="1289"/>
      </w:tblGrid>
      <w:tr>
        <w:trPr>
          <w:trHeight w:val="88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70" w:right="17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63" w:right="161"/>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89"/>
                <w:sz w:val="18"/>
                <w:szCs w:val="18"/>
              </w:rPr>
              <w:t> </w:t>
            </w:r>
            <w:r>
              <w:rPr>
                <w:rFonts w:ascii="宋体" w:hAnsi="宋体" w:cs="宋体" w:eastAsia="宋体" w:hint="default"/>
                <w:b/>
                <w:bCs/>
                <w:sz w:val="18"/>
                <w:szCs w:val="18"/>
              </w:rPr>
              <w:t>分类</w:t>
            </w:r>
            <w:r>
              <w:rPr>
                <w:rFonts w:ascii="宋体" w:hAnsi="宋体" w:cs="宋体" w:eastAsia="宋体" w:hint="default"/>
                <w:sz w:val="18"/>
                <w:szCs w:val="18"/>
              </w:rPr>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注册证有效期</w:t>
            </w:r>
            <w:r>
              <w:rPr>
                <w:rFonts w:ascii="宋体" w:hAnsi="宋体" w:cs="宋体" w:eastAsia="宋体" w:hint="default"/>
                <w:sz w:val="18"/>
                <w:szCs w:val="18"/>
              </w:rPr>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766" w:hRule="exact"/>
        </w:trPr>
        <w:tc>
          <w:tcPr>
            <w:tcW w:w="543" w:type="dxa"/>
            <w:tcBorders>
              <w:top w:val="single" w:sz="8" w:space="0" w:color="000000"/>
              <w:left w:val="single" w:sz="8" w:space="0" w:color="000000"/>
              <w:bottom w:val="single" w:sz="8" w:space="0" w:color="000000"/>
              <w:right w:val="single" w:sz="8" w:space="0" w:color="000000"/>
            </w:tcBorders>
          </w:tcPr>
          <w:p>
            <w:pP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70"/>
              <w:jc w:val="center"/>
              <w:rPr>
                <w:rFonts w:ascii="宋体" w:hAnsi="宋体" w:cs="宋体" w:eastAsia="宋体" w:hint="default"/>
                <w:sz w:val="18"/>
                <w:szCs w:val="18"/>
              </w:rPr>
            </w:pPr>
            <w:r>
              <w:rPr>
                <w:rFonts w:ascii="宋体" w:hAnsi="宋体" w:cs="宋体" w:eastAsia="宋体" w:hint="default"/>
                <w:sz w:val="18"/>
                <w:szCs w:val="18"/>
              </w:rPr>
              <w:t>测试剂盒（酶联免疫法）</w:t>
            </w:r>
          </w:p>
        </w:tc>
        <w:tc>
          <w:tcPr>
            <w:tcW w:w="710" w:type="dxa"/>
            <w:tcBorders>
              <w:top w:val="single" w:sz="8" w:space="0" w:color="000000"/>
              <w:left w:val="single" w:sz="8" w:space="0" w:color="000000"/>
              <w:bottom w:val="single" w:sz="8" w:space="0" w:color="000000"/>
              <w:right w:val="single" w:sz="8" w:space="0" w:color="000000"/>
            </w:tcBorders>
          </w:tcPr>
          <w:p>
            <w:pP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
              <w:ind w:left="96" w:right="703"/>
              <w:jc w:val="left"/>
              <w:rPr>
                <w:rFonts w:ascii="宋体" w:hAnsi="宋体" w:cs="宋体" w:eastAsia="宋体" w:hint="default"/>
                <w:sz w:val="18"/>
                <w:szCs w:val="18"/>
              </w:rPr>
            </w:pPr>
            <w:r>
              <w:rPr>
                <w:rFonts w:ascii="宋体" w:hAnsi="宋体" w:cs="宋体" w:eastAsia="宋体" w:hint="default"/>
                <w:sz w:val="18"/>
                <w:szCs w:val="18"/>
              </w:rPr>
              <w:t>中的乙型肝炎病毒表面抗体（抗</w:t>
            </w:r>
            <w:r>
              <w:rPr>
                <w:rFonts w:ascii="Times New Roman" w:hAnsi="Times New Roman" w:cs="Times New Roman" w:eastAsia="Times New Roman" w:hint="default"/>
                <w:sz w:val="18"/>
                <w:szCs w:val="18"/>
              </w:rPr>
              <w:t>- HBs</w:t>
            </w:r>
            <w:r>
              <w:rPr>
                <w:rFonts w:ascii="宋体" w:hAnsi="宋体" w:cs="宋体" w:eastAsia="宋体" w:hint="default"/>
                <w:sz w:val="18"/>
                <w:szCs w:val="18"/>
              </w:rPr>
              <w:t>）。</w:t>
            </w:r>
          </w:p>
        </w:tc>
        <w:tc>
          <w:tcPr>
            <w:tcW w:w="1381" w:type="dxa"/>
            <w:tcBorders>
              <w:top w:val="single" w:sz="8" w:space="0" w:color="000000"/>
              <w:left w:val="single" w:sz="8" w:space="0" w:color="000000"/>
              <w:bottom w:val="single" w:sz="8" w:space="0" w:color="000000"/>
              <w:right w:val="single" w:sz="8" w:space="0" w:color="000000"/>
            </w:tcBorders>
          </w:tcPr>
          <w:p>
            <w:pPr/>
          </w:p>
        </w:tc>
        <w:tc>
          <w:tcPr>
            <w:tcW w:w="1289" w:type="dxa"/>
            <w:tcBorders>
              <w:top w:val="single" w:sz="8" w:space="0" w:color="000000"/>
              <w:left w:val="single" w:sz="8" w:space="0" w:color="000000"/>
              <w:bottom w:val="single" w:sz="8" w:space="0" w:color="000000"/>
              <w:right w:val="single" w:sz="8" w:space="0" w:color="000000"/>
            </w:tcBorders>
          </w:tcPr>
          <w:p>
            <w:pPr/>
          </w:p>
        </w:tc>
      </w:tr>
      <w:tr>
        <w:trPr>
          <w:trHeight w:val="883"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16" w:right="0"/>
              <w:jc w:val="left"/>
              <w:rPr>
                <w:rFonts w:ascii="Times New Roman" w:hAnsi="Times New Roman" w:cs="Times New Roman" w:eastAsia="Times New Roman" w:hint="default"/>
                <w:sz w:val="18"/>
                <w:szCs w:val="18"/>
              </w:rPr>
            </w:pPr>
            <w:r>
              <w:rPr>
                <w:rFonts w:ascii="Times New Roman"/>
                <w:sz w:val="18"/>
              </w:rPr>
              <w:t>2</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0"/>
              <w:ind w:left="98" w:right="269"/>
              <w:jc w:val="left"/>
              <w:rPr>
                <w:rFonts w:ascii="宋体" w:hAnsi="宋体" w:cs="宋体" w:eastAsia="宋体" w:hint="default"/>
                <w:sz w:val="18"/>
                <w:szCs w:val="18"/>
              </w:rPr>
            </w:pPr>
            <w:r>
              <w:rPr>
                <w:rFonts w:ascii="宋体" w:hAnsi="宋体" w:cs="宋体" w:eastAsia="宋体" w:hint="default"/>
                <w:sz w:val="18"/>
                <w:szCs w:val="18"/>
              </w:rPr>
              <w:t>乙型肝炎病毒</w:t>
            </w:r>
            <w:r>
              <w:rPr>
                <w:rFonts w:ascii="Times New Roman" w:hAnsi="Times New Roman" w:cs="Times New Roman" w:eastAsia="Times New Roman" w:hint="default"/>
                <w:sz w:val="18"/>
                <w:szCs w:val="18"/>
              </w:rPr>
              <w:t>e</w:t>
            </w:r>
            <w:r>
              <w:rPr>
                <w:rFonts w:ascii="宋体" w:hAnsi="宋体" w:cs="宋体" w:eastAsia="宋体" w:hint="default"/>
                <w:sz w:val="18"/>
                <w:szCs w:val="18"/>
              </w:rPr>
              <w:t>抗原检测 试剂盒（酶联免疫法）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96" w:right="225"/>
              <w:jc w:val="left"/>
              <w:rPr>
                <w:rFonts w:ascii="宋体" w:hAnsi="宋体" w:cs="宋体" w:eastAsia="宋体" w:hint="default"/>
                <w:sz w:val="18"/>
                <w:szCs w:val="18"/>
              </w:rPr>
            </w:pPr>
            <w:r>
              <w:rPr>
                <w:rFonts w:ascii="宋体" w:hAnsi="宋体" w:cs="宋体" w:eastAsia="宋体" w:hint="default"/>
                <w:sz w:val="18"/>
                <w:szCs w:val="18"/>
              </w:rPr>
              <w:t>本产品用于体外定性检测人血清或血浆 中的乙型肝炎病毒</w:t>
            </w:r>
            <w:r>
              <w:rPr>
                <w:rFonts w:ascii="Times New Roman" w:hAnsi="Times New Roman" w:cs="Times New Roman" w:eastAsia="Times New Roman" w:hint="default"/>
                <w:sz w:val="18"/>
                <w:szCs w:val="18"/>
              </w:rPr>
              <w:t>e</w:t>
            </w:r>
            <w:r>
              <w:rPr>
                <w:rFonts w:ascii="宋体" w:hAnsi="宋体" w:cs="宋体" w:eastAsia="宋体" w:hint="default"/>
                <w:sz w:val="18"/>
                <w:szCs w:val="18"/>
              </w:rPr>
              <w:t>抗原（</w:t>
            </w:r>
            <w:r>
              <w:rPr>
                <w:rFonts w:ascii="Times New Roman" w:hAnsi="Times New Roman" w:cs="Times New Roman" w:eastAsia="Times New Roman" w:hint="default"/>
                <w:sz w:val="18"/>
                <w:szCs w:val="18"/>
              </w:rPr>
              <w:t>HBeAg</w:t>
            </w:r>
            <w:r>
              <w:rPr>
                <w:rFonts w:ascii="宋体" w:hAnsi="宋体" w:cs="宋体" w:eastAsia="宋体" w:hint="default"/>
                <w:sz w:val="18"/>
                <w:szCs w:val="18"/>
              </w:rPr>
              <w:t>）。</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 w:right="0"/>
              <w:jc w:val="center"/>
              <w:rPr>
                <w:rFonts w:ascii="Times New Roman" w:hAnsi="Times New Roman" w:cs="Times New Roman" w:eastAsia="Times New Roman" w:hint="default"/>
                <w:sz w:val="18"/>
                <w:szCs w:val="18"/>
              </w:rPr>
            </w:pPr>
            <w:r>
              <w:rPr>
                <w:rFonts w:ascii="Times New Roman"/>
                <w:sz w:val="18"/>
              </w:rPr>
              <w:t>2023/1/2</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883"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16" w:right="0"/>
              <w:jc w:val="left"/>
              <w:rPr>
                <w:rFonts w:ascii="Times New Roman" w:hAnsi="Times New Roman" w:cs="Times New Roman" w:eastAsia="Times New Roman" w:hint="default"/>
                <w:sz w:val="18"/>
                <w:szCs w:val="18"/>
              </w:rPr>
            </w:pPr>
            <w:r>
              <w:rPr>
                <w:rFonts w:ascii="Times New Roman"/>
                <w:sz w:val="18"/>
              </w:rPr>
              <w:t>3</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0"/>
              <w:ind w:left="98" w:right="269"/>
              <w:jc w:val="left"/>
              <w:rPr>
                <w:rFonts w:ascii="宋体" w:hAnsi="宋体" w:cs="宋体" w:eastAsia="宋体" w:hint="default"/>
                <w:sz w:val="18"/>
                <w:szCs w:val="18"/>
              </w:rPr>
            </w:pPr>
            <w:r>
              <w:rPr>
                <w:rFonts w:ascii="宋体" w:hAnsi="宋体" w:cs="宋体" w:eastAsia="宋体" w:hint="default"/>
                <w:sz w:val="18"/>
                <w:szCs w:val="18"/>
              </w:rPr>
              <w:t>乙型肝炎病毒</w:t>
            </w:r>
            <w:r>
              <w:rPr>
                <w:rFonts w:ascii="Times New Roman" w:hAnsi="Times New Roman" w:cs="Times New Roman" w:eastAsia="Times New Roman" w:hint="default"/>
                <w:sz w:val="18"/>
                <w:szCs w:val="18"/>
              </w:rPr>
              <w:t>e</w:t>
            </w:r>
            <w:r>
              <w:rPr>
                <w:rFonts w:ascii="宋体" w:hAnsi="宋体" w:cs="宋体" w:eastAsia="宋体" w:hint="default"/>
                <w:sz w:val="18"/>
                <w:szCs w:val="18"/>
              </w:rPr>
              <w:t>抗体检测 试剂盒（酶联免疫法）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96" w:right="225"/>
              <w:jc w:val="left"/>
              <w:rPr>
                <w:rFonts w:ascii="宋体" w:hAnsi="宋体" w:cs="宋体" w:eastAsia="宋体" w:hint="default"/>
                <w:sz w:val="18"/>
                <w:szCs w:val="18"/>
              </w:rPr>
            </w:pPr>
            <w:r>
              <w:rPr>
                <w:rFonts w:ascii="宋体" w:hAnsi="宋体" w:cs="宋体" w:eastAsia="宋体" w:hint="default"/>
                <w:sz w:val="18"/>
                <w:szCs w:val="18"/>
              </w:rPr>
              <w:t>本产品用于体外定性检测人血清或血浆 中的乙型肝炎病毒</w:t>
            </w:r>
            <w:r>
              <w:rPr>
                <w:rFonts w:ascii="Times New Roman" w:hAnsi="Times New Roman" w:cs="Times New Roman" w:eastAsia="Times New Roman" w:hint="default"/>
                <w:sz w:val="18"/>
                <w:szCs w:val="18"/>
              </w:rPr>
              <w:t>e</w:t>
            </w:r>
            <w:r>
              <w:rPr>
                <w:rFonts w:ascii="宋体" w:hAnsi="宋体" w:cs="宋体" w:eastAsia="宋体" w:hint="default"/>
                <w:sz w:val="18"/>
                <w:szCs w:val="18"/>
              </w:rPr>
              <w:t>抗体（抗</w:t>
            </w:r>
            <w:r>
              <w:rPr>
                <w:rFonts w:ascii="Times New Roman" w:hAnsi="Times New Roman" w:cs="Times New Roman" w:eastAsia="Times New Roman" w:hint="default"/>
                <w:sz w:val="18"/>
                <w:szCs w:val="18"/>
              </w:rPr>
              <w:t>-HBe</w:t>
            </w:r>
            <w:r>
              <w:rPr>
                <w:rFonts w:ascii="宋体" w:hAnsi="宋体" w:cs="宋体" w:eastAsia="宋体" w:hint="default"/>
                <w:sz w:val="18"/>
                <w:szCs w:val="18"/>
              </w:rPr>
              <w:t>）。</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 w:right="0"/>
              <w:jc w:val="center"/>
              <w:rPr>
                <w:rFonts w:ascii="Times New Roman" w:hAnsi="Times New Roman" w:cs="Times New Roman" w:eastAsia="Times New Roman" w:hint="default"/>
                <w:sz w:val="18"/>
                <w:szCs w:val="18"/>
              </w:rPr>
            </w:pPr>
            <w:r>
              <w:rPr>
                <w:rFonts w:ascii="Times New Roman"/>
                <w:sz w:val="18"/>
              </w:rPr>
              <w:t>2023/1/2</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4</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316" w:lineRule="auto"/>
              <w:ind w:left="98" w:right="168"/>
              <w:jc w:val="left"/>
              <w:rPr>
                <w:rFonts w:ascii="宋体" w:hAnsi="宋体" w:cs="宋体" w:eastAsia="宋体" w:hint="default"/>
                <w:sz w:val="18"/>
                <w:szCs w:val="18"/>
              </w:rPr>
            </w:pPr>
            <w:r>
              <w:rPr>
                <w:rFonts w:ascii="宋体" w:hAnsi="宋体" w:cs="宋体" w:eastAsia="宋体" w:hint="default"/>
                <w:sz w:val="18"/>
                <w:szCs w:val="18"/>
              </w:rPr>
              <w:t>乙型肝炎病毒核心抗体检 测试剂盒（酶联免疫法）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3"/>
              <w:ind w:left="96" w:right="225"/>
              <w:jc w:val="left"/>
              <w:rPr>
                <w:rFonts w:ascii="宋体" w:hAnsi="宋体" w:cs="宋体" w:eastAsia="宋体" w:hint="default"/>
                <w:sz w:val="18"/>
                <w:szCs w:val="18"/>
              </w:rPr>
            </w:pPr>
            <w:r>
              <w:rPr>
                <w:rFonts w:ascii="宋体" w:hAnsi="宋体" w:cs="宋体" w:eastAsia="宋体" w:hint="default"/>
                <w:sz w:val="18"/>
                <w:szCs w:val="18"/>
              </w:rPr>
              <w:t>本产品用于体外定性检测人血清或血浆 中的乙型肝炎病毒核心抗体（抗</w:t>
            </w:r>
            <w:r>
              <w:rPr>
                <w:rFonts w:ascii="Times New Roman" w:hAnsi="Times New Roman" w:cs="Times New Roman" w:eastAsia="Times New Roman" w:hint="default"/>
                <w:sz w:val="18"/>
                <w:szCs w:val="18"/>
              </w:rPr>
              <w:t>- HBc</w:t>
            </w:r>
            <w:r>
              <w:rPr>
                <w:rFonts w:ascii="宋体" w:hAnsi="宋体" w:cs="宋体" w:eastAsia="宋体" w:hint="default"/>
                <w:sz w:val="18"/>
                <w:szCs w:val="18"/>
              </w:rPr>
              <w:t>）。</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2023/1/2</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883"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16" w:right="0"/>
              <w:jc w:val="left"/>
              <w:rPr>
                <w:rFonts w:ascii="Times New Roman" w:hAnsi="Times New Roman" w:cs="Times New Roman" w:eastAsia="Times New Roman" w:hint="default"/>
                <w:sz w:val="18"/>
                <w:szCs w:val="18"/>
              </w:rPr>
            </w:pPr>
            <w:r>
              <w:rPr>
                <w:rFonts w:ascii="Times New Roman"/>
                <w:sz w:val="18"/>
              </w:rPr>
              <w:t>5</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0"/>
              <w:ind w:left="98" w:right="130"/>
              <w:jc w:val="left"/>
              <w:rPr>
                <w:rFonts w:ascii="宋体" w:hAnsi="宋体" w:cs="宋体" w:eastAsia="宋体" w:hint="default"/>
                <w:sz w:val="18"/>
                <w:szCs w:val="18"/>
              </w:rPr>
            </w:pPr>
            <w:r>
              <w:rPr>
                <w:rFonts w:ascii="Times New Roman" w:hAnsi="Times New Roman" w:cs="Times New Roman" w:eastAsia="Times New Roman" w:hint="default"/>
                <w:sz w:val="18"/>
                <w:szCs w:val="18"/>
              </w:rPr>
              <w:t>SARS</w:t>
            </w:r>
            <w:r>
              <w:rPr>
                <w:rFonts w:ascii="宋体" w:hAnsi="宋体" w:cs="宋体" w:eastAsia="宋体" w:hint="default"/>
                <w:sz w:val="18"/>
                <w:szCs w:val="18"/>
              </w:rPr>
              <w:t>冠状病毒</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 测试剂盒（酶联免疫法）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96" w:right="225"/>
              <w:jc w:val="left"/>
              <w:rPr>
                <w:rFonts w:ascii="宋体" w:hAnsi="宋体" w:cs="宋体" w:eastAsia="宋体" w:hint="default"/>
                <w:sz w:val="18"/>
                <w:szCs w:val="18"/>
              </w:rPr>
            </w:pPr>
            <w:r>
              <w:rPr>
                <w:rFonts w:ascii="宋体" w:hAnsi="宋体" w:cs="宋体" w:eastAsia="宋体" w:hint="default"/>
                <w:sz w:val="18"/>
                <w:szCs w:val="18"/>
              </w:rPr>
              <w:t>本产品用于体外定性检测人血清或血浆 中的抗</w:t>
            </w:r>
            <w:r>
              <w:rPr>
                <w:rFonts w:ascii="Times New Roman" w:hAnsi="Times New Roman" w:cs="Times New Roman" w:eastAsia="Times New Roman" w:hint="default"/>
                <w:sz w:val="18"/>
                <w:szCs w:val="18"/>
              </w:rPr>
              <w:t>SARS</w:t>
            </w:r>
            <w:r>
              <w:rPr>
                <w:rFonts w:ascii="宋体" w:hAnsi="宋体" w:cs="宋体" w:eastAsia="宋体" w:hint="default"/>
                <w:sz w:val="18"/>
                <w:szCs w:val="18"/>
              </w:rPr>
              <w:t>冠状病毒</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2019/6/17</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883"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16" w:right="0"/>
              <w:jc w:val="left"/>
              <w:rPr>
                <w:rFonts w:ascii="Times New Roman" w:hAnsi="Times New Roman" w:cs="Times New Roman" w:eastAsia="Times New Roman" w:hint="default"/>
                <w:sz w:val="18"/>
                <w:szCs w:val="18"/>
              </w:rPr>
            </w:pPr>
            <w:r>
              <w:rPr>
                <w:rFonts w:ascii="Times New Roman"/>
                <w:sz w:val="18"/>
              </w:rPr>
              <w:t>6</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0"/>
              <w:ind w:left="98"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SARS</w:t>
            </w:r>
            <w:r>
              <w:rPr>
                <w:rFonts w:ascii="宋体" w:hAnsi="宋体" w:cs="宋体" w:eastAsia="宋体" w:hint="default"/>
                <w:sz w:val="18"/>
                <w:szCs w:val="18"/>
              </w:rPr>
              <w:t>冠状病毒</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抗体检 测试剂盒（酶联免疫法）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96" w:right="225"/>
              <w:jc w:val="left"/>
              <w:rPr>
                <w:rFonts w:ascii="宋体" w:hAnsi="宋体" w:cs="宋体" w:eastAsia="宋体" w:hint="default"/>
                <w:sz w:val="18"/>
                <w:szCs w:val="18"/>
              </w:rPr>
            </w:pPr>
            <w:r>
              <w:rPr>
                <w:rFonts w:ascii="宋体" w:hAnsi="宋体" w:cs="宋体" w:eastAsia="宋体" w:hint="default"/>
                <w:sz w:val="18"/>
                <w:szCs w:val="18"/>
              </w:rPr>
              <w:t>本产品用于体外定性检测人血清或血浆 中的抗</w:t>
            </w:r>
            <w:r>
              <w:rPr>
                <w:rFonts w:ascii="Times New Roman" w:hAnsi="Times New Roman" w:cs="Times New Roman" w:eastAsia="Times New Roman" w:hint="default"/>
                <w:sz w:val="18"/>
                <w:szCs w:val="18"/>
              </w:rPr>
              <w:t>SARS</w:t>
            </w:r>
            <w:r>
              <w:rPr>
                <w:rFonts w:ascii="宋体" w:hAnsi="宋体" w:cs="宋体" w:eastAsia="宋体" w:hint="default"/>
                <w:sz w:val="18"/>
                <w:szCs w:val="18"/>
              </w:rPr>
              <w:t>冠状病毒</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2019/6/17</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88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16" w:right="0"/>
              <w:jc w:val="left"/>
              <w:rPr>
                <w:rFonts w:ascii="Times New Roman" w:hAnsi="Times New Roman" w:cs="Times New Roman" w:eastAsia="Times New Roman" w:hint="default"/>
                <w:sz w:val="18"/>
                <w:szCs w:val="18"/>
              </w:rPr>
            </w:pPr>
            <w:r>
              <w:rPr>
                <w:rFonts w:ascii="Times New Roman"/>
                <w:sz w:val="18"/>
              </w:rPr>
              <w:t>7</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3"/>
              <w:ind w:left="98" w:right="135"/>
              <w:jc w:val="left"/>
              <w:rPr>
                <w:rFonts w:ascii="宋体" w:hAnsi="宋体" w:cs="宋体" w:eastAsia="宋体" w:hint="default"/>
                <w:sz w:val="18"/>
                <w:szCs w:val="18"/>
              </w:rPr>
            </w:pPr>
            <w:r>
              <w:rPr>
                <w:rFonts w:ascii="Times New Roman" w:hAnsi="Times New Roman" w:cs="Times New Roman" w:eastAsia="Times New Roman" w:hint="default"/>
                <w:sz w:val="18"/>
                <w:szCs w:val="18"/>
              </w:rPr>
              <w:t>EB</w:t>
            </w:r>
            <w:r>
              <w:rPr>
                <w:rFonts w:ascii="宋体" w:hAnsi="宋体" w:cs="宋体" w:eastAsia="宋体" w:hint="default"/>
                <w:sz w:val="18"/>
                <w:szCs w:val="18"/>
              </w:rPr>
              <w:t>病毒</w:t>
            </w:r>
            <w:r>
              <w:rPr>
                <w:rFonts w:ascii="Times New Roman" w:hAnsi="Times New Roman" w:cs="Times New Roman" w:eastAsia="Times New Roman" w:hint="default"/>
                <w:sz w:val="18"/>
                <w:szCs w:val="18"/>
              </w:rPr>
              <w:t>VCA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IgA</w:t>
            </w:r>
            <w:r>
              <w:rPr>
                <w:rFonts w:ascii="宋体" w:hAnsi="宋体" w:cs="宋体" w:eastAsia="宋体" w:hint="default"/>
                <w:sz w:val="18"/>
                <w:szCs w:val="18"/>
              </w:rPr>
              <w:t>抗体诊断 试剂盒（酶联免疫法）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left="96" w:right="0"/>
              <w:jc w:val="left"/>
              <w:rPr>
                <w:rFonts w:ascii="宋体" w:hAnsi="宋体" w:cs="宋体" w:eastAsia="宋体" w:hint="default"/>
                <w:sz w:val="18"/>
                <w:szCs w:val="18"/>
              </w:rPr>
            </w:pPr>
            <w:r>
              <w:rPr>
                <w:rFonts w:ascii="宋体" w:hAnsi="宋体" w:cs="宋体" w:eastAsia="宋体" w:hint="default"/>
                <w:sz w:val="18"/>
                <w:szCs w:val="18"/>
              </w:rPr>
              <w:t>本试剂盒用于定性检测人血清或血浆中</w:t>
            </w:r>
          </w:p>
          <w:p>
            <w:pPr>
              <w:pStyle w:val="TableParagraph"/>
              <w:spacing w:line="240" w:lineRule="auto" w:before="76"/>
              <w:ind w:left="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EBV VCA</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IgA</w:t>
            </w:r>
            <w:r>
              <w:rPr>
                <w:rFonts w:ascii="宋体" w:hAnsi="宋体" w:cs="宋体" w:eastAsia="宋体" w:hint="default"/>
                <w:sz w:val="18"/>
                <w:szCs w:val="18"/>
              </w:rPr>
              <w:t>抗体。</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2021/8/30</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5"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8</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8" w:right="168"/>
              <w:jc w:val="left"/>
              <w:rPr>
                <w:rFonts w:ascii="宋体" w:hAnsi="宋体" w:cs="宋体" w:eastAsia="宋体" w:hint="default"/>
                <w:sz w:val="18"/>
                <w:szCs w:val="18"/>
              </w:rPr>
            </w:pPr>
            <w:r>
              <w:rPr>
                <w:rFonts w:ascii="宋体" w:hAnsi="宋体" w:cs="宋体" w:eastAsia="宋体" w:hint="default"/>
                <w:sz w:val="18"/>
                <w:szCs w:val="18"/>
              </w:rPr>
              <w:t>六项肿瘤标志物测定试剂 盒（微阵列酶联免疫法）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0"/>
              <w:ind w:left="96" w:right="173"/>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该产品用于体外定量检测人血清或</w:t>
            </w:r>
            <w:r>
              <w:rPr>
                <w:rFonts w:ascii="Times New Roman" w:hAnsi="Times New Roman" w:cs="Times New Roman" w:eastAsia="Times New Roman" w:hint="default"/>
                <w:sz w:val="18"/>
                <w:szCs w:val="18"/>
              </w:rPr>
              <w:t>/</w:t>
            </w:r>
            <w:r>
              <w:rPr>
                <w:rFonts w:ascii="宋体" w:hAnsi="宋体" w:cs="宋体" w:eastAsia="宋体" w:hint="default"/>
                <w:sz w:val="18"/>
                <w:szCs w:val="18"/>
              </w:rPr>
              <w:t>和血 浆中六项肿瘤标志物（</w:t>
            </w:r>
            <w:r>
              <w:rPr>
                <w:rFonts w:ascii="Times New Roman" w:hAnsi="Times New Roman" w:cs="Times New Roman" w:eastAsia="Times New Roman" w:hint="default"/>
                <w:sz w:val="18"/>
                <w:szCs w:val="18"/>
              </w:rPr>
              <w:t>AFP</w:t>
            </w:r>
            <w:r>
              <w:rPr>
                <w:rFonts w:ascii="宋体" w:hAnsi="宋体" w:cs="宋体" w:eastAsia="宋体" w:hint="default"/>
                <w:sz w:val="18"/>
                <w:szCs w:val="18"/>
              </w:rPr>
              <w:t>、</w:t>
            </w:r>
            <w:r>
              <w:rPr>
                <w:rFonts w:ascii="Times New Roman" w:hAnsi="Times New Roman" w:cs="Times New Roman" w:eastAsia="Times New Roman" w:hint="default"/>
                <w:sz w:val="18"/>
                <w:szCs w:val="18"/>
              </w:rPr>
              <w:t>CEA</w:t>
            </w:r>
            <w:r>
              <w:rPr>
                <w:rFonts w:ascii="宋体" w:hAnsi="宋体" w:cs="宋体" w:eastAsia="宋体" w:hint="default"/>
                <w:sz w:val="18"/>
                <w:szCs w:val="18"/>
              </w:rPr>
              <w:t>、 </w:t>
            </w:r>
            <w:r>
              <w:rPr>
                <w:rFonts w:ascii="Times New Roman" w:hAnsi="Times New Roman" w:cs="Times New Roman" w:eastAsia="Times New Roman" w:hint="default"/>
                <w:sz w:val="18"/>
                <w:szCs w:val="18"/>
              </w:rPr>
              <w:t>PSA</w:t>
            </w:r>
            <w:r>
              <w:rPr>
                <w:rFonts w:ascii="宋体" w:hAnsi="宋体" w:cs="宋体" w:eastAsia="宋体" w:hint="default"/>
                <w:sz w:val="18"/>
                <w:szCs w:val="18"/>
              </w:rPr>
              <w:t>、</w:t>
            </w:r>
            <w:r>
              <w:rPr>
                <w:rFonts w:ascii="Times New Roman" w:hAnsi="Times New Roman" w:cs="Times New Roman" w:eastAsia="Times New Roman" w:hint="default"/>
                <w:sz w:val="18"/>
                <w:szCs w:val="18"/>
              </w:rPr>
              <w:t>CA125</w:t>
            </w:r>
            <w:r>
              <w:rPr>
                <w:rFonts w:ascii="宋体" w:hAnsi="宋体" w:cs="宋体" w:eastAsia="宋体" w:hint="default"/>
                <w:sz w:val="18"/>
                <w:szCs w:val="18"/>
              </w:rPr>
              <w:t>、</w:t>
            </w:r>
            <w:r>
              <w:rPr>
                <w:rFonts w:ascii="Times New Roman" w:hAnsi="Times New Roman" w:cs="Times New Roman" w:eastAsia="Times New Roman" w:hint="default"/>
                <w:sz w:val="18"/>
                <w:szCs w:val="18"/>
              </w:rPr>
              <w:t>CA19-9</w:t>
            </w:r>
            <w:r>
              <w:rPr>
                <w:rFonts w:ascii="宋体" w:hAnsi="宋体" w:cs="宋体" w:eastAsia="宋体" w:hint="default"/>
                <w:sz w:val="18"/>
                <w:szCs w:val="18"/>
              </w:rPr>
              <w:t>和</w:t>
            </w:r>
            <w:r>
              <w:rPr>
                <w:rFonts w:ascii="Times New Roman" w:hAnsi="Times New Roman" w:cs="Times New Roman" w:eastAsia="Times New Roman" w:hint="default"/>
                <w:sz w:val="18"/>
                <w:szCs w:val="18"/>
              </w:rPr>
              <w:t>CA15-3</w:t>
            </w:r>
            <w:r>
              <w:rPr>
                <w:rFonts w:ascii="宋体" w:hAnsi="宋体" w:cs="宋体" w:eastAsia="宋体" w:hint="default"/>
                <w:sz w:val="18"/>
                <w:szCs w:val="18"/>
              </w:rPr>
              <w:t>）。</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2020/11/30</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883"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16" w:right="0"/>
              <w:jc w:val="left"/>
              <w:rPr>
                <w:rFonts w:ascii="Times New Roman" w:hAnsi="Times New Roman" w:cs="Times New Roman" w:eastAsia="Times New Roman" w:hint="default"/>
                <w:sz w:val="18"/>
                <w:szCs w:val="18"/>
              </w:rPr>
            </w:pPr>
            <w:r>
              <w:rPr>
                <w:rFonts w:ascii="Times New Roman"/>
                <w:sz w:val="18"/>
              </w:rPr>
              <w:t>9</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98" w:right="168"/>
              <w:jc w:val="left"/>
              <w:rPr>
                <w:rFonts w:ascii="宋体" w:hAnsi="宋体" w:cs="宋体" w:eastAsia="宋体" w:hint="default"/>
                <w:sz w:val="18"/>
                <w:szCs w:val="18"/>
              </w:rPr>
            </w:pPr>
            <w:r>
              <w:rPr>
                <w:rFonts w:ascii="宋体" w:hAnsi="宋体" w:cs="宋体" w:eastAsia="宋体" w:hint="default"/>
                <w:sz w:val="18"/>
                <w:szCs w:val="18"/>
              </w:rPr>
              <w:t>梅毒螺旋体抗体检测试剂 盒（胶体金法）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0"/>
              <w:ind w:left="96" w:right="122"/>
              <w:jc w:val="left"/>
              <w:rPr>
                <w:rFonts w:ascii="宋体" w:hAnsi="宋体" w:cs="宋体" w:eastAsia="宋体" w:hint="default"/>
                <w:sz w:val="18"/>
                <w:szCs w:val="18"/>
              </w:rPr>
            </w:pPr>
            <w:r>
              <w:rPr>
                <w:rFonts w:ascii="宋体" w:hAnsi="宋体" w:cs="宋体" w:eastAsia="宋体" w:hint="default"/>
                <w:sz w:val="18"/>
                <w:szCs w:val="18"/>
              </w:rPr>
              <w:t>该产品用于定性检测全血</w:t>
            </w:r>
            <w:r>
              <w:rPr>
                <w:rFonts w:ascii="Times New Roman" w:hAnsi="Times New Roman" w:cs="Times New Roman" w:eastAsia="Times New Roman" w:hint="default"/>
                <w:sz w:val="18"/>
                <w:szCs w:val="18"/>
              </w:rPr>
              <w:t>/</w:t>
            </w:r>
            <w:r>
              <w:rPr>
                <w:rFonts w:ascii="宋体" w:hAnsi="宋体" w:cs="宋体" w:eastAsia="宋体" w:hint="default"/>
                <w:sz w:val="18"/>
                <w:szCs w:val="18"/>
              </w:rPr>
              <w:t>血清</w:t>
            </w:r>
            <w:r>
              <w:rPr>
                <w:rFonts w:ascii="Times New Roman" w:hAnsi="Times New Roman" w:cs="Times New Roman" w:eastAsia="Times New Roman" w:hint="default"/>
                <w:sz w:val="18"/>
                <w:szCs w:val="18"/>
              </w:rPr>
              <w:t>/</w:t>
            </w:r>
            <w:r>
              <w:rPr>
                <w:rFonts w:ascii="宋体" w:hAnsi="宋体" w:cs="宋体" w:eastAsia="宋体" w:hint="default"/>
                <w:sz w:val="18"/>
                <w:szCs w:val="18"/>
              </w:rPr>
              <w:t>血浆中是 否含有特异性梅毒螺旋体抗体。</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2022/6/28</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10</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left="98" w:right="0"/>
              <w:jc w:val="left"/>
              <w:rPr>
                <w:rFonts w:ascii="宋体" w:hAnsi="宋体" w:cs="宋体" w:eastAsia="宋体" w:hint="default"/>
                <w:sz w:val="18"/>
                <w:szCs w:val="18"/>
              </w:rPr>
            </w:pPr>
            <w:r>
              <w:rPr>
                <w:rFonts w:ascii="宋体" w:hAnsi="宋体" w:cs="宋体" w:eastAsia="宋体" w:hint="default"/>
                <w:sz w:val="18"/>
                <w:szCs w:val="18"/>
              </w:rPr>
              <w:t>甲型 </w:t>
            </w:r>
            <w:r>
              <w:rPr>
                <w:rFonts w:ascii="Times New Roman" w:hAnsi="Times New Roman" w:cs="Times New Roman" w:eastAsia="Times New Roman" w:hint="default"/>
                <w:sz w:val="18"/>
                <w:szCs w:val="18"/>
              </w:rPr>
              <w:t>H1N1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流感病毒</w:t>
            </w:r>
          </w:p>
          <w:p>
            <w:pPr>
              <w:pStyle w:val="TableParagraph"/>
              <w:spacing w:line="300" w:lineRule="auto" w:before="63"/>
              <w:ind w:left="98" w:right="14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宋体" w:hAnsi="宋体" w:cs="宋体" w:eastAsia="宋体" w:hint="default"/>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核酸检测 试剂盒（荧光 </w:t>
            </w:r>
            <w:r>
              <w:rPr>
                <w:rFonts w:ascii="Times New Roman" w:hAnsi="Times New Roman" w:cs="Times New Roman" w:eastAsia="Times New Roman" w:hint="default"/>
                <w:sz w:val="18"/>
                <w:szCs w:val="18"/>
              </w:rPr>
              <w:t>PCR  </w:t>
            </w:r>
            <w:r>
              <w:rPr>
                <w:rFonts w:ascii="宋体" w:hAnsi="宋体" w:cs="宋体" w:eastAsia="宋体" w:hint="default"/>
                <w:sz w:val="18"/>
                <w:szCs w:val="18"/>
              </w:rPr>
              <w:t>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00" w:lineRule="auto"/>
              <w:ind w:left="96" w:right="144"/>
              <w:jc w:val="left"/>
              <w:rPr>
                <w:rFonts w:ascii="宋体" w:hAnsi="宋体" w:cs="宋体" w:eastAsia="宋体" w:hint="default"/>
                <w:sz w:val="18"/>
                <w:szCs w:val="18"/>
              </w:rPr>
            </w:pPr>
            <w:r>
              <w:rPr>
                <w:rFonts w:ascii="宋体" w:hAnsi="宋体" w:cs="宋体" w:eastAsia="宋体" w:hint="default"/>
                <w:sz w:val="18"/>
                <w:szCs w:val="18"/>
              </w:rPr>
              <w:t>对甲型</w:t>
            </w:r>
            <w:r>
              <w:rPr>
                <w:rFonts w:ascii="Times New Roman" w:hAnsi="Times New Roman" w:cs="Times New Roman" w:eastAsia="Times New Roman" w:hint="default"/>
                <w:sz w:val="18"/>
                <w:szCs w:val="18"/>
              </w:rPr>
              <w:t>H1N1</w:t>
            </w:r>
            <w:r>
              <w:rPr>
                <w:rFonts w:ascii="宋体" w:hAnsi="宋体" w:cs="宋体" w:eastAsia="宋体" w:hint="default"/>
                <w:sz w:val="18"/>
                <w:szCs w:val="18"/>
              </w:rPr>
              <w:t>流感病毒疑似患者的鼻咽拭 子样本的核酸实现定性检测。</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2022/6/27</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5"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11</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125"/>
              <w:jc w:val="both"/>
              <w:rPr>
                <w:rFonts w:ascii="宋体" w:hAnsi="宋体" w:cs="宋体" w:eastAsia="宋体" w:hint="default"/>
                <w:sz w:val="18"/>
                <w:szCs w:val="18"/>
              </w:rPr>
            </w:pPr>
            <w:r>
              <w:rPr>
                <w:rFonts w:ascii="宋体" w:hAnsi="宋体" w:cs="宋体" w:eastAsia="宋体" w:hint="default"/>
                <w:sz w:val="18"/>
                <w:szCs w:val="18"/>
              </w:rPr>
              <w:t>甲型流感病毒通用型核酸 检测试剂盒（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 针法）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对甲型流感病毒疑似患者的鼻咽拭子样 本的核酸实现定性检测。</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2022/6/27</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507"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12</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7"/>
              <w:jc w:val="center"/>
              <w:rPr>
                <w:rFonts w:ascii="Times New Roman" w:hAnsi="Times New Roman" w:cs="Times New Roman" w:eastAsia="Times New Roman" w:hint="default"/>
                <w:sz w:val="18"/>
                <w:szCs w:val="18"/>
              </w:rPr>
            </w:pPr>
            <w:r>
              <w:rPr>
                <w:rFonts w:ascii="宋体" w:hAnsi="宋体" w:cs="宋体" w:eastAsia="宋体" w:hint="default"/>
                <w:sz w:val="18"/>
                <w:szCs w:val="18"/>
              </w:rPr>
              <w:t>生物芯片阅读仪</w:t>
            </w:r>
            <w:r>
              <w:rPr>
                <w:rFonts w:ascii="Times New Roman" w:hAnsi="Times New Roman" w:cs="Times New Roman" w:eastAsia="Times New Roman" w:hint="default"/>
                <w:sz w:val="18"/>
                <w:szCs w:val="18"/>
              </w:rPr>
              <w:t>(AE-1000)</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96" w:right="225"/>
              <w:jc w:val="both"/>
              <w:rPr>
                <w:rFonts w:ascii="宋体" w:hAnsi="宋体" w:cs="宋体" w:eastAsia="宋体" w:hint="default"/>
                <w:sz w:val="18"/>
                <w:szCs w:val="18"/>
              </w:rPr>
            </w:pPr>
            <w:r>
              <w:rPr>
                <w:rFonts w:ascii="宋体" w:hAnsi="宋体" w:cs="宋体" w:eastAsia="宋体" w:hint="default"/>
                <w:sz w:val="18"/>
                <w:szCs w:val="18"/>
              </w:rPr>
              <w:t>该产品与本公司已上市的微阵列酶联免 疫法的体外诊断试剂配套使用，适用于 临床机构对人类体液中的被分析物进行 检测。</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2019/7/23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57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13</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3"/>
              <w:jc w:val="center"/>
              <w:rPr>
                <w:rFonts w:ascii="宋体" w:hAnsi="宋体" w:cs="宋体" w:eastAsia="宋体" w:hint="default"/>
                <w:sz w:val="18"/>
                <w:szCs w:val="18"/>
              </w:rPr>
            </w:pPr>
            <w:r>
              <w:rPr>
                <w:rFonts w:ascii="宋体" w:hAnsi="宋体" w:cs="宋体" w:eastAsia="宋体" w:hint="default"/>
                <w:sz w:val="18"/>
                <w:szCs w:val="18"/>
              </w:rPr>
              <w:t>自身免疫性疾病</w:t>
            </w:r>
            <w:r>
              <w:rPr>
                <w:rFonts w:ascii="Times New Roman" w:hAnsi="Times New Roman" w:cs="Times New Roman" w:eastAsia="Times New Roman" w:hint="default"/>
                <w:sz w:val="18"/>
                <w:szCs w:val="18"/>
              </w:rPr>
              <w:t>ENA</w:t>
            </w:r>
            <w:r>
              <w:rPr>
                <w:rFonts w:ascii="宋体" w:hAnsi="宋体" w:cs="宋体" w:eastAsia="宋体" w:hint="default"/>
                <w:sz w:val="18"/>
                <w:szCs w:val="18"/>
              </w:rPr>
              <w:t>抗体</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本试剂盒可用于体外定性检测人血清中</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2020/11/12</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bl>
    <w:p>
      <w:pPr>
        <w:spacing w:after="0" w:line="240" w:lineRule="auto"/>
        <w:jc w:val="center"/>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543"/>
        <w:gridCol w:w="2269"/>
        <w:gridCol w:w="710"/>
        <w:gridCol w:w="3401"/>
        <w:gridCol w:w="1381"/>
        <w:gridCol w:w="1289"/>
      </w:tblGrid>
      <w:tr>
        <w:trPr>
          <w:trHeight w:val="88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70" w:right="17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63" w:right="161"/>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89"/>
                <w:sz w:val="18"/>
                <w:szCs w:val="18"/>
              </w:rPr>
              <w:t> </w:t>
            </w:r>
            <w:r>
              <w:rPr>
                <w:rFonts w:ascii="宋体" w:hAnsi="宋体" w:cs="宋体" w:eastAsia="宋体" w:hint="default"/>
                <w:b/>
                <w:bCs/>
                <w:sz w:val="18"/>
                <w:szCs w:val="18"/>
              </w:rPr>
              <w:t>分类</w:t>
            </w:r>
            <w:r>
              <w:rPr>
                <w:rFonts w:ascii="宋体" w:hAnsi="宋体" w:cs="宋体" w:eastAsia="宋体" w:hint="default"/>
                <w:sz w:val="18"/>
                <w:szCs w:val="18"/>
              </w:rPr>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注册证有效期</w:t>
            </w:r>
            <w:r>
              <w:rPr>
                <w:rFonts w:ascii="宋体" w:hAnsi="宋体" w:cs="宋体" w:eastAsia="宋体" w:hint="default"/>
                <w:sz w:val="18"/>
                <w:szCs w:val="18"/>
              </w:rPr>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1390" w:hRule="exact"/>
        </w:trPr>
        <w:tc>
          <w:tcPr>
            <w:tcW w:w="543" w:type="dxa"/>
            <w:tcBorders>
              <w:top w:val="single" w:sz="8" w:space="0" w:color="000000"/>
              <w:left w:val="single" w:sz="8" w:space="0" w:color="000000"/>
              <w:bottom w:val="single" w:sz="8" w:space="0" w:color="000000"/>
              <w:right w:val="single" w:sz="8" w:space="0" w:color="000000"/>
            </w:tcBorders>
          </w:tcPr>
          <w:p>
            <w:pP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
              <w:ind w:left="98" w:right="168"/>
              <w:jc w:val="left"/>
              <w:rPr>
                <w:rFonts w:ascii="宋体" w:hAnsi="宋体" w:cs="宋体" w:eastAsia="宋体" w:hint="default"/>
                <w:sz w:val="18"/>
                <w:szCs w:val="18"/>
              </w:rPr>
            </w:pPr>
            <w:r>
              <w:rPr>
                <w:rFonts w:ascii="宋体" w:hAnsi="宋体" w:cs="宋体" w:eastAsia="宋体" w:hint="default"/>
                <w:sz w:val="18"/>
                <w:szCs w:val="18"/>
              </w:rPr>
              <w:t>谱检测试剂盒（微阵列酶 联免疫法）</w:t>
            </w:r>
          </w:p>
        </w:tc>
        <w:tc>
          <w:tcPr>
            <w:tcW w:w="710" w:type="dxa"/>
            <w:tcBorders>
              <w:top w:val="single" w:sz="8" w:space="0" w:color="000000"/>
              <w:left w:val="single" w:sz="8" w:space="0" w:color="000000"/>
              <w:bottom w:val="single" w:sz="8" w:space="0" w:color="000000"/>
              <w:right w:val="single" w:sz="8" w:space="0" w:color="000000"/>
            </w:tcBorders>
          </w:tcPr>
          <w:p>
            <w:pP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7" w:lineRule="auto" w:before="13"/>
              <w:ind w:left="96" w:right="155"/>
              <w:jc w:val="left"/>
              <w:rPr>
                <w:rFonts w:ascii="宋体" w:hAnsi="宋体" w:cs="宋体" w:eastAsia="宋体" w:hint="default"/>
                <w:sz w:val="18"/>
                <w:szCs w:val="18"/>
              </w:rPr>
            </w:pPr>
            <w:r>
              <w:rPr>
                <w:rFonts w:ascii="宋体" w:hAnsi="宋体" w:cs="宋体" w:eastAsia="宋体" w:hint="default"/>
                <w:sz w:val="18"/>
                <w:szCs w:val="18"/>
              </w:rPr>
              <w:t>自身免疫性疾病相关的六种特异性自身 抗体（抗</w:t>
            </w:r>
            <w:r>
              <w:rPr>
                <w:rFonts w:ascii="Times New Roman" w:hAnsi="Times New Roman" w:cs="Times New Roman" w:eastAsia="Times New Roman" w:hint="default"/>
                <w:sz w:val="18"/>
                <w:szCs w:val="18"/>
              </w:rPr>
              <w:t>Sm</w:t>
            </w:r>
            <w:r>
              <w:rPr>
                <w:rFonts w:ascii="宋体" w:hAnsi="宋体" w:cs="宋体" w:eastAsia="宋体" w:hint="default"/>
                <w:sz w:val="18"/>
                <w:szCs w:val="18"/>
              </w:rPr>
              <w:t>抗体、抗</w:t>
            </w:r>
            <w:r>
              <w:rPr>
                <w:rFonts w:ascii="Times New Roman" w:hAnsi="Times New Roman" w:cs="Times New Roman" w:eastAsia="Times New Roman" w:hint="default"/>
                <w:sz w:val="18"/>
                <w:szCs w:val="18"/>
              </w:rPr>
              <w:t>nRNP/Sm</w:t>
            </w:r>
            <w:r>
              <w:rPr>
                <w:rFonts w:ascii="宋体" w:hAnsi="宋体" w:cs="宋体" w:eastAsia="宋体" w:hint="default"/>
                <w:sz w:val="18"/>
                <w:szCs w:val="18"/>
              </w:rPr>
              <w:t>抗体、抗 </w:t>
            </w:r>
            <w:r>
              <w:rPr>
                <w:rFonts w:ascii="Times New Roman" w:hAnsi="Times New Roman" w:cs="Times New Roman" w:eastAsia="Times New Roman" w:hint="default"/>
                <w:sz w:val="18"/>
                <w:szCs w:val="18"/>
              </w:rPr>
              <w:t>SS-A</w:t>
            </w:r>
            <w:r>
              <w:rPr>
                <w:rFonts w:ascii="宋体" w:hAnsi="宋体" w:cs="宋体" w:eastAsia="宋体" w:hint="default"/>
                <w:sz w:val="18"/>
                <w:szCs w:val="18"/>
              </w:rPr>
              <w:t>抗体、抗</w:t>
            </w:r>
            <w:r>
              <w:rPr>
                <w:rFonts w:ascii="Times New Roman" w:hAnsi="Times New Roman" w:cs="Times New Roman" w:eastAsia="Times New Roman" w:hint="default"/>
                <w:sz w:val="18"/>
                <w:szCs w:val="18"/>
              </w:rPr>
              <w:t>SS-B</w:t>
            </w:r>
            <w:r>
              <w:rPr>
                <w:rFonts w:ascii="宋体" w:hAnsi="宋体" w:cs="宋体" w:eastAsia="宋体" w:hint="default"/>
                <w:sz w:val="18"/>
                <w:szCs w:val="18"/>
              </w:rPr>
              <w:t>抗体、抗</w:t>
            </w:r>
            <w:r>
              <w:rPr>
                <w:rFonts w:ascii="Times New Roman" w:hAnsi="Times New Roman" w:cs="Times New Roman" w:eastAsia="Times New Roman" w:hint="default"/>
                <w:sz w:val="18"/>
                <w:szCs w:val="18"/>
              </w:rPr>
              <w:t>Scl-70</w:t>
            </w:r>
            <w:r>
              <w:rPr>
                <w:rFonts w:ascii="宋体" w:hAnsi="宋体" w:cs="宋体" w:eastAsia="宋体" w:hint="default"/>
                <w:sz w:val="18"/>
                <w:szCs w:val="18"/>
              </w:rPr>
              <w:t>抗体 和</w:t>
            </w:r>
            <w:r>
              <w:rPr>
                <w:rFonts w:ascii="Times New Roman" w:hAnsi="Times New Roman" w:cs="Times New Roman" w:eastAsia="Times New Roman" w:hint="default"/>
                <w:sz w:val="18"/>
                <w:szCs w:val="18"/>
              </w:rPr>
              <w:t>Jo-1</w:t>
            </w:r>
            <w:r>
              <w:rPr>
                <w:rFonts w:ascii="宋体" w:hAnsi="宋体" w:cs="宋体" w:eastAsia="宋体" w:hint="default"/>
                <w:sz w:val="18"/>
                <w:szCs w:val="18"/>
              </w:rPr>
              <w:t>抗体）。</w:t>
            </w:r>
          </w:p>
        </w:tc>
        <w:tc>
          <w:tcPr>
            <w:tcW w:w="1381" w:type="dxa"/>
            <w:tcBorders>
              <w:top w:val="single" w:sz="8" w:space="0" w:color="000000"/>
              <w:left w:val="single" w:sz="8" w:space="0" w:color="000000"/>
              <w:bottom w:val="single" w:sz="8" w:space="0" w:color="000000"/>
              <w:right w:val="single" w:sz="8" w:space="0" w:color="000000"/>
            </w:tcBorders>
          </w:tcPr>
          <w:p>
            <w:pPr/>
          </w:p>
        </w:tc>
        <w:tc>
          <w:tcPr>
            <w:tcW w:w="1289" w:type="dxa"/>
            <w:tcBorders>
              <w:top w:val="single" w:sz="8" w:space="0" w:color="000000"/>
              <w:left w:val="single" w:sz="8" w:space="0" w:color="000000"/>
              <w:bottom w:val="single" w:sz="8" w:space="0" w:color="000000"/>
              <w:right w:val="single" w:sz="8" w:space="0" w:color="000000"/>
            </w:tcBorders>
          </w:tcPr>
          <w:p>
            <w:pPr/>
          </w:p>
        </w:tc>
      </w:tr>
      <w:tr>
        <w:trPr>
          <w:trHeight w:val="119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14</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149"/>
              <w:jc w:val="both"/>
              <w:rPr>
                <w:rFonts w:ascii="宋体" w:hAnsi="宋体" w:cs="宋体" w:eastAsia="宋体" w:hint="default"/>
                <w:sz w:val="18"/>
                <w:szCs w:val="18"/>
              </w:rPr>
            </w:pPr>
            <w:r>
              <w:rPr>
                <w:rFonts w:ascii="宋体" w:hAnsi="宋体" w:cs="宋体" w:eastAsia="宋体" w:hint="default"/>
                <w:sz w:val="18"/>
                <w:szCs w:val="18"/>
              </w:rPr>
              <w:t>三碘甲状腺原氨酸（</w:t>
            </w:r>
            <w:r>
              <w:rPr>
                <w:rFonts w:ascii="Times New Roman" w:hAnsi="Times New Roman" w:cs="Times New Roman" w:eastAsia="Times New Roman" w:hint="default"/>
                <w:sz w:val="18"/>
                <w:szCs w:val="18"/>
              </w:rPr>
              <w:t>T3</w:t>
            </w:r>
            <w:r>
              <w:rPr>
                <w:rFonts w:ascii="宋体" w:hAnsi="宋体" w:cs="宋体" w:eastAsia="宋体" w:hint="default"/>
                <w:sz w:val="18"/>
                <w:szCs w:val="18"/>
              </w:rPr>
              <w:t>） 定量测定试剂盒（化学发 光免疫分析法）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本试剂盒用于体外定量测定人血清中三 碘甲状腺原氨酸（</w:t>
            </w:r>
            <w:r>
              <w:rPr>
                <w:rFonts w:ascii="Times New Roman" w:hAnsi="Times New Roman" w:cs="Times New Roman" w:eastAsia="Times New Roman" w:hint="default"/>
                <w:sz w:val="18"/>
                <w:szCs w:val="18"/>
              </w:rPr>
              <w:t>T3</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5"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15</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left="98" w:right="0"/>
              <w:jc w:val="left"/>
              <w:rPr>
                <w:rFonts w:ascii="宋体" w:hAnsi="宋体" w:cs="宋体" w:eastAsia="宋体" w:hint="default"/>
                <w:sz w:val="18"/>
                <w:szCs w:val="18"/>
              </w:rPr>
            </w:pPr>
            <w:r>
              <w:rPr>
                <w:rFonts w:ascii="宋体" w:hAnsi="宋体" w:cs="宋体" w:eastAsia="宋体" w:hint="default"/>
                <w:sz w:val="18"/>
                <w:szCs w:val="18"/>
              </w:rPr>
              <w:t>游离三碘甲状腺原氨酸</w:t>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FT3</w:t>
            </w:r>
            <w:r>
              <w:rPr>
                <w:rFonts w:ascii="宋体" w:hAnsi="宋体" w:cs="宋体" w:eastAsia="宋体" w:hint="default"/>
                <w:sz w:val="18"/>
                <w:szCs w:val="18"/>
              </w:rPr>
              <w:t>）定量测定试剂盒</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（化学发光免疫分析法）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本试剂盒用于体外定量测定人血清中游 离三碘甲状腺原氨酸（</w:t>
            </w:r>
            <w:r>
              <w:rPr>
                <w:rFonts w:ascii="Times New Roman" w:hAnsi="Times New Roman" w:cs="Times New Roman" w:eastAsia="Times New Roman" w:hint="default"/>
                <w:sz w:val="18"/>
                <w:szCs w:val="18"/>
              </w:rPr>
              <w:t>FT3</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16</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3"/>
              <w:ind w:left="98" w:right="149"/>
              <w:jc w:val="both"/>
              <w:rPr>
                <w:rFonts w:ascii="宋体" w:hAnsi="宋体" w:cs="宋体" w:eastAsia="宋体" w:hint="default"/>
                <w:sz w:val="18"/>
                <w:szCs w:val="18"/>
              </w:rPr>
            </w:pPr>
            <w:r>
              <w:rPr>
                <w:rFonts w:ascii="宋体" w:hAnsi="宋体" w:cs="宋体" w:eastAsia="宋体" w:hint="default"/>
                <w:sz w:val="18"/>
                <w:szCs w:val="18"/>
              </w:rPr>
              <w:t>甲状腺素（</w:t>
            </w:r>
            <w:r>
              <w:rPr>
                <w:rFonts w:ascii="Times New Roman" w:hAnsi="Times New Roman" w:cs="Times New Roman" w:eastAsia="Times New Roman" w:hint="default"/>
                <w:sz w:val="18"/>
                <w:szCs w:val="18"/>
              </w:rPr>
              <w:t>T4</w:t>
            </w:r>
            <w:r>
              <w:rPr>
                <w:rFonts w:ascii="宋体" w:hAnsi="宋体" w:cs="宋体" w:eastAsia="宋体" w:hint="default"/>
                <w:sz w:val="18"/>
                <w:szCs w:val="18"/>
              </w:rPr>
              <w:t>）定量测定 试剂盒（化学发光免疫分 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本试剂盒用于体外定量测定人血清中甲 状腺素（</w:t>
            </w:r>
            <w:r>
              <w:rPr>
                <w:rFonts w:ascii="Times New Roman" w:hAnsi="Times New Roman" w:cs="Times New Roman" w:eastAsia="Times New Roman" w:hint="default"/>
                <w:sz w:val="18"/>
                <w:szCs w:val="18"/>
              </w:rPr>
              <w:t>T4</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17</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168"/>
              <w:jc w:val="left"/>
              <w:rPr>
                <w:rFonts w:ascii="宋体" w:hAnsi="宋体" w:cs="宋体" w:eastAsia="宋体" w:hint="default"/>
                <w:sz w:val="18"/>
                <w:szCs w:val="18"/>
              </w:rPr>
            </w:pPr>
            <w:r>
              <w:rPr>
                <w:rFonts w:ascii="宋体" w:hAnsi="宋体" w:cs="宋体" w:eastAsia="宋体" w:hint="default"/>
                <w:sz w:val="18"/>
                <w:szCs w:val="18"/>
              </w:rPr>
              <w:t>游离甲状腺素（</w:t>
            </w:r>
            <w:r>
              <w:rPr>
                <w:rFonts w:ascii="Times New Roman" w:hAnsi="Times New Roman" w:cs="Times New Roman" w:eastAsia="Times New Roman" w:hint="default"/>
                <w:sz w:val="18"/>
                <w:szCs w:val="18"/>
              </w:rPr>
              <w:t>FT4</w:t>
            </w:r>
            <w:r>
              <w:rPr>
                <w:rFonts w:ascii="宋体" w:hAnsi="宋体" w:cs="宋体" w:eastAsia="宋体" w:hint="default"/>
                <w:sz w:val="18"/>
                <w:szCs w:val="18"/>
              </w:rPr>
              <w:t>）定 量测定试剂盒（化学发光 免疫分析法）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本试剂盒用于体外定量测定人血清中游 离甲状腺素（</w:t>
            </w:r>
            <w:r>
              <w:rPr>
                <w:rFonts w:ascii="Times New Roman" w:hAnsi="Times New Roman" w:cs="Times New Roman" w:eastAsia="Times New Roman" w:hint="default"/>
                <w:sz w:val="18"/>
                <w:szCs w:val="18"/>
              </w:rPr>
              <w:t>FT4</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5"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18</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168"/>
              <w:jc w:val="both"/>
              <w:rPr>
                <w:rFonts w:ascii="宋体" w:hAnsi="宋体" w:cs="宋体" w:eastAsia="宋体" w:hint="default"/>
                <w:sz w:val="18"/>
                <w:szCs w:val="18"/>
              </w:rPr>
            </w:pPr>
            <w:r>
              <w:rPr>
                <w:rFonts w:ascii="宋体" w:hAnsi="宋体" w:cs="宋体" w:eastAsia="宋体" w:hint="default"/>
                <w:sz w:val="18"/>
                <w:szCs w:val="18"/>
              </w:rPr>
              <w:t>促甲状腺素（</w:t>
            </w:r>
            <w:r>
              <w:rPr>
                <w:rFonts w:ascii="Times New Roman" w:hAnsi="Times New Roman" w:cs="Times New Roman" w:eastAsia="Times New Roman" w:hint="default"/>
                <w:sz w:val="18"/>
                <w:szCs w:val="18"/>
              </w:rPr>
              <w:t>TSH</w:t>
            </w:r>
            <w:r>
              <w:rPr>
                <w:rFonts w:ascii="宋体" w:hAnsi="宋体" w:cs="宋体" w:eastAsia="宋体" w:hint="default"/>
                <w:sz w:val="18"/>
                <w:szCs w:val="18"/>
              </w:rPr>
              <w:t>）定量 测定试剂盒（化学发光免 疫分析法）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本试剂盒用于体外定量测定人血清中促 甲状腺素（</w:t>
            </w:r>
            <w:r>
              <w:rPr>
                <w:rFonts w:ascii="Times New Roman" w:hAnsi="Times New Roman" w:cs="Times New Roman" w:eastAsia="Times New Roman" w:hint="default"/>
                <w:sz w:val="18"/>
                <w:szCs w:val="18"/>
              </w:rPr>
              <w:t>TSH</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19</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3"/>
              <w:ind w:left="98" w:right="130"/>
              <w:jc w:val="left"/>
              <w:rPr>
                <w:rFonts w:ascii="宋体" w:hAnsi="宋体" w:cs="宋体" w:eastAsia="宋体" w:hint="default"/>
                <w:sz w:val="18"/>
                <w:szCs w:val="18"/>
              </w:rPr>
            </w:pPr>
            <w:r>
              <w:rPr>
                <w:rFonts w:ascii="宋体" w:hAnsi="宋体" w:cs="宋体" w:eastAsia="宋体" w:hint="default"/>
                <w:sz w:val="18"/>
                <w:szCs w:val="18"/>
              </w:rPr>
              <w:t>抗甲状腺微粒抗体（</w:t>
            </w:r>
            <w:r>
              <w:rPr>
                <w:rFonts w:ascii="Times New Roman" w:hAnsi="Times New Roman" w:cs="Times New Roman" w:eastAsia="Times New Roman" w:hint="default"/>
                <w:sz w:val="18"/>
                <w:szCs w:val="18"/>
              </w:rPr>
              <w:t>TM-</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Ab</w:t>
            </w:r>
            <w:r>
              <w:rPr>
                <w:rFonts w:ascii="宋体" w:hAnsi="宋体" w:cs="宋体" w:eastAsia="宋体" w:hint="default"/>
                <w:sz w:val="18"/>
                <w:szCs w:val="18"/>
              </w:rPr>
              <w:t>）定量测定试剂盒（化 学发光免疫分析法）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本试剂盒用于体外定量测定人血清中抗 甲状腺微粒抗体（</w:t>
            </w:r>
            <w:r>
              <w:rPr>
                <w:rFonts w:ascii="Times New Roman" w:hAnsi="Times New Roman" w:cs="Times New Roman" w:eastAsia="Times New Roman" w:hint="default"/>
                <w:sz w:val="18"/>
                <w:szCs w:val="18"/>
              </w:rPr>
              <w:t>TM-Ab</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50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20</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left="98" w:right="0"/>
              <w:jc w:val="left"/>
              <w:rPr>
                <w:rFonts w:ascii="宋体" w:hAnsi="宋体" w:cs="宋体" w:eastAsia="宋体" w:hint="default"/>
                <w:sz w:val="18"/>
                <w:szCs w:val="18"/>
              </w:rPr>
            </w:pPr>
            <w:r>
              <w:rPr>
                <w:rFonts w:ascii="宋体" w:hAnsi="宋体" w:cs="宋体" w:eastAsia="宋体" w:hint="default"/>
                <w:sz w:val="18"/>
                <w:szCs w:val="18"/>
              </w:rPr>
              <w:t>抗甲状腺过氧化物酶抗体</w:t>
            </w:r>
          </w:p>
          <w:p>
            <w:pPr>
              <w:pStyle w:val="TableParagraph"/>
              <w:spacing w:line="309" w:lineRule="auto" w:before="77"/>
              <w:ind w:left="98" w:right="16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TPO-Ab</w:t>
            </w:r>
            <w:r>
              <w:rPr>
                <w:rFonts w:ascii="宋体" w:hAnsi="宋体" w:cs="宋体" w:eastAsia="宋体" w:hint="default"/>
                <w:sz w:val="18"/>
                <w:szCs w:val="18"/>
              </w:rPr>
              <w:t>）定量测定试 剂盒（化学发光免疫分析 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09" w:lineRule="auto"/>
              <w:ind w:left="96" w:right="144"/>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本试剂盒用于体外定量测定人血清中抗 甲状腺过氧化物酶抗体（</w:t>
            </w:r>
            <w:r>
              <w:rPr>
                <w:rFonts w:ascii="Times New Roman" w:hAnsi="Times New Roman" w:cs="Times New Roman" w:eastAsia="Times New Roman" w:hint="default"/>
                <w:sz w:val="18"/>
                <w:szCs w:val="18"/>
              </w:rPr>
              <w:t>TPO-Ab</w:t>
            </w:r>
            <w:r>
              <w:rPr>
                <w:rFonts w:ascii="宋体" w:hAnsi="宋体" w:cs="宋体" w:eastAsia="宋体" w:hint="default"/>
                <w:sz w:val="18"/>
                <w:szCs w:val="18"/>
              </w:rPr>
              <w:t>）的含 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5"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21</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128"/>
              <w:jc w:val="both"/>
              <w:rPr>
                <w:rFonts w:ascii="宋体" w:hAnsi="宋体" w:cs="宋体" w:eastAsia="宋体" w:hint="default"/>
                <w:sz w:val="18"/>
                <w:szCs w:val="18"/>
              </w:rPr>
            </w:pPr>
            <w:r>
              <w:rPr>
                <w:rFonts w:ascii="宋体" w:hAnsi="宋体" w:cs="宋体" w:eastAsia="宋体" w:hint="default"/>
                <w:sz w:val="18"/>
                <w:szCs w:val="18"/>
              </w:rPr>
              <w:t>胰岛素（</w:t>
            </w:r>
            <w:r>
              <w:rPr>
                <w:rFonts w:ascii="Times New Roman" w:hAnsi="Times New Roman" w:cs="Times New Roman" w:eastAsia="Times New Roman" w:hint="default"/>
                <w:sz w:val="18"/>
                <w:szCs w:val="18"/>
              </w:rPr>
              <w:t>Ins</w:t>
            </w:r>
            <w:r>
              <w:rPr>
                <w:rFonts w:ascii="宋体" w:hAnsi="宋体" w:cs="宋体" w:eastAsia="宋体" w:hint="default"/>
                <w:sz w:val="18"/>
                <w:szCs w:val="18"/>
              </w:rPr>
              <w:t>）定量测定试 剂盒（化学发光免疫分析 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本试剂盒用于体外定量测定人血清中胰 岛素（</w:t>
            </w:r>
            <w:r>
              <w:rPr>
                <w:rFonts w:ascii="Times New Roman" w:hAnsi="Times New Roman" w:cs="Times New Roman" w:eastAsia="Times New Roman" w:hint="default"/>
                <w:sz w:val="18"/>
                <w:szCs w:val="18"/>
              </w:rPr>
              <w:t>Ins</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22</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3"/>
              <w:ind w:left="98"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肽（</w:t>
            </w:r>
            <w:r>
              <w:rPr>
                <w:rFonts w:ascii="Times New Roman" w:hAnsi="Times New Roman" w:cs="Times New Roman" w:eastAsia="Times New Roman" w:hint="default"/>
                <w:sz w:val="18"/>
                <w:szCs w:val="18"/>
              </w:rPr>
              <w:t>C-P</w:t>
            </w:r>
            <w:r>
              <w:rPr>
                <w:rFonts w:ascii="宋体" w:hAnsi="宋体" w:cs="宋体" w:eastAsia="宋体" w:hint="default"/>
                <w:sz w:val="18"/>
                <w:szCs w:val="18"/>
              </w:rPr>
              <w:t>）定量测定试剂 盒（化学发光免疫分析 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w:t>
            </w:r>
            <w:r>
              <w:rPr>
                <w:rFonts w:ascii="Times New Roman" w:hAnsi="Times New Roman" w:cs="Times New Roman" w:eastAsia="Times New Roman" w:hint="default"/>
                <w:sz w:val="18"/>
                <w:szCs w:val="18"/>
              </w:rPr>
              <w:t>C</w:t>
            </w:r>
            <w:r>
              <w:rPr>
                <w:rFonts w:ascii="宋体" w:hAnsi="宋体" w:cs="宋体" w:eastAsia="宋体" w:hint="default"/>
                <w:sz w:val="18"/>
                <w:szCs w:val="18"/>
              </w:rPr>
              <w:t>肽</w:t>
            </w:r>
          </w:p>
          <w:p>
            <w:pPr>
              <w:pStyle w:val="TableParagraph"/>
              <w:spacing w:line="240" w:lineRule="auto" w:before="63"/>
              <w:ind w:left="9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C-P</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571"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23</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雌二醇（</w:t>
            </w:r>
            <w:r>
              <w:rPr>
                <w:rFonts w:ascii="Times New Roman" w:hAnsi="Times New Roman" w:cs="Times New Roman" w:eastAsia="Times New Roman" w:hint="default"/>
                <w:sz w:val="18"/>
                <w:szCs w:val="18"/>
              </w:rPr>
              <w:t>E2</w:t>
            </w:r>
            <w:r>
              <w:rPr>
                <w:rFonts w:ascii="宋体" w:hAnsi="宋体" w:cs="宋体" w:eastAsia="宋体" w:hint="default"/>
                <w:sz w:val="18"/>
                <w:szCs w:val="18"/>
              </w:rPr>
              <w:t>）定量测定试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本试剂盒用于体外定量测定人血清中雌</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bl>
    <w:p>
      <w:pPr>
        <w:spacing w:after="0" w:line="240" w:lineRule="auto"/>
        <w:jc w:val="center"/>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543"/>
        <w:gridCol w:w="2269"/>
        <w:gridCol w:w="710"/>
        <w:gridCol w:w="3401"/>
        <w:gridCol w:w="1381"/>
        <w:gridCol w:w="1289"/>
      </w:tblGrid>
      <w:tr>
        <w:trPr>
          <w:trHeight w:val="88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70" w:right="17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63" w:right="161"/>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89"/>
                <w:sz w:val="18"/>
                <w:szCs w:val="18"/>
              </w:rPr>
              <w:t> </w:t>
            </w:r>
            <w:r>
              <w:rPr>
                <w:rFonts w:ascii="宋体" w:hAnsi="宋体" w:cs="宋体" w:eastAsia="宋体" w:hint="default"/>
                <w:b/>
                <w:bCs/>
                <w:sz w:val="18"/>
                <w:szCs w:val="18"/>
              </w:rPr>
              <w:t>分类</w:t>
            </w:r>
            <w:r>
              <w:rPr>
                <w:rFonts w:ascii="宋体" w:hAnsi="宋体" w:cs="宋体" w:eastAsia="宋体" w:hint="default"/>
                <w:sz w:val="18"/>
                <w:szCs w:val="18"/>
              </w:rPr>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注册证有效期</w:t>
            </w:r>
            <w:r>
              <w:rPr>
                <w:rFonts w:ascii="宋体" w:hAnsi="宋体" w:cs="宋体" w:eastAsia="宋体" w:hint="default"/>
                <w:sz w:val="18"/>
                <w:szCs w:val="18"/>
              </w:rPr>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766" w:hRule="exact"/>
        </w:trPr>
        <w:tc>
          <w:tcPr>
            <w:tcW w:w="543" w:type="dxa"/>
            <w:tcBorders>
              <w:top w:val="single" w:sz="8" w:space="0" w:color="000000"/>
              <w:left w:val="single" w:sz="8" w:space="0" w:color="000000"/>
              <w:bottom w:val="single" w:sz="8" w:space="0" w:color="000000"/>
              <w:right w:val="single" w:sz="8" w:space="0" w:color="000000"/>
            </w:tcBorders>
          </w:tcPr>
          <w:p>
            <w:pP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
              <w:ind w:left="98" w:right="168"/>
              <w:jc w:val="left"/>
              <w:rPr>
                <w:rFonts w:ascii="宋体" w:hAnsi="宋体" w:cs="宋体" w:eastAsia="宋体" w:hint="default"/>
                <w:sz w:val="18"/>
                <w:szCs w:val="18"/>
              </w:rPr>
            </w:pPr>
            <w:r>
              <w:rPr>
                <w:rFonts w:ascii="宋体" w:hAnsi="宋体" w:cs="宋体" w:eastAsia="宋体" w:hint="default"/>
                <w:sz w:val="18"/>
                <w:szCs w:val="18"/>
              </w:rPr>
              <w:t>剂盒（化学发光免疫分析 法）</w:t>
            </w:r>
          </w:p>
        </w:tc>
        <w:tc>
          <w:tcPr>
            <w:tcW w:w="710" w:type="dxa"/>
            <w:tcBorders>
              <w:top w:val="single" w:sz="8" w:space="0" w:color="000000"/>
              <w:left w:val="single" w:sz="8" w:space="0" w:color="000000"/>
              <w:bottom w:val="single" w:sz="8" w:space="0" w:color="000000"/>
              <w:right w:val="single" w:sz="8" w:space="0" w:color="000000"/>
            </w:tcBorders>
          </w:tcPr>
          <w:p>
            <w:pP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6" w:right="0"/>
              <w:jc w:val="left"/>
              <w:rPr>
                <w:rFonts w:ascii="宋体" w:hAnsi="宋体" w:cs="宋体" w:eastAsia="宋体" w:hint="default"/>
                <w:sz w:val="18"/>
                <w:szCs w:val="18"/>
              </w:rPr>
            </w:pPr>
            <w:r>
              <w:rPr>
                <w:rFonts w:ascii="宋体" w:hAnsi="宋体" w:cs="宋体" w:eastAsia="宋体" w:hint="default"/>
                <w:sz w:val="18"/>
                <w:szCs w:val="18"/>
              </w:rPr>
              <w:t>二醇（</w:t>
            </w:r>
            <w:r>
              <w:rPr>
                <w:rFonts w:ascii="Times New Roman" w:hAnsi="Times New Roman" w:cs="Times New Roman" w:eastAsia="Times New Roman" w:hint="default"/>
                <w:sz w:val="18"/>
                <w:szCs w:val="18"/>
              </w:rPr>
              <w:t>E2</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
        </w:tc>
        <w:tc>
          <w:tcPr>
            <w:tcW w:w="1289" w:type="dxa"/>
            <w:tcBorders>
              <w:top w:val="single" w:sz="8" w:space="0" w:color="000000"/>
              <w:left w:val="single" w:sz="8" w:space="0" w:color="000000"/>
              <w:bottom w:val="single" w:sz="8" w:space="0" w:color="000000"/>
              <w:right w:val="single" w:sz="8" w:space="0" w:color="000000"/>
            </w:tcBorders>
          </w:tcPr>
          <w:p>
            <w:pPr/>
          </w:p>
        </w:tc>
      </w:tr>
      <w:tr>
        <w:trPr>
          <w:trHeight w:val="1195"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24</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0"/>
              <w:ind w:left="98" w:right="109"/>
              <w:jc w:val="left"/>
              <w:rPr>
                <w:rFonts w:ascii="宋体" w:hAnsi="宋体" w:cs="宋体" w:eastAsia="宋体" w:hint="default"/>
                <w:sz w:val="18"/>
                <w:szCs w:val="18"/>
              </w:rPr>
            </w:pPr>
            <w:r>
              <w:rPr>
                <w:rFonts w:ascii="宋体" w:hAnsi="宋体" w:cs="宋体" w:eastAsia="宋体" w:hint="default"/>
                <w:sz w:val="18"/>
                <w:szCs w:val="18"/>
              </w:rPr>
              <w:t>β绒毛膜促性腺激素（β</w:t>
            </w:r>
            <w:r>
              <w:rPr>
                <w:rFonts w:ascii="Times New Roman" w:hAnsi="Times New Roman" w:cs="Times New Roman" w:eastAsia="Times New Roman" w:hint="default"/>
                <w:sz w:val="18"/>
                <w:szCs w:val="18"/>
              </w:rPr>
              <w:t>- HCG</w:t>
            </w:r>
            <w:r>
              <w:rPr>
                <w:rFonts w:ascii="宋体" w:hAnsi="宋体" w:cs="宋体" w:eastAsia="宋体" w:hint="default"/>
                <w:sz w:val="18"/>
                <w:szCs w:val="18"/>
              </w:rPr>
              <w:t>）定量测定试剂盒</w:t>
            </w:r>
          </w:p>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（化学发光免疫分析法）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144"/>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本试剂盒用于体外定量测定人血清中β 绒毛膜促性腺激素（β</w:t>
            </w:r>
            <w:r>
              <w:rPr>
                <w:rFonts w:ascii="Times New Roman" w:hAnsi="Times New Roman" w:cs="Times New Roman" w:eastAsia="Times New Roman" w:hint="default"/>
                <w:sz w:val="18"/>
                <w:szCs w:val="18"/>
              </w:rPr>
              <w:t>-HCG</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25</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111"/>
              <w:jc w:val="both"/>
              <w:rPr>
                <w:rFonts w:ascii="宋体" w:hAnsi="宋体" w:cs="宋体" w:eastAsia="宋体" w:hint="default"/>
                <w:sz w:val="18"/>
                <w:szCs w:val="18"/>
              </w:rPr>
            </w:pPr>
            <w:r>
              <w:rPr>
                <w:rFonts w:ascii="宋体" w:hAnsi="宋体" w:cs="宋体" w:eastAsia="宋体" w:hint="default"/>
                <w:sz w:val="18"/>
                <w:szCs w:val="18"/>
              </w:rPr>
              <w:t>黄体生成素（</w:t>
            </w:r>
            <w:r>
              <w:rPr>
                <w:rFonts w:ascii="Times New Roman" w:hAnsi="Times New Roman" w:cs="Times New Roman" w:eastAsia="Times New Roman" w:hint="default"/>
                <w:sz w:val="18"/>
                <w:szCs w:val="18"/>
              </w:rPr>
              <w:t>LH</w:t>
            </w:r>
            <w:r>
              <w:rPr>
                <w:rFonts w:ascii="宋体" w:hAnsi="宋体" w:cs="宋体" w:eastAsia="宋体" w:hint="default"/>
                <w:sz w:val="18"/>
                <w:szCs w:val="18"/>
              </w:rPr>
              <w:t>）定量测 定试剂盒（化学发光免疫 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9" w:lineRule="auto"/>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本试剂盒用于体外定量测定人血清中黄 体生成激素（</w:t>
            </w:r>
            <w:r>
              <w:rPr>
                <w:rFonts w:ascii="Times New Roman" w:hAnsi="Times New Roman" w:cs="Times New Roman" w:eastAsia="Times New Roman" w:hint="default"/>
                <w:sz w:val="18"/>
                <w:szCs w:val="18"/>
              </w:rPr>
              <w:t>LH</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26</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3"/>
              <w:ind w:left="98" w:right="168"/>
              <w:jc w:val="both"/>
              <w:rPr>
                <w:rFonts w:ascii="宋体" w:hAnsi="宋体" w:cs="宋体" w:eastAsia="宋体" w:hint="default"/>
                <w:sz w:val="18"/>
                <w:szCs w:val="18"/>
              </w:rPr>
            </w:pPr>
            <w:r>
              <w:rPr>
                <w:rFonts w:ascii="宋体" w:hAnsi="宋体" w:cs="宋体" w:eastAsia="宋体" w:hint="default"/>
                <w:sz w:val="18"/>
                <w:szCs w:val="18"/>
              </w:rPr>
              <w:t>催乳素（</w:t>
            </w:r>
            <w:r>
              <w:rPr>
                <w:rFonts w:ascii="Times New Roman" w:hAnsi="Times New Roman" w:cs="Times New Roman" w:eastAsia="Times New Roman" w:hint="default"/>
                <w:sz w:val="18"/>
                <w:szCs w:val="18"/>
              </w:rPr>
              <w:t>PRL</w:t>
            </w:r>
            <w:r>
              <w:rPr>
                <w:rFonts w:ascii="宋体" w:hAnsi="宋体" w:cs="宋体" w:eastAsia="宋体" w:hint="default"/>
                <w:sz w:val="18"/>
                <w:szCs w:val="18"/>
              </w:rPr>
              <w:t>）定量测定 试剂盒（化学发光免疫分 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本试剂盒用于体外定量测定人血清中催 乳素（</w:t>
            </w:r>
            <w:r>
              <w:rPr>
                <w:rFonts w:ascii="Times New Roman" w:hAnsi="Times New Roman" w:cs="Times New Roman" w:eastAsia="Times New Roman" w:hint="default"/>
                <w:sz w:val="18"/>
                <w:szCs w:val="18"/>
              </w:rPr>
              <w:t>PRL</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5"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27</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245"/>
              <w:jc w:val="left"/>
              <w:rPr>
                <w:rFonts w:ascii="宋体" w:hAnsi="宋体" w:cs="宋体" w:eastAsia="宋体" w:hint="default"/>
                <w:sz w:val="18"/>
                <w:szCs w:val="18"/>
              </w:rPr>
            </w:pPr>
            <w:r>
              <w:rPr>
                <w:rFonts w:ascii="宋体" w:hAnsi="宋体" w:cs="宋体" w:eastAsia="宋体" w:hint="default"/>
                <w:sz w:val="18"/>
                <w:szCs w:val="18"/>
              </w:rPr>
              <w:t>孕酮（</w:t>
            </w:r>
            <w:r>
              <w:rPr>
                <w:rFonts w:ascii="Times New Roman" w:hAnsi="Times New Roman" w:cs="Times New Roman" w:eastAsia="Times New Roman" w:hint="default"/>
                <w:sz w:val="18"/>
                <w:szCs w:val="18"/>
              </w:rPr>
              <w:t>P</w:t>
            </w:r>
            <w:r>
              <w:rPr>
                <w:rFonts w:ascii="宋体" w:hAnsi="宋体" w:cs="宋体" w:eastAsia="宋体" w:hint="default"/>
                <w:sz w:val="18"/>
                <w:szCs w:val="18"/>
              </w:rPr>
              <w:t>）定量测定试剂 盒（化学发光免疫分析 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本试剂盒用于体外定量测定人血清中孕 酮（</w:t>
            </w:r>
            <w:r>
              <w:rPr>
                <w:rFonts w:ascii="Times New Roman" w:hAnsi="Times New Roman" w:cs="Times New Roman" w:eastAsia="Times New Roman" w:hint="default"/>
                <w:sz w:val="18"/>
                <w:szCs w:val="18"/>
              </w:rPr>
              <w:t>P</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28</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1"/>
              <w:ind w:left="98" w:right="242"/>
              <w:jc w:val="left"/>
              <w:rPr>
                <w:rFonts w:ascii="宋体" w:hAnsi="宋体" w:cs="宋体" w:eastAsia="宋体" w:hint="default"/>
                <w:sz w:val="18"/>
                <w:szCs w:val="18"/>
              </w:rPr>
            </w:pPr>
            <w:r>
              <w:rPr>
                <w:rFonts w:ascii="宋体" w:hAnsi="宋体" w:cs="宋体" w:eastAsia="宋体" w:hint="default"/>
                <w:sz w:val="18"/>
                <w:szCs w:val="18"/>
              </w:rPr>
              <w:t>睾酮（</w:t>
            </w:r>
            <w:r>
              <w:rPr>
                <w:rFonts w:ascii="Times New Roman" w:hAnsi="Times New Roman" w:cs="Times New Roman" w:eastAsia="Times New Roman" w:hint="default"/>
                <w:sz w:val="18"/>
                <w:szCs w:val="18"/>
              </w:rPr>
              <w:t>T</w:t>
            </w:r>
            <w:r>
              <w:rPr>
                <w:rFonts w:ascii="宋体" w:hAnsi="宋体" w:cs="宋体" w:eastAsia="宋体" w:hint="default"/>
                <w:sz w:val="18"/>
                <w:szCs w:val="18"/>
              </w:rPr>
              <w:t>）定量测定试剂 盒（化学发光免疫分析 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本试剂盒用于体外定量测定人血清中睾 酮（</w:t>
            </w:r>
            <w:r>
              <w:rPr>
                <w:rFonts w:ascii="Times New Roman" w:hAnsi="Times New Roman" w:cs="Times New Roman" w:eastAsia="Times New Roman" w:hint="default"/>
                <w:sz w:val="18"/>
                <w:szCs w:val="18"/>
              </w:rPr>
              <w:t>T</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29</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3"/>
              <w:ind w:left="98" w:right="168"/>
              <w:jc w:val="both"/>
              <w:rPr>
                <w:rFonts w:ascii="宋体" w:hAnsi="宋体" w:cs="宋体" w:eastAsia="宋体" w:hint="default"/>
                <w:sz w:val="18"/>
                <w:szCs w:val="18"/>
              </w:rPr>
            </w:pPr>
            <w:r>
              <w:rPr>
                <w:rFonts w:ascii="宋体" w:hAnsi="宋体" w:cs="宋体" w:eastAsia="宋体" w:hint="default"/>
                <w:sz w:val="18"/>
                <w:szCs w:val="18"/>
              </w:rPr>
              <w:t>促卵泡激素（</w:t>
            </w:r>
            <w:r>
              <w:rPr>
                <w:rFonts w:ascii="Times New Roman" w:hAnsi="Times New Roman" w:cs="Times New Roman" w:eastAsia="Times New Roman" w:hint="default"/>
                <w:sz w:val="18"/>
                <w:szCs w:val="18"/>
              </w:rPr>
              <w:t>FSH</w:t>
            </w:r>
            <w:r>
              <w:rPr>
                <w:rFonts w:ascii="宋体" w:hAnsi="宋体" w:cs="宋体" w:eastAsia="宋体" w:hint="default"/>
                <w:sz w:val="18"/>
                <w:szCs w:val="18"/>
              </w:rPr>
              <w:t>）定量 测定试剂盒（化学发光免 疫分析法）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本试剂盒用于体外定量测定人血清中促 卵泡激素（</w:t>
            </w:r>
            <w:r>
              <w:rPr>
                <w:rFonts w:ascii="Times New Roman" w:hAnsi="Times New Roman" w:cs="Times New Roman" w:eastAsia="Times New Roman" w:hint="default"/>
                <w:sz w:val="18"/>
                <w:szCs w:val="18"/>
              </w:rPr>
              <w:t>FSH</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30</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111"/>
              <w:jc w:val="both"/>
              <w:rPr>
                <w:rFonts w:ascii="宋体" w:hAnsi="宋体" w:cs="宋体" w:eastAsia="宋体" w:hint="default"/>
                <w:sz w:val="18"/>
                <w:szCs w:val="18"/>
              </w:rPr>
            </w:pPr>
            <w:r>
              <w:rPr>
                <w:rFonts w:ascii="宋体" w:hAnsi="宋体" w:cs="宋体" w:eastAsia="宋体" w:hint="default"/>
                <w:sz w:val="18"/>
                <w:szCs w:val="18"/>
              </w:rPr>
              <w:t>层粘蛋白（</w:t>
            </w:r>
            <w:r>
              <w:rPr>
                <w:rFonts w:ascii="Times New Roman" w:hAnsi="Times New Roman" w:cs="Times New Roman" w:eastAsia="Times New Roman" w:hint="default"/>
                <w:sz w:val="18"/>
                <w:szCs w:val="18"/>
              </w:rPr>
              <w:t>LN</w:t>
            </w:r>
            <w:r>
              <w:rPr>
                <w:rFonts w:ascii="宋体" w:hAnsi="宋体" w:cs="宋体" w:eastAsia="宋体" w:hint="default"/>
                <w:sz w:val="18"/>
                <w:szCs w:val="18"/>
              </w:rPr>
              <w:t>）定量测定 试剂盒（化学发光免疫分 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本试剂盒用于体外定量测定人血清中层 粘蛋白（</w:t>
            </w:r>
            <w:r>
              <w:rPr>
                <w:rFonts w:ascii="Times New Roman" w:hAnsi="Times New Roman" w:cs="Times New Roman" w:eastAsia="Times New Roman" w:hint="default"/>
                <w:sz w:val="18"/>
                <w:szCs w:val="18"/>
              </w:rPr>
              <w:t>LN</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5"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31</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125"/>
              <w:jc w:val="both"/>
              <w:rPr>
                <w:rFonts w:ascii="宋体" w:hAnsi="宋体" w:cs="宋体" w:eastAsia="宋体" w:hint="default"/>
                <w:sz w:val="18"/>
                <w:szCs w:val="18"/>
              </w:rPr>
            </w:pPr>
            <w:r>
              <w:rPr>
                <w:rFonts w:ascii="Times New Roman" w:hAnsi="Times New Roman" w:cs="Times New Roman" w:eastAsia="Times New Roman" w:hint="default"/>
                <w:sz w:val="18"/>
                <w:szCs w:val="18"/>
              </w:rPr>
              <w:t>III</w:t>
            </w:r>
            <w:r>
              <w:rPr>
                <w:rFonts w:ascii="宋体" w:hAnsi="宋体" w:cs="宋体" w:eastAsia="宋体" w:hint="default"/>
                <w:sz w:val="18"/>
                <w:szCs w:val="18"/>
              </w:rPr>
              <w:t>型前胶原（</w:t>
            </w:r>
            <w:r>
              <w:rPr>
                <w:rFonts w:ascii="Times New Roman" w:hAnsi="Times New Roman" w:cs="Times New Roman" w:eastAsia="Times New Roman" w:hint="default"/>
                <w:sz w:val="18"/>
                <w:szCs w:val="18"/>
              </w:rPr>
              <w:t>PCIII</w:t>
            </w:r>
            <w:r>
              <w:rPr>
                <w:rFonts w:ascii="宋体" w:hAnsi="宋体" w:cs="宋体" w:eastAsia="宋体" w:hint="default"/>
                <w:sz w:val="18"/>
                <w:szCs w:val="18"/>
              </w:rPr>
              <w:t>）定量</w:t>
            </w:r>
            <w:r>
              <w:rPr>
                <w:rFonts w:ascii="宋体" w:hAnsi="宋体" w:cs="宋体" w:eastAsia="宋体" w:hint="default"/>
                <w:w w:val="99"/>
                <w:sz w:val="18"/>
                <w:szCs w:val="18"/>
              </w:rPr>
              <w:t> </w:t>
            </w:r>
            <w:r>
              <w:rPr>
                <w:rFonts w:ascii="宋体" w:hAnsi="宋体" w:cs="宋体" w:eastAsia="宋体" w:hint="default"/>
                <w:sz w:val="18"/>
                <w:szCs w:val="18"/>
              </w:rPr>
              <w:t>测定试剂盒（化学发光免</w:t>
            </w:r>
            <w:r>
              <w:rPr>
                <w:rFonts w:ascii="宋体" w:hAnsi="宋体" w:cs="宋体" w:eastAsia="宋体" w:hint="default"/>
                <w:w w:val="99"/>
                <w:sz w:val="18"/>
                <w:szCs w:val="18"/>
              </w:rPr>
              <w:t> </w:t>
            </w:r>
            <w:r>
              <w:rPr>
                <w:rFonts w:ascii="宋体" w:hAnsi="宋体" w:cs="宋体" w:eastAsia="宋体" w:hint="default"/>
                <w:sz w:val="18"/>
                <w:szCs w:val="18"/>
              </w:rPr>
              <w:t>疫分析法）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00" w:lineRule="auto"/>
              <w:ind w:left="96" w:right="223"/>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w:t>
            </w:r>
            <w:r>
              <w:rPr>
                <w:rFonts w:ascii="Times New Roman" w:hAnsi="Times New Roman" w:cs="Times New Roman" w:eastAsia="Times New Roman" w:hint="default"/>
                <w:sz w:val="18"/>
                <w:szCs w:val="18"/>
              </w:rPr>
              <w:t>III </w:t>
            </w:r>
            <w:r>
              <w:rPr>
                <w:rFonts w:ascii="宋体" w:hAnsi="宋体" w:cs="宋体" w:eastAsia="宋体" w:hint="default"/>
                <w:sz w:val="18"/>
                <w:szCs w:val="18"/>
              </w:rPr>
              <w:t>型前胶原（</w:t>
            </w:r>
            <w:r>
              <w:rPr>
                <w:rFonts w:ascii="Times New Roman" w:hAnsi="Times New Roman" w:cs="Times New Roman" w:eastAsia="Times New Roman" w:hint="default"/>
                <w:sz w:val="18"/>
                <w:szCs w:val="18"/>
              </w:rPr>
              <w:t>PCIII</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32</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3"/>
              <w:ind w:left="98" w:right="168"/>
              <w:jc w:val="left"/>
              <w:rPr>
                <w:rFonts w:ascii="宋体" w:hAnsi="宋体" w:cs="宋体" w:eastAsia="宋体" w:hint="default"/>
                <w:sz w:val="18"/>
                <w:szCs w:val="18"/>
              </w:rPr>
            </w:pPr>
            <w:r>
              <w:rPr>
                <w:rFonts w:ascii="宋体" w:hAnsi="宋体" w:cs="宋体" w:eastAsia="宋体" w:hint="default"/>
                <w:sz w:val="18"/>
                <w:szCs w:val="18"/>
              </w:rPr>
              <w:t>透明质酸（</w:t>
            </w:r>
            <w:r>
              <w:rPr>
                <w:rFonts w:ascii="Times New Roman" w:hAnsi="Times New Roman" w:cs="Times New Roman" w:eastAsia="Times New Roman" w:hint="default"/>
                <w:sz w:val="18"/>
                <w:szCs w:val="18"/>
              </w:rPr>
              <w:t>HA</w:t>
            </w:r>
            <w:r>
              <w:rPr>
                <w:rFonts w:ascii="宋体" w:hAnsi="宋体" w:cs="宋体" w:eastAsia="宋体" w:hint="default"/>
                <w:sz w:val="18"/>
                <w:szCs w:val="18"/>
              </w:rPr>
              <w:t>）定量测 定试剂盒（化学发光免疫 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本试剂盒用于体外定量测定人血清中透 明质酸（</w:t>
            </w:r>
            <w:r>
              <w:rPr>
                <w:rFonts w:ascii="Times New Roman" w:hAnsi="Times New Roman" w:cs="Times New Roman" w:eastAsia="Times New Roman" w:hint="default"/>
                <w:sz w:val="18"/>
                <w:szCs w:val="18"/>
              </w:rPr>
              <w:t>HA</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33</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IV</w:t>
            </w:r>
            <w:r>
              <w:rPr>
                <w:rFonts w:ascii="宋体" w:hAnsi="宋体" w:cs="宋体" w:eastAsia="宋体" w:hint="default"/>
                <w:sz w:val="18"/>
                <w:szCs w:val="18"/>
              </w:rPr>
              <w:t>型胶原（</w:t>
            </w:r>
            <w:r>
              <w:rPr>
                <w:rFonts w:ascii="Times New Roman" w:hAnsi="Times New Roman" w:cs="Times New Roman" w:eastAsia="Times New Roman" w:hint="default"/>
                <w:sz w:val="18"/>
                <w:szCs w:val="18"/>
              </w:rPr>
              <w:t>C-IV</w:t>
            </w:r>
            <w:r>
              <w:rPr>
                <w:rFonts w:ascii="宋体" w:hAnsi="宋体" w:cs="宋体" w:eastAsia="宋体" w:hint="default"/>
                <w:sz w:val="18"/>
                <w:szCs w:val="18"/>
              </w:rPr>
              <w:t>）定量测 定试剂盒（化学发光免疫 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00" w:lineRule="auto"/>
              <w:ind w:left="96" w:right="211"/>
              <w:jc w:val="left"/>
              <w:rPr>
                <w:rFonts w:ascii="宋体" w:hAnsi="宋体" w:cs="宋体" w:eastAsia="宋体" w:hint="default"/>
                <w:sz w:val="18"/>
                <w:szCs w:val="18"/>
              </w:rPr>
            </w:pPr>
            <w:r>
              <w:rPr>
                <w:rFonts w:ascii="宋体" w:hAnsi="宋体" w:cs="宋体" w:eastAsia="宋体" w:hint="default"/>
                <w:sz w:val="18"/>
                <w:szCs w:val="18"/>
              </w:rPr>
              <w:t>本试剂盒用于定量测定人血清中</w:t>
            </w:r>
            <w:r>
              <w:rPr>
                <w:rFonts w:ascii="Times New Roman" w:hAnsi="Times New Roman" w:cs="Times New Roman" w:eastAsia="Times New Roman" w:hint="default"/>
                <w:sz w:val="18"/>
                <w:szCs w:val="18"/>
              </w:rPr>
              <w:t>IV</w:t>
            </w:r>
            <w:r>
              <w:rPr>
                <w:rFonts w:ascii="宋体" w:hAnsi="宋体" w:cs="宋体" w:eastAsia="宋体" w:hint="default"/>
                <w:sz w:val="18"/>
                <w:szCs w:val="18"/>
              </w:rPr>
              <w:t>型胶 原（</w:t>
            </w:r>
            <w:r>
              <w:rPr>
                <w:rFonts w:ascii="Times New Roman" w:hAnsi="Times New Roman" w:cs="Times New Roman" w:eastAsia="Times New Roman" w:hint="default"/>
                <w:sz w:val="18"/>
                <w:szCs w:val="18"/>
              </w:rPr>
              <w:t>C-IV</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bl>
    <w:p>
      <w:pPr>
        <w:spacing w:after="0" w:line="240" w:lineRule="auto"/>
        <w:jc w:val="center"/>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543"/>
        <w:gridCol w:w="2269"/>
        <w:gridCol w:w="710"/>
        <w:gridCol w:w="3401"/>
        <w:gridCol w:w="1381"/>
        <w:gridCol w:w="1289"/>
      </w:tblGrid>
      <w:tr>
        <w:trPr>
          <w:trHeight w:val="88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70" w:right="17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63" w:right="161"/>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89"/>
                <w:sz w:val="18"/>
                <w:szCs w:val="18"/>
              </w:rPr>
              <w:t> </w:t>
            </w:r>
            <w:r>
              <w:rPr>
                <w:rFonts w:ascii="宋体" w:hAnsi="宋体" w:cs="宋体" w:eastAsia="宋体" w:hint="default"/>
                <w:b/>
                <w:bCs/>
                <w:sz w:val="18"/>
                <w:szCs w:val="18"/>
              </w:rPr>
              <w:t>分类</w:t>
            </w:r>
            <w:r>
              <w:rPr>
                <w:rFonts w:ascii="宋体" w:hAnsi="宋体" w:cs="宋体" w:eastAsia="宋体" w:hint="default"/>
                <w:sz w:val="18"/>
                <w:szCs w:val="18"/>
              </w:rPr>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注册证有效期</w:t>
            </w:r>
            <w:r>
              <w:rPr>
                <w:rFonts w:ascii="宋体" w:hAnsi="宋体" w:cs="宋体" w:eastAsia="宋体" w:hint="default"/>
                <w:sz w:val="18"/>
                <w:szCs w:val="18"/>
              </w:rPr>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34</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00" w:lineRule="auto"/>
              <w:ind w:left="98" w:right="106"/>
              <w:jc w:val="left"/>
              <w:rPr>
                <w:rFonts w:ascii="宋体" w:hAnsi="宋体" w:cs="宋体" w:eastAsia="宋体" w:hint="default"/>
                <w:sz w:val="18"/>
                <w:szCs w:val="18"/>
              </w:rPr>
            </w:pPr>
            <w:r>
              <w:rPr>
                <w:rFonts w:ascii="宋体" w:hAnsi="宋体" w:cs="宋体" w:eastAsia="宋体" w:hint="default"/>
                <w:sz w:val="18"/>
                <w:szCs w:val="18"/>
              </w:rPr>
              <w:t>肠道病毒</w:t>
            </w:r>
            <w:r>
              <w:rPr>
                <w:rFonts w:ascii="Times New Roman" w:hAnsi="Times New Roman" w:cs="Times New Roman" w:eastAsia="Times New Roman" w:hint="default"/>
                <w:sz w:val="18"/>
                <w:szCs w:val="18"/>
              </w:rPr>
              <w:t>EV71</w:t>
            </w:r>
            <w:r>
              <w:rPr>
                <w:rFonts w:ascii="宋体" w:hAnsi="宋体" w:cs="宋体" w:eastAsia="宋体" w:hint="default"/>
                <w:sz w:val="18"/>
                <w:szCs w:val="18"/>
              </w:rPr>
              <w:t>核酸检测试 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3"/>
              <w:ind w:left="96" w:right="405"/>
              <w:jc w:val="both"/>
              <w:rPr>
                <w:rFonts w:ascii="宋体" w:hAnsi="宋体" w:cs="宋体" w:eastAsia="宋体" w:hint="default"/>
                <w:sz w:val="18"/>
                <w:szCs w:val="18"/>
              </w:rPr>
            </w:pPr>
            <w:r>
              <w:rPr>
                <w:rFonts w:ascii="宋体" w:hAnsi="宋体" w:cs="宋体" w:eastAsia="宋体" w:hint="default"/>
                <w:sz w:val="18"/>
                <w:szCs w:val="18"/>
              </w:rPr>
              <w:t>本试剂盒用于体外定性检测人的咽拭 子、疱疹液和粪便样本中的肠道病毒 </w:t>
            </w:r>
            <w:r>
              <w:rPr>
                <w:rFonts w:ascii="Times New Roman" w:hAnsi="Times New Roman" w:cs="Times New Roman" w:eastAsia="Times New Roman" w:hint="default"/>
                <w:sz w:val="18"/>
                <w:szCs w:val="18"/>
              </w:rPr>
              <w:t>EV71</w:t>
            </w:r>
            <w:r>
              <w:rPr>
                <w:rFonts w:ascii="宋体" w:hAnsi="宋体" w:cs="宋体" w:eastAsia="宋体" w:hint="default"/>
                <w:sz w:val="18"/>
                <w:szCs w:val="18"/>
              </w:rPr>
              <w:t>核酸。</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2021/6/28</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5"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35</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0"/>
              <w:ind w:left="98" w:right="99"/>
              <w:jc w:val="left"/>
              <w:rPr>
                <w:rFonts w:ascii="宋体" w:hAnsi="宋体" w:cs="宋体" w:eastAsia="宋体" w:hint="default"/>
                <w:sz w:val="18"/>
                <w:szCs w:val="18"/>
              </w:rPr>
            </w:pPr>
            <w:r>
              <w:rPr>
                <w:rFonts w:ascii="宋体" w:hAnsi="宋体" w:cs="宋体" w:eastAsia="宋体" w:hint="default"/>
                <w:sz w:val="18"/>
                <w:szCs w:val="18"/>
              </w:rPr>
              <w:t>肠道病毒</w:t>
            </w:r>
            <w:r>
              <w:rPr>
                <w:rFonts w:ascii="Times New Roman" w:hAnsi="Times New Roman" w:cs="Times New Roman" w:eastAsia="Times New Roman" w:hint="default"/>
                <w:sz w:val="18"/>
                <w:szCs w:val="18"/>
              </w:rPr>
              <w:t>CoxA16</w:t>
            </w:r>
            <w:r>
              <w:rPr>
                <w:rFonts w:ascii="宋体" w:hAnsi="宋体" w:cs="宋体" w:eastAsia="宋体" w:hint="default"/>
                <w:sz w:val="18"/>
                <w:szCs w:val="18"/>
              </w:rPr>
              <w:t>核酸检测 试剂盒（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 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96" w:right="405"/>
              <w:jc w:val="both"/>
              <w:rPr>
                <w:rFonts w:ascii="宋体" w:hAnsi="宋体" w:cs="宋体" w:eastAsia="宋体" w:hint="default"/>
                <w:sz w:val="18"/>
                <w:szCs w:val="18"/>
              </w:rPr>
            </w:pPr>
            <w:r>
              <w:rPr>
                <w:rFonts w:ascii="宋体" w:hAnsi="宋体" w:cs="宋体" w:eastAsia="宋体" w:hint="default"/>
                <w:sz w:val="18"/>
                <w:szCs w:val="18"/>
              </w:rPr>
              <w:t>本试剂盒用于体外定性检测人的咽拭 子、疱疹液和粪便样本中的肠道病毒 </w:t>
            </w:r>
            <w:r>
              <w:rPr>
                <w:rFonts w:ascii="Times New Roman" w:hAnsi="Times New Roman" w:cs="Times New Roman" w:eastAsia="Times New Roman" w:hint="default"/>
                <w:sz w:val="18"/>
                <w:szCs w:val="18"/>
              </w:rPr>
              <w:t>CoxA16</w:t>
            </w:r>
            <w:r>
              <w:rPr>
                <w:rFonts w:ascii="宋体" w:hAnsi="宋体" w:cs="宋体" w:eastAsia="宋体" w:hint="default"/>
                <w:sz w:val="18"/>
                <w:szCs w:val="18"/>
              </w:rPr>
              <w:t>核酸。</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2021/6/28</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36</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1"/>
              <w:ind w:left="98" w:right="168"/>
              <w:jc w:val="left"/>
              <w:rPr>
                <w:rFonts w:ascii="宋体" w:hAnsi="宋体" w:cs="宋体" w:eastAsia="宋体" w:hint="default"/>
                <w:sz w:val="18"/>
                <w:szCs w:val="18"/>
              </w:rPr>
            </w:pPr>
            <w:r>
              <w:rPr>
                <w:rFonts w:ascii="宋体" w:hAnsi="宋体" w:cs="宋体" w:eastAsia="宋体" w:hint="default"/>
                <w:sz w:val="18"/>
                <w:szCs w:val="18"/>
              </w:rPr>
              <w:t>肠道病毒通用型核酸检测 试剂盒（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 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本试剂盒用于体外定性检测人的咽拭 子、疱疹液和粪便样本中的肠道病毒核 酸。</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2021/6/28</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88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68"/>
              <w:jc w:val="right"/>
              <w:rPr>
                <w:rFonts w:ascii="Times New Roman" w:hAnsi="Times New Roman" w:cs="Times New Roman" w:eastAsia="Times New Roman" w:hint="default"/>
                <w:sz w:val="18"/>
                <w:szCs w:val="18"/>
              </w:rPr>
            </w:pPr>
            <w:r>
              <w:rPr>
                <w:rFonts w:ascii="Times New Roman"/>
                <w:sz w:val="18"/>
              </w:rPr>
              <w:t>37</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3"/>
              <w:ind w:left="98" w:right="125"/>
              <w:jc w:val="left"/>
              <w:rPr>
                <w:rFonts w:ascii="宋体" w:hAnsi="宋体" w:cs="宋体" w:eastAsia="宋体" w:hint="default"/>
                <w:sz w:val="18"/>
                <w:szCs w:val="18"/>
              </w:rPr>
            </w:pPr>
            <w:r>
              <w:rPr>
                <w:rFonts w:ascii="宋体" w:hAnsi="宋体" w:cs="宋体" w:eastAsia="宋体" w:hint="default"/>
                <w:sz w:val="18"/>
                <w:szCs w:val="18"/>
              </w:rPr>
              <w:t>结核分枝杆菌核酸检测试 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3"/>
              <w:ind w:left="96" w:right="225"/>
              <w:jc w:val="left"/>
              <w:rPr>
                <w:rFonts w:ascii="宋体" w:hAnsi="宋体" w:cs="宋体" w:eastAsia="宋体" w:hint="default"/>
                <w:sz w:val="18"/>
                <w:szCs w:val="18"/>
              </w:rPr>
            </w:pPr>
            <w:r>
              <w:rPr>
                <w:rFonts w:ascii="宋体" w:hAnsi="宋体" w:cs="宋体" w:eastAsia="宋体" w:hint="default"/>
                <w:sz w:val="18"/>
                <w:szCs w:val="18"/>
              </w:rPr>
              <w:t>该试剂盒用于体外定性检测人痰液样本 中结核分枝杆菌核酸。</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2022/4/9</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883"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68"/>
              <w:jc w:val="right"/>
              <w:rPr>
                <w:rFonts w:ascii="Times New Roman" w:hAnsi="Times New Roman" w:cs="Times New Roman" w:eastAsia="Times New Roman" w:hint="default"/>
                <w:sz w:val="18"/>
                <w:szCs w:val="18"/>
              </w:rPr>
            </w:pPr>
            <w:r>
              <w:rPr>
                <w:rFonts w:ascii="Times New Roman"/>
                <w:sz w:val="18"/>
              </w:rPr>
              <w:t>38</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98" w:right="125"/>
              <w:jc w:val="left"/>
              <w:rPr>
                <w:rFonts w:ascii="宋体" w:hAnsi="宋体" w:cs="宋体" w:eastAsia="宋体" w:hint="default"/>
                <w:sz w:val="18"/>
                <w:szCs w:val="18"/>
              </w:rPr>
            </w:pPr>
            <w:r>
              <w:rPr>
                <w:rFonts w:ascii="宋体" w:hAnsi="宋体" w:cs="宋体" w:eastAsia="宋体" w:hint="default"/>
                <w:sz w:val="18"/>
                <w:szCs w:val="18"/>
              </w:rPr>
              <w:t>乙型肝炎病毒核酸测定试 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本试剂盒用于体外定量检测人血清样本 中的乙型肝炎病毒核酸。</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2022/6/28</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88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68"/>
              <w:jc w:val="right"/>
              <w:rPr>
                <w:rFonts w:ascii="Times New Roman" w:hAnsi="Times New Roman" w:cs="Times New Roman" w:eastAsia="Times New Roman" w:hint="default"/>
                <w:sz w:val="18"/>
                <w:szCs w:val="18"/>
              </w:rPr>
            </w:pPr>
            <w:r>
              <w:rPr>
                <w:rFonts w:ascii="Times New Roman"/>
                <w:sz w:val="18"/>
              </w:rPr>
              <w:t>39</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0"/>
              <w:ind w:left="98" w:right="168"/>
              <w:jc w:val="left"/>
              <w:rPr>
                <w:rFonts w:ascii="宋体" w:hAnsi="宋体" w:cs="宋体" w:eastAsia="宋体" w:hint="default"/>
                <w:sz w:val="18"/>
                <w:szCs w:val="18"/>
              </w:rPr>
            </w:pPr>
            <w:r>
              <w:rPr>
                <w:rFonts w:ascii="宋体" w:hAnsi="宋体" w:cs="宋体" w:eastAsia="宋体" w:hint="default"/>
                <w:sz w:val="18"/>
                <w:szCs w:val="18"/>
              </w:rPr>
              <w:t>戊型肝炎病毒</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 测试剂盒（酶联免疫法）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30"/>
              <w:ind w:left="96" w:right="225"/>
              <w:jc w:val="left"/>
              <w:rPr>
                <w:rFonts w:ascii="宋体" w:hAnsi="宋体" w:cs="宋体" w:eastAsia="宋体" w:hint="default"/>
                <w:sz w:val="18"/>
                <w:szCs w:val="18"/>
              </w:rPr>
            </w:pPr>
            <w:r>
              <w:rPr>
                <w:rFonts w:ascii="宋体" w:hAnsi="宋体" w:cs="宋体" w:eastAsia="宋体" w:hint="default"/>
                <w:sz w:val="18"/>
                <w:szCs w:val="18"/>
              </w:rPr>
              <w:t>本试剂盒可定性检测人血清或血浆中的 戊型肝炎病毒（</w:t>
            </w:r>
            <w:r>
              <w:rPr>
                <w:rFonts w:ascii="Times New Roman" w:hAnsi="Times New Roman" w:cs="Times New Roman" w:eastAsia="Times New Roman" w:hint="default"/>
                <w:sz w:val="18"/>
                <w:szCs w:val="18"/>
              </w:rPr>
              <w:t>HEV</w:t>
            </w:r>
            <w:r>
              <w:rPr>
                <w:rFonts w:ascii="宋体" w:hAnsi="宋体" w:cs="宋体" w:eastAsia="宋体" w:hint="default"/>
                <w:sz w:val="18"/>
                <w:szCs w:val="18"/>
              </w:rPr>
              <w:t>）</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2021/5/11</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88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68"/>
              <w:jc w:val="right"/>
              <w:rPr>
                <w:rFonts w:ascii="Times New Roman" w:hAnsi="Times New Roman" w:cs="Times New Roman" w:eastAsia="Times New Roman" w:hint="default"/>
                <w:sz w:val="18"/>
                <w:szCs w:val="18"/>
              </w:rPr>
            </w:pPr>
            <w:r>
              <w:rPr>
                <w:rFonts w:ascii="Times New Roman"/>
                <w:sz w:val="18"/>
              </w:rPr>
              <w:t>40</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3"/>
              <w:ind w:left="98" w:right="168"/>
              <w:jc w:val="left"/>
              <w:rPr>
                <w:rFonts w:ascii="宋体" w:hAnsi="宋体" w:cs="宋体" w:eastAsia="宋体" w:hint="default"/>
                <w:sz w:val="18"/>
                <w:szCs w:val="18"/>
              </w:rPr>
            </w:pPr>
            <w:r>
              <w:rPr>
                <w:rFonts w:ascii="宋体" w:hAnsi="宋体" w:cs="宋体" w:eastAsia="宋体" w:hint="default"/>
                <w:sz w:val="18"/>
                <w:szCs w:val="18"/>
              </w:rPr>
              <w:t>戊型肝炎病毒</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抗体检 测试剂盒（酶联免疫法）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3"/>
              <w:ind w:left="96" w:right="225"/>
              <w:jc w:val="left"/>
              <w:rPr>
                <w:rFonts w:ascii="宋体" w:hAnsi="宋体" w:cs="宋体" w:eastAsia="宋体" w:hint="default"/>
                <w:sz w:val="18"/>
                <w:szCs w:val="18"/>
              </w:rPr>
            </w:pPr>
            <w:r>
              <w:rPr>
                <w:rFonts w:ascii="宋体" w:hAnsi="宋体" w:cs="宋体" w:eastAsia="宋体" w:hint="default"/>
                <w:sz w:val="18"/>
                <w:szCs w:val="18"/>
              </w:rPr>
              <w:t>本试剂盒可定性检测人血清或血浆中的 戊型肝炎病毒（</w:t>
            </w:r>
            <w:r>
              <w:rPr>
                <w:rFonts w:ascii="Times New Roman" w:hAnsi="Times New Roman" w:cs="Times New Roman" w:eastAsia="Times New Roman" w:hint="default"/>
                <w:sz w:val="18"/>
                <w:szCs w:val="18"/>
              </w:rPr>
              <w:t>HEV</w:t>
            </w:r>
            <w:r>
              <w:rPr>
                <w:rFonts w:ascii="宋体" w:hAnsi="宋体" w:cs="宋体" w:eastAsia="宋体" w:hint="default"/>
                <w:sz w:val="18"/>
                <w:szCs w:val="18"/>
              </w:rPr>
              <w:t>）</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2021/5/25</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883"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68"/>
              <w:jc w:val="right"/>
              <w:rPr>
                <w:rFonts w:ascii="Times New Roman" w:hAnsi="Times New Roman" w:cs="Times New Roman" w:eastAsia="Times New Roman" w:hint="default"/>
                <w:sz w:val="18"/>
                <w:szCs w:val="18"/>
              </w:rPr>
            </w:pPr>
            <w:r>
              <w:rPr>
                <w:rFonts w:ascii="Times New Roman"/>
                <w:sz w:val="18"/>
              </w:rPr>
              <w:t>41</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0"/>
              <w:ind w:left="98" w:right="168"/>
              <w:jc w:val="left"/>
              <w:rPr>
                <w:rFonts w:ascii="宋体" w:hAnsi="宋体" w:cs="宋体" w:eastAsia="宋体" w:hint="default"/>
                <w:sz w:val="18"/>
                <w:szCs w:val="18"/>
              </w:rPr>
            </w:pPr>
            <w:r>
              <w:rPr>
                <w:rFonts w:ascii="宋体" w:hAnsi="宋体" w:cs="宋体" w:eastAsia="宋体" w:hint="default"/>
                <w:sz w:val="18"/>
                <w:szCs w:val="18"/>
              </w:rPr>
              <w:t>甲型肝炎病毒</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 测试剂盒（酶联免疫法）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96" w:right="225"/>
              <w:jc w:val="left"/>
              <w:rPr>
                <w:rFonts w:ascii="宋体" w:hAnsi="宋体" w:cs="宋体" w:eastAsia="宋体" w:hint="default"/>
                <w:sz w:val="18"/>
                <w:szCs w:val="18"/>
              </w:rPr>
            </w:pPr>
            <w:r>
              <w:rPr>
                <w:rFonts w:ascii="宋体" w:hAnsi="宋体" w:cs="宋体" w:eastAsia="宋体" w:hint="default"/>
                <w:sz w:val="18"/>
                <w:szCs w:val="18"/>
              </w:rPr>
              <w:t>本试剂盒可定性检测人血清或血浆中的 甲型肝炎病毒（</w:t>
            </w:r>
            <w:r>
              <w:rPr>
                <w:rFonts w:ascii="Times New Roman" w:hAnsi="Times New Roman" w:cs="Times New Roman" w:eastAsia="Times New Roman" w:hint="default"/>
                <w:sz w:val="18"/>
                <w:szCs w:val="18"/>
              </w:rPr>
              <w:t>HAV</w:t>
            </w:r>
            <w:r>
              <w:rPr>
                <w:rFonts w:ascii="宋体" w:hAnsi="宋体" w:cs="宋体" w:eastAsia="宋体" w:hint="default"/>
                <w:sz w:val="18"/>
                <w:szCs w:val="18"/>
              </w:rPr>
              <w:t>）</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2021/5/25</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19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42</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0"/>
              <w:ind w:left="98" w:right="166"/>
              <w:jc w:val="left"/>
              <w:rPr>
                <w:rFonts w:ascii="宋体" w:hAnsi="宋体" w:cs="宋体" w:eastAsia="宋体" w:hint="default"/>
                <w:sz w:val="18"/>
                <w:szCs w:val="18"/>
              </w:rPr>
            </w:pPr>
            <w:r>
              <w:rPr>
                <w:rFonts w:ascii="宋体" w:hAnsi="宋体" w:cs="宋体" w:eastAsia="宋体" w:hint="default"/>
                <w:sz w:val="18"/>
                <w:szCs w:val="18"/>
              </w:rPr>
              <w:t>人乳头瘤病毒（</w:t>
            </w:r>
            <w:r>
              <w:rPr>
                <w:rFonts w:ascii="Times New Roman" w:hAnsi="Times New Roman" w:cs="Times New Roman" w:eastAsia="Times New Roman" w:hint="default"/>
                <w:sz w:val="18"/>
                <w:szCs w:val="18"/>
              </w:rPr>
              <w:t>HPV</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型、</w:t>
            </w:r>
            <w:r>
              <w:rPr>
                <w:rFonts w:ascii="Times New Roman" w:hAnsi="Times New Roman" w:cs="Times New Roman" w:eastAsia="Times New Roman" w:hint="default"/>
                <w:sz w:val="18"/>
                <w:szCs w:val="18"/>
              </w:rPr>
              <w:t>18</w:t>
            </w:r>
            <w:r>
              <w:rPr>
                <w:rFonts w:ascii="宋体" w:hAnsi="宋体" w:cs="宋体" w:eastAsia="宋体" w:hint="default"/>
                <w:sz w:val="18"/>
                <w:szCs w:val="18"/>
              </w:rPr>
              <w:t>型核酸检测试剂盒</w:t>
            </w:r>
          </w:p>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6" w:right="223"/>
              <w:jc w:val="both"/>
              <w:rPr>
                <w:rFonts w:ascii="宋体" w:hAnsi="宋体" w:cs="宋体" w:eastAsia="宋体" w:hint="default"/>
                <w:sz w:val="18"/>
                <w:szCs w:val="18"/>
              </w:rPr>
            </w:pPr>
            <w:r>
              <w:rPr>
                <w:rFonts w:ascii="宋体" w:hAnsi="宋体" w:cs="宋体" w:eastAsia="宋体" w:hint="default"/>
                <w:sz w:val="18"/>
                <w:szCs w:val="18"/>
              </w:rPr>
              <w:t>该试剂盒针对女性宫颈脱落细胞中的人 乳头瘤病毒</w:t>
            </w:r>
            <w:r>
              <w:rPr>
                <w:rFonts w:ascii="Times New Roman" w:hAnsi="Times New Roman" w:cs="Times New Roman" w:eastAsia="Times New Roman" w:hint="default"/>
                <w:sz w:val="18"/>
                <w:szCs w:val="18"/>
              </w:rPr>
              <w:t>HPV16</w:t>
            </w:r>
            <w:r>
              <w:rPr>
                <w:rFonts w:ascii="宋体" w:hAnsi="宋体" w:cs="宋体" w:eastAsia="宋体" w:hint="default"/>
                <w:sz w:val="18"/>
                <w:szCs w:val="18"/>
              </w:rPr>
              <w:t>、</w:t>
            </w:r>
            <w:r>
              <w:rPr>
                <w:rFonts w:ascii="Times New Roman" w:hAnsi="Times New Roman" w:cs="Times New Roman" w:eastAsia="Times New Roman" w:hint="default"/>
                <w:sz w:val="18"/>
                <w:szCs w:val="18"/>
              </w:rPr>
              <w:t>HPV18</w:t>
            </w:r>
            <w:r>
              <w:rPr>
                <w:rFonts w:ascii="宋体" w:hAnsi="宋体" w:cs="宋体" w:eastAsia="宋体" w:hint="default"/>
                <w:sz w:val="18"/>
                <w:szCs w:val="18"/>
              </w:rPr>
              <w:t>型核酸实现 定性检测。</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2022/6/27</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822"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43</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00" w:lineRule="auto"/>
              <w:ind w:left="98" w:right="346"/>
              <w:jc w:val="left"/>
              <w:rPr>
                <w:rFonts w:ascii="宋体" w:hAnsi="宋体" w:cs="宋体" w:eastAsia="宋体" w:hint="default"/>
                <w:sz w:val="18"/>
                <w:szCs w:val="18"/>
              </w:rPr>
            </w:pPr>
            <w:r>
              <w:rPr>
                <w:rFonts w:ascii="宋体" w:hAnsi="宋体" w:cs="宋体" w:eastAsia="宋体" w:hint="default"/>
                <w:sz w:val="18"/>
                <w:szCs w:val="18"/>
              </w:rPr>
              <w:t>人乳头瘤病毒（</w:t>
            </w:r>
            <w:r>
              <w:rPr>
                <w:rFonts w:ascii="Times New Roman" w:hAnsi="Times New Roman" w:cs="Times New Roman" w:eastAsia="Times New Roman" w:hint="default"/>
                <w:sz w:val="18"/>
                <w:szCs w:val="18"/>
              </w:rPr>
              <w:t>16</w:t>
            </w:r>
            <w:r>
              <w:rPr>
                <w:rFonts w:ascii="宋体" w:hAnsi="宋体" w:cs="宋体" w:eastAsia="宋体" w:hint="default"/>
                <w:sz w:val="18"/>
                <w:szCs w:val="18"/>
              </w:rPr>
              <w:t>种型 别）核酸检测试剂盒</w:t>
            </w:r>
          </w:p>
          <w:p>
            <w:pPr>
              <w:pStyle w:val="TableParagraph"/>
              <w:spacing w:line="240" w:lineRule="auto" w:before="31"/>
              <w:ind w:left="9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3"/>
              <w:ind w:left="96" w:right="221"/>
              <w:jc w:val="left"/>
              <w:rPr>
                <w:rFonts w:ascii="宋体" w:hAnsi="宋体" w:cs="宋体" w:eastAsia="宋体" w:hint="default"/>
                <w:sz w:val="18"/>
                <w:szCs w:val="18"/>
              </w:rPr>
            </w:pPr>
            <w:r>
              <w:rPr>
                <w:rFonts w:ascii="宋体" w:hAnsi="宋体" w:cs="宋体" w:eastAsia="宋体" w:hint="default"/>
                <w:sz w:val="18"/>
                <w:szCs w:val="18"/>
              </w:rPr>
              <w:t>该试剂盒针对女性宫颈脱落细胞中的</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中人乳头瘤病毒（</w:t>
            </w:r>
            <w:r>
              <w:rPr>
                <w:rFonts w:ascii="Times New Roman" w:hAnsi="Times New Roman" w:cs="Times New Roman" w:eastAsia="Times New Roman" w:hint="default"/>
                <w:sz w:val="18"/>
                <w:szCs w:val="18"/>
              </w:rPr>
              <w:t>HPV16</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31</w:t>
            </w:r>
            <w:r>
              <w:rPr>
                <w:rFonts w:ascii="宋体" w:hAnsi="宋体" w:cs="宋体" w:eastAsia="宋体" w:hint="default"/>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39</w:t>
            </w:r>
            <w:r>
              <w:rPr>
                <w:rFonts w:ascii="宋体" w:hAnsi="宋体" w:cs="宋体" w:eastAsia="宋体" w:hint="default"/>
                <w:sz w:val="18"/>
                <w:szCs w:val="18"/>
              </w:rPr>
              <w:t>、</w:t>
            </w:r>
            <w:r>
              <w:rPr>
                <w:rFonts w:ascii="Times New Roman" w:hAnsi="Times New Roman" w:cs="Times New Roman" w:eastAsia="Times New Roman" w:hint="default"/>
                <w:sz w:val="18"/>
                <w:szCs w:val="18"/>
              </w:rPr>
              <w:t>45</w:t>
            </w:r>
            <w:r>
              <w:rPr>
                <w:rFonts w:ascii="宋体" w:hAnsi="宋体" w:cs="宋体" w:eastAsia="宋体" w:hint="default"/>
                <w:sz w:val="18"/>
                <w:szCs w:val="18"/>
              </w:rPr>
              <w:t>、</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r>
              <w:rPr>
                <w:rFonts w:ascii="Times New Roman" w:hAnsi="Times New Roman" w:cs="Times New Roman" w:eastAsia="Times New Roman" w:hint="default"/>
                <w:sz w:val="18"/>
                <w:szCs w:val="18"/>
              </w:rPr>
              <w:t>52</w:t>
            </w:r>
            <w:r>
              <w:rPr>
                <w:rFonts w:ascii="宋体" w:hAnsi="宋体" w:cs="宋体" w:eastAsia="宋体" w:hint="default"/>
                <w:sz w:val="18"/>
                <w:szCs w:val="18"/>
              </w:rPr>
              <w:t>、</w:t>
            </w:r>
            <w:r>
              <w:rPr>
                <w:rFonts w:ascii="Times New Roman" w:hAnsi="Times New Roman" w:cs="Times New Roman" w:eastAsia="Times New Roman" w:hint="default"/>
                <w:sz w:val="18"/>
                <w:szCs w:val="18"/>
              </w:rPr>
              <w:t>53</w:t>
            </w:r>
            <w:r>
              <w:rPr>
                <w:rFonts w:ascii="宋体" w:hAnsi="宋体" w:cs="宋体" w:eastAsia="宋体" w:hint="default"/>
                <w:sz w:val="18"/>
                <w:szCs w:val="18"/>
              </w:rPr>
              <w:t>、</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p>
          <w:p>
            <w:pPr>
              <w:pStyle w:val="TableParagraph"/>
              <w:spacing w:line="300" w:lineRule="auto" w:before="13"/>
              <w:ind w:left="96" w:right="223"/>
              <w:jc w:val="left"/>
              <w:rPr>
                <w:rFonts w:ascii="宋体" w:hAnsi="宋体" w:cs="宋体" w:eastAsia="宋体" w:hint="default"/>
                <w:sz w:val="18"/>
                <w:szCs w:val="18"/>
              </w:rPr>
            </w:pPr>
            <w:r>
              <w:rPr>
                <w:rFonts w:ascii="Times New Roman" w:hAnsi="Times New Roman" w:cs="Times New Roman" w:eastAsia="Times New Roman" w:hint="default"/>
                <w:sz w:val="18"/>
                <w:szCs w:val="18"/>
              </w:rPr>
              <w:t>58</w:t>
            </w:r>
            <w:r>
              <w:rPr>
                <w:rFonts w:ascii="宋体" w:hAnsi="宋体" w:cs="宋体" w:eastAsia="宋体" w:hint="default"/>
                <w:sz w:val="18"/>
                <w:szCs w:val="18"/>
              </w:rPr>
              <w:t>、</w:t>
            </w:r>
            <w:r>
              <w:rPr>
                <w:rFonts w:ascii="Times New Roman" w:hAnsi="Times New Roman" w:cs="Times New Roman" w:eastAsia="Times New Roman" w:hint="default"/>
                <w:sz w:val="18"/>
                <w:szCs w:val="18"/>
              </w:rPr>
              <w:t>59</w:t>
            </w:r>
            <w:r>
              <w:rPr>
                <w:rFonts w:ascii="宋体" w:hAnsi="宋体" w:cs="宋体" w:eastAsia="宋体" w:hint="default"/>
                <w:sz w:val="18"/>
                <w:szCs w:val="18"/>
              </w:rPr>
              <w:t>、</w:t>
            </w:r>
            <w:r>
              <w:rPr>
                <w:rFonts w:ascii="Times New Roman" w:hAnsi="Times New Roman" w:cs="Times New Roman" w:eastAsia="Times New Roman" w:hint="default"/>
                <w:sz w:val="18"/>
                <w:szCs w:val="18"/>
              </w:rPr>
              <w:t>66</w:t>
            </w:r>
            <w:r>
              <w:rPr>
                <w:rFonts w:ascii="宋体" w:hAnsi="宋体" w:cs="宋体" w:eastAsia="宋体" w:hint="default"/>
                <w:sz w:val="18"/>
                <w:szCs w:val="18"/>
              </w:rPr>
              <w:t>、</w:t>
            </w:r>
            <w:r>
              <w:rPr>
                <w:rFonts w:ascii="Times New Roman" w:hAnsi="Times New Roman" w:cs="Times New Roman" w:eastAsia="Times New Roman" w:hint="default"/>
                <w:sz w:val="18"/>
                <w:szCs w:val="18"/>
              </w:rPr>
              <w:t>68</w:t>
            </w:r>
            <w:r>
              <w:rPr>
                <w:rFonts w:ascii="宋体" w:hAnsi="宋体" w:cs="宋体" w:eastAsia="宋体" w:hint="default"/>
                <w:sz w:val="18"/>
                <w:szCs w:val="18"/>
              </w:rPr>
              <w:t>、</w:t>
            </w:r>
            <w:r>
              <w:rPr>
                <w:rFonts w:ascii="Times New Roman" w:hAnsi="Times New Roman" w:cs="Times New Roman" w:eastAsia="Times New Roman" w:hint="default"/>
                <w:sz w:val="18"/>
                <w:szCs w:val="18"/>
              </w:rPr>
              <w:t>73</w:t>
            </w:r>
            <w:r>
              <w:rPr>
                <w:rFonts w:ascii="宋体" w:hAnsi="宋体" w:cs="宋体" w:eastAsia="宋体" w:hint="default"/>
                <w:sz w:val="18"/>
                <w:szCs w:val="18"/>
              </w:rPr>
              <w:t>）核酸实现定性检 测。</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2022/6/27</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883"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68"/>
              <w:jc w:val="right"/>
              <w:rPr>
                <w:rFonts w:ascii="Times New Roman" w:hAnsi="Times New Roman" w:cs="Times New Roman" w:eastAsia="Times New Roman" w:hint="default"/>
                <w:sz w:val="18"/>
                <w:szCs w:val="18"/>
              </w:rPr>
            </w:pPr>
            <w:r>
              <w:rPr>
                <w:rFonts w:ascii="Times New Roman"/>
                <w:sz w:val="18"/>
              </w:rPr>
              <w:t>44</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0"/>
              <w:ind w:left="98" w:right="219"/>
              <w:jc w:val="left"/>
              <w:rPr>
                <w:rFonts w:ascii="宋体" w:hAnsi="宋体" w:cs="宋体" w:eastAsia="宋体" w:hint="default"/>
                <w:sz w:val="18"/>
                <w:szCs w:val="18"/>
              </w:rPr>
            </w:pPr>
            <w:r>
              <w:rPr>
                <w:rFonts w:ascii="宋体" w:hAnsi="宋体" w:cs="宋体" w:eastAsia="宋体" w:hint="default"/>
                <w:sz w:val="18"/>
                <w:szCs w:val="18"/>
              </w:rPr>
              <w:t>弓形虫</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抗体检测试剂 盒（酶联免疫法）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本试剂盒用于体外定性检测人血清或血 浆中弓形虫的特异性</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
              <w:jc w:val="center"/>
              <w:rPr>
                <w:rFonts w:ascii="Times New Roman" w:hAnsi="Times New Roman" w:cs="Times New Roman" w:eastAsia="Times New Roman" w:hint="default"/>
                <w:sz w:val="18"/>
                <w:szCs w:val="18"/>
              </w:rPr>
            </w:pPr>
            <w:r>
              <w:rPr>
                <w:rFonts w:ascii="Times New Roman"/>
                <w:sz w:val="18"/>
              </w:rPr>
              <w:t>2022/11/2</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07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45</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30"/>
              <w:ind w:left="98" w:right="168"/>
              <w:jc w:val="left"/>
              <w:rPr>
                <w:rFonts w:ascii="宋体" w:hAnsi="宋体" w:cs="宋体" w:eastAsia="宋体" w:hint="default"/>
                <w:sz w:val="18"/>
                <w:szCs w:val="18"/>
              </w:rPr>
            </w:pPr>
            <w:r>
              <w:rPr>
                <w:rFonts w:ascii="宋体" w:hAnsi="宋体" w:cs="宋体" w:eastAsia="宋体" w:hint="default"/>
                <w:sz w:val="18"/>
                <w:szCs w:val="18"/>
              </w:rPr>
              <w:t>弓形虫、风疹病毒、巨细 胞病毒、单纯疱疹病毒</w:t>
            </w:r>
          </w:p>
          <w:p>
            <w:pPr>
              <w:pStyle w:val="TableParagraph"/>
              <w:spacing w:line="240" w:lineRule="auto" w:before="17"/>
              <w:ind w:left="9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w:t>
            </w:r>
            <w:r>
              <w:rPr>
                <w:rFonts w:ascii="宋体" w:hAnsi="宋体" w:cs="宋体" w:eastAsia="宋体" w:hint="default"/>
                <w:sz w:val="18"/>
                <w:szCs w:val="18"/>
              </w:rPr>
              <w:t>）型、单纯疱疹病毒</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30"/>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本试剂盒用于体外定性检测人血清或血 浆中弓形虫（</w:t>
            </w:r>
            <w:r>
              <w:rPr>
                <w:rFonts w:ascii="Times New Roman" w:hAnsi="Times New Roman" w:cs="Times New Roman" w:eastAsia="Times New Roman" w:hint="default"/>
                <w:sz w:val="18"/>
                <w:szCs w:val="18"/>
              </w:rPr>
              <w:t>Toxo</w:t>
            </w:r>
            <w:r>
              <w:rPr>
                <w:rFonts w:ascii="宋体" w:hAnsi="宋体" w:cs="宋体" w:eastAsia="宋体" w:hint="default"/>
                <w:sz w:val="18"/>
                <w:szCs w:val="18"/>
              </w:rPr>
              <w:t>）、风疹病毒</w:t>
            </w:r>
          </w:p>
          <w:p>
            <w:pPr>
              <w:pStyle w:val="TableParagraph"/>
              <w:spacing w:line="246" w:lineRule="exact"/>
              <w:ind w:left="9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RV</w:t>
            </w:r>
            <w:r>
              <w:rPr>
                <w:rFonts w:ascii="宋体" w:hAnsi="宋体" w:cs="宋体" w:eastAsia="宋体" w:hint="default"/>
                <w:sz w:val="18"/>
                <w:szCs w:val="18"/>
              </w:rPr>
              <w:t>）、巨细胞病毒（</w:t>
            </w:r>
            <w:r>
              <w:rPr>
                <w:rFonts w:ascii="Times New Roman" w:hAnsi="Times New Roman" w:cs="Times New Roman" w:eastAsia="Times New Roman" w:hint="default"/>
                <w:sz w:val="18"/>
                <w:szCs w:val="18"/>
              </w:rPr>
              <w:t>CMV</w:t>
            </w:r>
            <w:r>
              <w:rPr>
                <w:rFonts w:ascii="宋体" w:hAnsi="宋体" w:cs="宋体" w:eastAsia="宋体" w:hint="default"/>
                <w:sz w:val="18"/>
                <w:szCs w:val="18"/>
              </w:rPr>
              <w:t>）、单纯疱</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2018/5/12</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bl>
    <w:p>
      <w:pPr>
        <w:spacing w:after="0" w:line="240" w:lineRule="auto"/>
        <w:jc w:val="center"/>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543"/>
        <w:gridCol w:w="2269"/>
        <w:gridCol w:w="710"/>
        <w:gridCol w:w="3401"/>
        <w:gridCol w:w="1381"/>
        <w:gridCol w:w="1289"/>
      </w:tblGrid>
      <w:tr>
        <w:trPr>
          <w:trHeight w:val="88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70" w:right="17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63" w:right="161"/>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89"/>
                <w:sz w:val="18"/>
                <w:szCs w:val="18"/>
              </w:rPr>
              <w:t> </w:t>
            </w:r>
            <w:r>
              <w:rPr>
                <w:rFonts w:ascii="宋体" w:hAnsi="宋体" w:cs="宋体" w:eastAsia="宋体" w:hint="default"/>
                <w:b/>
                <w:bCs/>
                <w:sz w:val="18"/>
                <w:szCs w:val="18"/>
              </w:rPr>
              <w:t>分类</w:t>
            </w:r>
            <w:r>
              <w:rPr>
                <w:rFonts w:ascii="宋体" w:hAnsi="宋体" w:cs="宋体" w:eastAsia="宋体" w:hint="default"/>
                <w:sz w:val="18"/>
                <w:szCs w:val="18"/>
              </w:rPr>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注册证有效期</w:t>
            </w:r>
            <w:r>
              <w:rPr>
                <w:rFonts w:ascii="宋体" w:hAnsi="宋体" w:cs="宋体" w:eastAsia="宋体" w:hint="default"/>
                <w:sz w:val="18"/>
                <w:szCs w:val="18"/>
              </w:rPr>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1078" w:hRule="exact"/>
        </w:trPr>
        <w:tc>
          <w:tcPr>
            <w:tcW w:w="543" w:type="dxa"/>
            <w:tcBorders>
              <w:top w:val="single" w:sz="8" w:space="0" w:color="000000"/>
              <w:left w:val="single" w:sz="8" w:space="0" w:color="000000"/>
              <w:bottom w:val="single" w:sz="8" w:space="0" w:color="000000"/>
              <w:right w:val="single" w:sz="8" w:space="0" w:color="000000"/>
            </w:tcBorders>
          </w:tcPr>
          <w:p>
            <w:pP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
              <w:ind w:left="98" w:right="168"/>
              <w:jc w:val="left"/>
              <w:rPr>
                <w:rFonts w:ascii="宋体" w:hAnsi="宋体" w:cs="宋体" w:eastAsia="宋体" w:hint="default"/>
                <w:sz w:val="18"/>
                <w:szCs w:val="18"/>
              </w:rPr>
            </w:pPr>
            <w:r>
              <w:rPr>
                <w:rFonts w:ascii="宋体" w:hAnsi="宋体" w:cs="宋体" w:eastAsia="宋体" w:hint="default"/>
                <w:sz w:val="18"/>
                <w:szCs w:val="18"/>
              </w:rPr>
              <w:t>（Ⅱ）型五种病原体</w:t>
            </w:r>
            <w:r>
              <w:rPr>
                <w:rFonts w:ascii="Times New Roman" w:hAnsi="Times New Roman" w:cs="Times New Roman" w:eastAsia="Times New Roman" w:hint="default"/>
                <w:sz w:val="18"/>
                <w:szCs w:val="18"/>
              </w:rPr>
              <w:t>IgG</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抗体检测试剂盒（微阵列 酶联免疫法）</w:t>
            </w:r>
          </w:p>
        </w:tc>
        <w:tc>
          <w:tcPr>
            <w:tcW w:w="710" w:type="dxa"/>
            <w:tcBorders>
              <w:top w:val="single" w:sz="8" w:space="0" w:color="000000"/>
              <w:left w:val="single" w:sz="8" w:space="0" w:color="000000"/>
              <w:bottom w:val="single" w:sz="8" w:space="0" w:color="000000"/>
              <w:right w:val="single" w:sz="8" w:space="0" w:color="000000"/>
            </w:tcBorders>
          </w:tcPr>
          <w:p>
            <w:pP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疹病毒</w:t>
            </w:r>
            <w:r>
              <w:rPr>
                <w:rFonts w:ascii="Times New Roman" w:hAnsi="Times New Roman" w:cs="Times New Roman" w:eastAsia="Times New Roman" w:hint="default"/>
                <w:sz w:val="18"/>
                <w:szCs w:val="18"/>
              </w:rPr>
              <w:t>I</w:t>
            </w:r>
            <w:r>
              <w:rPr>
                <w:rFonts w:ascii="宋体" w:hAnsi="宋体" w:cs="宋体" w:eastAsia="宋体" w:hint="default"/>
                <w:sz w:val="18"/>
                <w:szCs w:val="18"/>
              </w:rPr>
              <w:t>（</w:t>
            </w:r>
            <w:r>
              <w:rPr>
                <w:rFonts w:ascii="Times New Roman" w:hAnsi="Times New Roman" w:cs="Times New Roman" w:eastAsia="Times New Roman" w:hint="default"/>
                <w:sz w:val="18"/>
                <w:szCs w:val="18"/>
              </w:rPr>
              <w:t>HSV</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w:t>
            </w:r>
            <w:r>
              <w:rPr>
                <w:rFonts w:ascii="宋体" w:hAnsi="宋体" w:cs="宋体" w:eastAsia="宋体" w:hint="default"/>
                <w:sz w:val="18"/>
                <w:szCs w:val="18"/>
              </w:rPr>
              <w:t>）和单纯疱疹病毒</w:t>
            </w:r>
            <w:r>
              <w:rPr>
                <w:rFonts w:ascii="Times New Roman" w:hAnsi="Times New Roman" w:cs="Times New Roman" w:eastAsia="Times New Roman" w:hint="default"/>
                <w:sz w:val="18"/>
                <w:szCs w:val="18"/>
              </w:rPr>
              <w:t>II</w:t>
            </w:r>
          </w:p>
          <w:p>
            <w:pPr>
              <w:pStyle w:val="TableParagraph"/>
              <w:spacing w:line="300" w:lineRule="auto" w:before="63"/>
              <w:ind w:left="96" w:right="20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HSV II</w:t>
            </w:r>
            <w:r>
              <w:rPr>
                <w:rFonts w:ascii="宋体" w:hAnsi="宋体" w:cs="宋体" w:eastAsia="宋体" w:hint="default"/>
                <w:sz w:val="18"/>
                <w:szCs w:val="18"/>
              </w:rPr>
              <w:t>）五种病原体（简称</w:t>
            </w:r>
            <w:r>
              <w:rPr>
                <w:rFonts w:ascii="Times New Roman" w:hAnsi="Times New Roman" w:cs="Times New Roman" w:eastAsia="Times New Roman" w:hint="default"/>
                <w:sz w:val="18"/>
                <w:szCs w:val="18"/>
              </w:rPr>
              <w:t>ToRCH</w:t>
            </w:r>
            <w:r>
              <w:rPr>
                <w:rFonts w:ascii="宋体" w:hAnsi="宋体" w:cs="宋体" w:eastAsia="宋体" w:hint="default"/>
                <w:sz w:val="18"/>
                <w:szCs w:val="18"/>
              </w:rPr>
              <w:t>） 的</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w:t>
            </w:r>
          </w:p>
        </w:tc>
        <w:tc>
          <w:tcPr>
            <w:tcW w:w="1381" w:type="dxa"/>
            <w:tcBorders>
              <w:top w:val="single" w:sz="8" w:space="0" w:color="000000"/>
              <w:left w:val="single" w:sz="8" w:space="0" w:color="000000"/>
              <w:bottom w:val="single" w:sz="8" w:space="0" w:color="000000"/>
              <w:right w:val="single" w:sz="8" w:space="0" w:color="000000"/>
            </w:tcBorders>
          </w:tcPr>
          <w:p>
            <w:pPr/>
          </w:p>
        </w:tc>
        <w:tc>
          <w:tcPr>
            <w:tcW w:w="1289" w:type="dxa"/>
            <w:tcBorders>
              <w:top w:val="single" w:sz="8" w:space="0" w:color="000000"/>
              <w:left w:val="single" w:sz="8" w:space="0" w:color="000000"/>
              <w:bottom w:val="single" w:sz="8" w:space="0" w:color="000000"/>
              <w:right w:val="single" w:sz="8" w:space="0" w:color="000000"/>
            </w:tcBorders>
          </w:tcPr>
          <w:p>
            <w:pPr/>
          </w:p>
        </w:tc>
      </w:tr>
      <w:tr>
        <w:trPr>
          <w:trHeight w:val="883"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68"/>
              <w:jc w:val="right"/>
              <w:rPr>
                <w:rFonts w:ascii="Times New Roman" w:hAnsi="Times New Roman" w:cs="Times New Roman" w:eastAsia="Times New Roman" w:hint="default"/>
                <w:sz w:val="18"/>
                <w:szCs w:val="18"/>
              </w:rPr>
            </w:pPr>
            <w:r>
              <w:rPr>
                <w:rFonts w:ascii="Times New Roman"/>
                <w:sz w:val="18"/>
              </w:rPr>
              <w:t>46</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0"/>
              <w:ind w:left="98" w:right="219"/>
              <w:jc w:val="left"/>
              <w:rPr>
                <w:rFonts w:ascii="宋体" w:hAnsi="宋体" w:cs="宋体" w:eastAsia="宋体" w:hint="default"/>
                <w:sz w:val="18"/>
                <w:szCs w:val="18"/>
              </w:rPr>
            </w:pPr>
            <w:r>
              <w:rPr>
                <w:rFonts w:ascii="宋体" w:hAnsi="宋体" w:cs="宋体" w:eastAsia="宋体" w:hint="default"/>
                <w:sz w:val="18"/>
                <w:szCs w:val="18"/>
              </w:rPr>
              <w:t>巨细胞病毒</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抗体检测 试剂盒（酶联免疫法）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本试剂盒用于体外定性检测人血清或血 浆中巨细胞病毒的特异性</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2018/5/28</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88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68"/>
              <w:jc w:val="right"/>
              <w:rPr>
                <w:rFonts w:ascii="Times New Roman" w:hAnsi="Times New Roman" w:cs="Times New Roman" w:eastAsia="Times New Roman" w:hint="default"/>
                <w:sz w:val="18"/>
                <w:szCs w:val="18"/>
              </w:rPr>
            </w:pPr>
            <w:r>
              <w:rPr>
                <w:rFonts w:ascii="Times New Roman"/>
                <w:sz w:val="18"/>
              </w:rPr>
              <w:t>47</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0"/>
              <w:ind w:left="98" w:right="219"/>
              <w:jc w:val="left"/>
              <w:rPr>
                <w:rFonts w:ascii="宋体" w:hAnsi="宋体" w:cs="宋体" w:eastAsia="宋体" w:hint="default"/>
                <w:sz w:val="18"/>
                <w:szCs w:val="18"/>
              </w:rPr>
            </w:pPr>
            <w:r>
              <w:rPr>
                <w:rFonts w:ascii="宋体" w:hAnsi="宋体" w:cs="宋体" w:eastAsia="宋体" w:hint="default"/>
                <w:sz w:val="18"/>
                <w:szCs w:val="18"/>
              </w:rPr>
              <w:t>风疹病毒</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抗体检测试 剂盒（酶联免疫法）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30"/>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本试剂盒用于体外定性检测人血清或血 浆中风疹病毒的特异性</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2018/5/28</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48</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3"/>
              <w:ind w:left="98" w:right="219"/>
              <w:jc w:val="left"/>
              <w:rPr>
                <w:rFonts w:ascii="宋体" w:hAnsi="宋体" w:cs="宋体" w:eastAsia="宋体" w:hint="default"/>
                <w:sz w:val="18"/>
                <w:szCs w:val="18"/>
              </w:rPr>
            </w:pPr>
            <w:r>
              <w:rPr>
                <w:rFonts w:ascii="宋体" w:hAnsi="宋体" w:cs="宋体" w:eastAsia="宋体" w:hint="default"/>
                <w:sz w:val="18"/>
                <w:szCs w:val="18"/>
              </w:rPr>
              <w:t>单纯疱疹病毒（Ⅱ型） </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抗体检测试剂盒（酶 联免疫法）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本试剂盒用于体外定性检测人血清或血 浆中单纯疱疹病毒（</w:t>
            </w:r>
            <w:r>
              <w:rPr>
                <w:rFonts w:ascii="Times New Roman" w:hAnsi="Times New Roman" w:cs="Times New Roman" w:eastAsia="Times New Roman" w:hint="default"/>
                <w:sz w:val="18"/>
                <w:szCs w:val="18"/>
              </w:rPr>
              <w:t>II</w:t>
            </w:r>
            <w:r>
              <w:rPr>
                <w:rFonts w:ascii="宋体" w:hAnsi="宋体" w:cs="宋体" w:eastAsia="宋体" w:hint="default"/>
                <w:sz w:val="18"/>
                <w:szCs w:val="18"/>
              </w:rPr>
              <w:t>型）</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2018/5/28</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195"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49</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219"/>
              <w:jc w:val="left"/>
              <w:rPr>
                <w:rFonts w:ascii="宋体" w:hAnsi="宋体" w:cs="宋体" w:eastAsia="宋体" w:hint="default"/>
                <w:sz w:val="18"/>
                <w:szCs w:val="18"/>
              </w:rPr>
            </w:pPr>
            <w:r>
              <w:rPr>
                <w:rFonts w:ascii="宋体" w:hAnsi="宋体" w:cs="宋体" w:eastAsia="宋体" w:hint="default"/>
                <w:sz w:val="18"/>
                <w:szCs w:val="18"/>
              </w:rPr>
              <w:t>单纯疱疹病毒（Ⅰ型） </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抗体检测试剂盒（酶 联免疫法）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11"/>
              <w:jc w:val="left"/>
              <w:rPr>
                <w:rFonts w:ascii="宋体" w:hAnsi="宋体" w:cs="宋体" w:eastAsia="宋体" w:hint="default"/>
                <w:sz w:val="18"/>
                <w:szCs w:val="18"/>
              </w:rPr>
            </w:pPr>
            <w:r>
              <w:rPr>
                <w:rFonts w:ascii="宋体" w:hAnsi="宋体" w:cs="宋体" w:eastAsia="宋体" w:hint="default"/>
                <w:sz w:val="18"/>
                <w:szCs w:val="18"/>
              </w:rPr>
              <w:t>本试剂盒用于体外定性检测人血清或血 浆中的单纯疱疹病毒（</w:t>
            </w:r>
            <w:r>
              <w:rPr>
                <w:rFonts w:ascii="Times New Roman" w:hAnsi="Times New Roman" w:cs="Times New Roman" w:eastAsia="Times New Roman" w:hint="default"/>
                <w:sz w:val="18"/>
                <w:szCs w:val="18"/>
              </w:rPr>
              <w:t>I</w:t>
            </w:r>
            <w:r>
              <w:rPr>
                <w:rFonts w:ascii="宋体" w:hAnsi="宋体" w:cs="宋体" w:eastAsia="宋体" w:hint="default"/>
                <w:sz w:val="18"/>
                <w:szCs w:val="18"/>
              </w:rPr>
              <w:t>型）</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2019/6/18</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19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50</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168"/>
              <w:jc w:val="left"/>
              <w:rPr>
                <w:rFonts w:ascii="宋体" w:hAnsi="宋体" w:cs="宋体" w:eastAsia="宋体" w:hint="default"/>
                <w:sz w:val="18"/>
                <w:szCs w:val="18"/>
              </w:rPr>
            </w:pPr>
            <w:r>
              <w:rPr>
                <w:rFonts w:ascii="宋体" w:hAnsi="宋体" w:cs="宋体" w:eastAsia="宋体" w:hint="default"/>
                <w:sz w:val="18"/>
                <w:szCs w:val="18"/>
              </w:rPr>
              <w:t>结核分枝杆菌</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抗体谱 检测试剂盒（微阵列酶联 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6" w:right="103"/>
              <w:jc w:val="left"/>
              <w:rPr>
                <w:rFonts w:ascii="宋体" w:hAnsi="宋体" w:cs="宋体" w:eastAsia="宋体" w:hint="default"/>
                <w:sz w:val="18"/>
                <w:szCs w:val="18"/>
              </w:rPr>
            </w:pPr>
            <w:r>
              <w:rPr>
                <w:rFonts w:ascii="宋体" w:hAnsi="宋体" w:cs="宋体" w:eastAsia="宋体" w:hint="default"/>
                <w:sz w:val="18"/>
                <w:szCs w:val="18"/>
              </w:rPr>
              <w:t>本试剂盒用于体外定性检测人血清中抗 多种结核抗原（</w:t>
            </w:r>
            <w:r>
              <w:rPr>
                <w:rFonts w:ascii="Times New Roman" w:hAnsi="Times New Roman" w:cs="Times New Roman" w:eastAsia="Times New Roman" w:hint="default"/>
                <w:sz w:val="18"/>
                <w:szCs w:val="18"/>
              </w:rPr>
              <w:t>16KDa</w:t>
            </w:r>
            <w:r>
              <w:rPr>
                <w:rFonts w:ascii="宋体" w:hAnsi="宋体" w:cs="宋体" w:eastAsia="宋体" w:hint="default"/>
                <w:sz w:val="18"/>
                <w:szCs w:val="18"/>
              </w:rPr>
              <w:t>、</w:t>
            </w:r>
            <w:r>
              <w:rPr>
                <w:rFonts w:ascii="Times New Roman" w:hAnsi="Times New Roman" w:cs="Times New Roman" w:eastAsia="Times New Roman" w:hint="default"/>
                <w:sz w:val="18"/>
                <w:szCs w:val="18"/>
              </w:rPr>
              <w:t>38KDa</w:t>
            </w:r>
            <w:r>
              <w:rPr>
                <w:rFonts w:ascii="宋体" w:hAnsi="宋体" w:cs="宋体" w:eastAsia="宋体" w:hint="default"/>
                <w:sz w:val="18"/>
                <w:szCs w:val="18"/>
              </w:rPr>
              <w:t>、</w:t>
            </w:r>
            <w:r>
              <w:rPr>
                <w:rFonts w:ascii="Times New Roman" w:hAnsi="Times New Roman" w:cs="Times New Roman" w:eastAsia="Times New Roman" w:hint="default"/>
                <w:sz w:val="18"/>
                <w:szCs w:val="18"/>
              </w:rPr>
              <w:t>Ag85B </w:t>
            </w:r>
            <w:r>
              <w:rPr>
                <w:rFonts w:ascii="宋体" w:hAnsi="宋体" w:cs="宋体" w:eastAsia="宋体" w:hint="default"/>
                <w:sz w:val="18"/>
                <w:szCs w:val="18"/>
              </w:rPr>
              <w:t>和</w:t>
            </w:r>
            <w:r>
              <w:rPr>
                <w:rFonts w:ascii="Times New Roman" w:hAnsi="Times New Roman" w:cs="Times New Roman" w:eastAsia="Times New Roman" w:hint="default"/>
                <w:sz w:val="18"/>
                <w:szCs w:val="18"/>
              </w:rPr>
              <w:t>MPT64</w:t>
            </w:r>
            <w:r>
              <w:rPr>
                <w:rFonts w:ascii="宋体" w:hAnsi="宋体" w:cs="宋体" w:eastAsia="宋体" w:hint="default"/>
                <w:sz w:val="18"/>
                <w:szCs w:val="18"/>
              </w:rPr>
              <w:t>）的抗体。</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2019/6/18</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51</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3"/>
              <w:ind w:left="98" w:right="98"/>
              <w:jc w:val="left"/>
              <w:rPr>
                <w:rFonts w:ascii="宋体" w:hAnsi="宋体" w:cs="宋体" w:eastAsia="宋体" w:hint="default"/>
                <w:sz w:val="18"/>
                <w:szCs w:val="18"/>
              </w:rPr>
            </w:pPr>
            <w:r>
              <w:rPr>
                <w:rFonts w:ascii="宋体" w:hAnsi="宋体" w:cs="宋体" w:eastAsia="宋体" w:hint="default"/>
                <w:sz w:val="18"/>
                <w:szCs w:val="18"/>
              </w:rPr>
              <w:t>糖类抗原</w:t>
            </w:r>
            <w:r>
              <w:rPr>
                <w:rFonts w:ascii="Times New Roman" w:hAnsi="Times New Roman" w:cs="Times New Roman" w:eastAsia="Times New Roman" w:hint="default"/>
                <w:sz w:val="18"/>
                <w:szCs w:val="18"/>
              </w:rPr>
              <w:t>242</w:t>
            </w:r>
            <w:r>
              <w:rPr>
                <w:rFonts w:ascii="宋体" w:hAnsi="宋体" w:cs="宋体" w:eastAsia="宋体" w:hint="default"/>
                <w:sz w:val="18"/>
                <w:szCs w:val="18"/>
              </w:rPr>
              <w:t>（</w:t>
            </w:r>
            <w:r>
              <w:rPr>
                <w:rFonts w:ascii="Times New Roman" w:hAnsi="Times New Roman" w:cs="Times New Roman" w:eastAsia="Times New Roman" w:hint="default"/>
                <w:sz w:val="18"/>
                <w:szCs w:val="18"/>
              </w:rPr>
              <w:t>CA242</w:t>
            </w:r>
            <w:r>
              <w:rPr>
                <w:rFonts w:ascii="宋体" w:hAnsi="宋体" w:cs="宋体" w:eastAsia="宋体" w:hint="default"/>
                <w:sz w:val="18"/>
                <w:szCs w:val="18"/>
              </w:rPr>
              <w:t>）测 定试剂盒（化学发光免疫 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该产品用于体外定量检测人血清或血浆 中糖类抗原</w:t>
            </w:r>
            <w:r>
              <w:rPr>
                <w:rFonts w:ascii="Times New Roman" w:hAnsi="Times New Roman" w:cs="Times New Roman" w:eastAsia="Times New Roman" w:hint="default"/>
                <w:sz w:val="18"/>
                <w:szCs w:val="18"/>
              </w:rPr>
              <w:t>242</w:t>
            </w:r>
            <w:r>
              <w:rPr>
                <w:rFonts w:ascii="宋体" w:hAnsi="宋体" w:cs="宋体" w:eastAsia="宋体" w:hint="default"/>
                <w:sz w:val="18"/>
                <w:szCs w:val="18"/>
              </w:rPr>
              <w:t>（</w:t>
            </w:r>
            <w:r>
              <w:rPr>
                <w:rFonts w:ascii="Times New Roman" w:hAnsi="Times New Roman" w:cs="Times New Roman" w:eastAsia="Times New Roman" w:hint="default"/>
                <w:sz w:val="18"/>
                <w:szCs w:val="18"/>
              </w:rPr>
              <w:t>CA242</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2020/12/15</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195"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52</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168"/>
              <w:jc w:val="both"/>
              <w:rPr>
                <w:rFonts w:ascii="宋体" w:hAnsi="宋体" w:cs="宋体" w:eastAsia="宋体" w:hint="default"/>
                <w:sz w:val="18"/>
                <w:szCs w:val="18"/>
              </w:rPr>
            </w:pPr>
            <w:r>
              <w:rPr>
                <w:rFonts w:ascii="宋体" w:hAnsi="宋体" w:cs="宋体" w:eastAsia="宋体" w:hint="default"/>
                <w:sz w:val="18"/>
                <w:szCs w:val="18"/>
              </w:rPr>
              <w:t>人生长激素（</w:t>
            </w:r>
            <w:r>
              <w:rPr>
                <w:rFonts w:ascii="Times New Roman" w:hAnsi="Times New Roman" w:cs="Times New Roman" w:eastAsia="Times New Roman" w:hint="default"/>
                <w:sz w:val="18"/>
                <w:szCs w:val="18"/>
              </w:rPr>
              <w:t>hGH</w:t>
            </w:r>
            <w:r>
              <w:rPr>
                <w:rFonts w:ascii="宋体" w:hAnsi="宋体" w:cs="宋体" w:eastAsia="宋体" w:hint="default"/>
                <w:sz w:val="18"/>
                <w:szCs w:val="18"/>
              </w:rPr>
              <w:t>）测定 试剂盒（化学发光免疫分 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该产品用于体外定量检测人血清或血浆 中人生长激素（</w:t>
            </w:r>
            <w:r>
              <w:rPr>
                <w:rFonts w:ascii="Times New Roman" w:hAnsi="Times New Roman" w:cs="Times New Roman" w:eastAsia="Times New Roman" w:hint="default"/>
                <w:sz w:val="18"/>
                <w:szCs w:val="18"/>
              </w:rPr>
              <w:t>hGH</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2020/12/15</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19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53</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1"/>
              <w:ind w:left="98" w:right="98"/>
              <w:jc w:val="left"/>
              <w:rPr>
                <w:rFonts w:ascii="宋体" w:hAnsi="宋体" w:cs="宋体" w:eastAsia="宋体" w:hint="default"/>
                <w:sz w:val="18"/>
                <w:szCs w:val="18"/>
              </w:rPr>
            </w:pPr>
            <w:r>
              <w:rPr>
                <w:rFonts w:ascii="宋体" w:hAnsi="宋体" w:cs="宋体" w:eastAsia="宋体" w:hint="default"/>
                <w:sz w:val="18"/>
                <w:szCs w:val="18"/>
              </w:rPr>
              <w:t>糖类抗原</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CA125</w:t>
            </w:r>
            <w:r>
              <w:rPr>
                <w:rFonts w:ascii="宋体" w:hAnsi="宋体" w:cs="宋体" w:eastAsia="宋体" w:hint="default"/>
                <w:sz w:val="18"/>
                <w:szCs w:val="18"/>
              </w:rPr>
              <w:t>）测 定试剂盒（化学发光免疫 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该产品用于体外定量检测人血清或血浆 中糖类抗原</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CA125</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2020/12/15</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54</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3"/>
              <w:ind w:left="98" w:right="106"/>
              <w:jc w:val="left"/>
              <w:rPr>
                <w:rFonts w:ascii="宋体" w:hAnsi="宋体" w:cs="宋体" w:eastAsia="宋体" w:hint="default"/>
                <w:sz w:val="18"/>
                <w:szCs w:val="18"/>
              </w:rPr>
            </w:pPr>
            <w:r>
              <w:rPr>
                <w:rFonts w:ascii="宋体" w:hAnsi="宋体" w:cs="宋体" w:eastAsia="宋体" w:hint="default"/>
                <w:sz w:val="18"/>
                <w:szCs w:val="18"/>
              </w:rPr>
              <w:t>人附睾蛋白</w:t>
            </w:r>
            <w:r>
              <w:rPr>
                <w:rFonts w:ascii="Times New Roman" w:hAnsi="Times New Roman" w:cs="Times New Roman" w:eastAsia="Times New Roman" w:hint="default"/>
                <w:sz w:val="18"/>
                <w:szCs w:val="18"/>
              </w:rPr>
              <w:t>4(HE-4)</w:t>
            </w:r>
            <w:r>
              <w:rPr>
                <w:rFonts w:ascii="宋体" w:hAnsi="宋体" w:cs="宋体" w:eastAsia="宋体" w:hint="default"/>
                <w:sz w:val="18"/>
                <w:szCs w:val="18"/>
              </w:rPr>
              <w:t>测定试 剂盒（化学发光免疫分析 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该产品用于体外定量检测人血清或血浆 中人附睾蛋白</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HE-4</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2020/12/15</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19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55</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158"/>
              <w:jc w:val="both"/>
              <w:rPr>
                <w:rFonts w:ascii="宋体" w:hAnsi="宋体" w:cs="宋体" w:eastAsia="宋体" w:hint="default"/>
                <w:sz w:val="18"/>
                <w:szCs w:val="18"/>
              </w:rPr>
            </w:pPr>
            <w:r>
              <w:rPr>
                <w:rFonts w:ascii="宋体" w:hAnsi="宋体" w:cs="宋体" w:eastAsia="宋体" w:hint="default"/>
                <w:sz w:val="18"/>
                <w:szCs w:val="18"/>
              </w:rPr>
              <w:t>糖类抗原</w:t>
            </w:r>
            <w:r>
              <w:rPr>
                <w:rFonts w:ascii="Times New Roman" w:hAnsi="Times New Roman" w:cs="Times New Roman" w:eastAsia="Times New Roman" w:hint="default"/>
                <w:sz w:val="18"/>
                <w:szCs w:val="18"/>
              </w:rPr>
              <w:t>19-9</w:t>
            </w:r>
            <w:r>
              <w:rPr>
                <w:rFonts w:ascii="宋体" w:hAnsi="宋体" w:cs="宋体" w:eastAsia="宋体" w:hint="default"/>
                <w:sz w:val="18"/>
                <w:szCs w:val="18"/>
              </w:rPr>
              <w:t>（</w:t>
            </w:r>
            <w:r>
              <w:rPr>
                <w:rFonts w:ascii="Times New Roman" w:hAnsi="Times New Roman" w:cs="Times New Roman" w:eastAsia="Times New Roman" w:hint="default"/>
                <w:sz w:val="18"/>
                <w:szCs w:val="18"/>
              </w:rPr>
              <w:t>CA19-9</w:t>
            </w:r>
            <w:r>
              <w:rPr>
                <w:rFonts w:ascii="宋体" w:hAnsi="宋体" w:cs="宋体" w:eastAsia="宋体" w:hint="default"/>
                <w:sz w:val="18"/>
                <w:szCs w:val="18"/>
              </w:rPr>
              <w:t>） 测定试剂盒（化学发光免 疫分析法）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该产品用于体外定量检测人血清或血浆 中糖类抗原</w:t>
            </w:r>
            <w:r>
              <w:rPr>
                <w:rFonts w:ascii="Times New Roman" w:hAnsi="Times New Roman" w:cs="Times New Roman" w:eastAsia="Times New Roman" w:hint="default"/>
                <w:sz w:val="18"/>
                <w:szCs w:val="18"/>
              </w:rPr>
              <w:t>19-9</w:t>
            </w:r>
            <w:r>
              <w:rPr>
                <w:rFonts w:ascii="宋体" w:hAnsi="宋体" w:cs="宋体" w:eastAsia="宋体" w:hint="default"/>
                <w:sz w:val="18"/>
                <w:szCs w:val="18"/>
              </w:rPr>
              <w:t>（</w:t>
            </w:r>
            <w:r>
              <w:rPr>
                <w:rFonts w:ascii="Times New Roman" w:hAnsi="Times New Roman" w:cs="Times New Roman" w:eastAsia="Times New Roman" w:hint="default"/>
                <w:sz w:val="18"/>
                <w:szCs w:val="18"/>
              </w:rPr>
              <w:t>CA19-9</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2020/12/15</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57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56</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糖类抗原</w:t>
            </w:r>
            <w:r>
              <w:rPr>
                <w:rFonts w:ascii="Times New Roman" w:hAnsi="Times New Roman" w:cs="Times New Roman" w:eastAsia="Times New Roman" w:hint="default"/>
                <w:sz w:val="18"/>
                <w:szCs w:val="18"/>
              </w:rPr>
              <w:t>15-3</w:t>
            </w:r>
            <w:r>
              <w:rPr>
                <w:rFonts w:ascii="宋体" w:hAnsi="宋体" w:cs="宋体" w:eastAsia="宋体" w:hint="default"/>
                <w:sz w:val="18"/>
                <w:szCs w:val="18"/>
              </w:rPr>
              <w:t>（</w:t>
            </w:r>
            <w:r>
              <w:rPr>
                <w:rFonts w:ascii="Times New Roman" w:hAnsi="Times New Roman" w:cs="Times New Roman" w:eastAsia="Times New Roman" w:hint="default"/>
                <w:sz w:val="18"/>
                <w:szCs w:val="18"/>
              </w:rPr>
              <w:t>CA15-3</w:t>
            </w:r>
            <w:r>
              <w:rPr>
                <w:rFonts w:ascii="宋体" w:hAnsi="宋体" w:cs="宋体" w:eastAsia="宋体" w:hint="default"/>
                <w:sz w:val="18"/>
                <w:szCs w:val="18"/>
              </w:rPr>
              <w:t>）</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该产品用于体外定量检测人血清或血浆</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2020/12/15</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bl>
    <w:p>
      <w:pPr>
        <w:spacing w:after="0" w:line="240" w:lineRule="auto"/>
        <w:jc w:val="center"/>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543"/>
        <w:gridCol w:w="2269"/>
        <w:gridCol w:w="710"/>
        <w:gridCol w:w="3401"/>
        <w:gridCol w:w="1381"/>
        <w:gridCol w:w="1289"/>
      </w:tblGrid>
      <w:tr>
        <w:trPr>
          <w:trHeight w:val="88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70" w:right="17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63" w:right="161"/>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89"/>
                <w:sz w:val="18"/>
                <w:szCs w:val="18"/>
              </w:rPr>
              <w:t> </w:t>
            </w:r>
            <w:r>
              <w:rPr>
                <w:rFonts w:ascii="宋体" w:hAnsi="宋体" w:cs="宋体" w:eastAsia="宋体" w:hint="default"/>
                <w:b/>
                <w:bCs/>
                <w:sz w:val="18"/>
                <w:szCs w:val="18"/>
              </w:rPr>
              <w:t>分类</w:t>
            </w:r>
            <w:r>
              <w:rPr>
                <w:rFonts w:ascii="宋体" w:hAnsi="宋体" w:cs="宋体" w:eastAsia="宋体" w:hint="default"/>
                <w:sz w:val="18"/>
                <w:szCs w:val="18"/>
              </w:rPr>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注册证有效期</w:t>
            </w:r>
            <w:r>
              <w:rPr>
                <w:rFonts w:ascii="宋体" w:hAnsi="宋体" w:cs="宋体" w:eastAsia="宋体" w:hint="default"/>
                <w:sz w:val="18"/>
                <w:szCs w:val="18"/>
              </w:rPr>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766" w:hRule="exact"/>
        </w:trPr>
        <w:tc>
          <w:tcPr>
            <w:tcW w:w="543" w:type="dxa"/>
            <w:tcBorders>
              <w:top w:val="single" w:sz="8" w:space="0" w:color="000000"/>
              <w:left w:val="single" w:sz="8" w:space="0" w:color="000000"/>
              <w:bottom w:val="single" w:sz="8" w:space="0" w:color="000000"/>
              <w:right w:val="single" w:sz="8" w:space="0" w:color="000000"/>
            </w:tcBorders>
          </w:tcPr>
          <w:p>
            <w:pP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
              <w:ind w:left="98" w:right="168"/>
              <w:jc w:val="left"/>
              <w:rPr>
                <w:rFonts w:ascii="宋体" w:hAnsi="宋体" w:cs="宋体" w:eastAsia="宋体" w:hint="default"/>
                <w:sz w:val="18"/>
                <w:szCs w:val="18"/>
              </w:rPr>
            </w:pPr>
            <w:r>
              <w:rPr>
                <w:rFonts w:ascii="宋体" w:hAnsi="宋体" w:cs="宋体" w:eastAsia="宋体" w:hint="default"/>
                <w:sz w:val="18"/>
                <w:szCs w:val="18"/>
              </w:rPr>
              <w:t>测定试剂盒（化学发光免 疫分析法）</w:t>
            </w:r>
          </w:p>
        </w:tc>
        <w:tc>
          <w:tcPr>
            <w:tcW w:w="710" w:type="dxa"/>
            <w:tcBorders>
              <w:top w:val="single" w:sz="8" w:space="0" w:color="000000"/>
              <w:left w:val="single" w:sz="8" w:space="0" w:color="000000"/>
              <w:bottom w:val="single" w:sz="8" w:space="0" w:color="000000"/>
              <w:right w:val="single" w:sz="8" w:space="0" w:color="000000"/>
            </w:tcBorders>
          </w:tcPr>
          <w:p>
            <w:pP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6" w:right="0"/>
              <w:jc w:val="left"/>
              <w:rPr>
                <w:rFonts w:ascii="宋体" w:hAnsi="宋体" w:cs="宋体" w:eastAsia="宋体" w:hint="default"/>
                <w:sz w:val="18"/>
                <w:szCs w:val="18"/>
              </w:rPr>
            </w:pPr>
            <w:r>
              <w:rPr>
                <w:rFonts w:ascii="宋体" w:hAnsi="宋体" w:cs="宋体" w:eastAsia="宋体" w:hint="default"/>
                <w:sz w:val="18"/>
                <w:szCs w:val="18"/>
              </w:rPr>
              <w:t>中糖类抗原</w:t>
            </w:r>
            <w:r>
              <w:rPr>
                <w:rFonts w:ascii="Times New Roman" w:hAnsi="Times New Roman" w:cs="Times New Roman" w:eastAsia="Times New Roman" w:hint="default"/>
                <w:sz w:val="18"/>
                <w:szCs w:val="18"/>
              </w:rPr>
              <w:t>15-3</w:t>
            </w:r>
            <w:r>
              <w:rPr>
                <w:rFonts w:ascii="宋体" w:hAnsi="宋体" w:cs="宋体" w:eastAsia="宋体" w:hint="default"/>
                <w:sz w:val="18"/>
                <w:szCs w:val="18"/>
              </w:rPr>
              <w:t>（</w:t>
            </w:r>
            <w:r>
              <w:rPr>
                <w:rFonts w:ascii="Times New Roman" w:hAnsi="Times New Roman" w:cs="Times New Roman" w:eastAsia="Times New Roman" w:hint="default"/>
                <w:sz w:val="18"/>
                <w:szCs w:val="18"/>
              </w:rPr>
              <w:t>CA15-3</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
        </w:tc>
        <w:tc>
          <w:tcPr>
            <w:tcW w:w="1289" w:type="dxa"/>
            <w:tcBorders>
              <w:top w:val="single" w:sz="8" w:space="0" w:color="000000"/>
              <w:left w:val="single" w:sz="8" w:space="0" w:color="000000"/>
              <w:bottom w:val="single" w:sz="8" w:space="0" w:color="000000"/>
              <w:right w:val="single" w:sz="8" w:space="0" w:color="000000"/>
            </w:tcBorders>
          </w:tcPr>
          <w:p>
            <w:pPr/>
          </w:p>
        </w:tc>
      </w:tr>
      <w:tr>
        <w:trPr>
          <w:trHeight w:val="1195"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57</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98"/>
              <w:jc w:val="left"/>
              <w:rPr>
                <w:rFonts w:ascii="宋体" w:hAnsi="宋体" w:cs="宋体" w:eastAsia="宋体" w:hint="default"/>
                <w:sz w:val="18"/>
                <w:szCs w:val="18"/>
              </w:rPr>
            </w:pPr>
            <w:r>
              <w:rPr>
                <w:rFonts w:ascii="宋体" w:hAnsi="宋体" w:cs="宋体" w:eastAsia="宋体" w:hint="default"/>
                <w:sz w:val="18"/>
                <w:szCs w:val="18"/>
              </w:rPr>
              <w:t>糖类抗原</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CA50</w:t>
            </w:r>
            <w:r>
              <w:rPr>
                <w:rFonts w:ascii="宋体" w:hAnsi="宋体" w:cs="宋体" w:eastAsia="宋体" w:hint="default"/>
                <w:sz w:val="18"/>
                <w:szCs w:val="18"/>
              </w:rPr>
              <w:t>）测定 试剂盒（化学发光免疫分 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该产品用于体外定量检测人血清或血浆 中糖类抗原</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CA50</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2020/12/15</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19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58</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168"/>
              <w:jc w:val="both"/>
              <w:rPr>
                <w:rFonts w:ascii="宋体" w:hAnsi="宋体" w:cs="宋体" w:eastAsia="宋体" w:hint="default"/>
                <w:sz w:val="18"/>
                <w:szCs w:val="18"/>
              </w:rPr>
            </w:pPr>
            <w:r>
              <w:rPr>
                <w:rFonts w:ascii="宋体" w:hAnsi="宋体" w:cs="宋体" w:eastAsia="宋体" w:hint="default"/>
                <w:sz w:val="18"/>
                <w:szCs w:val="18"/>
              </w:rPr>
              <w:t>甲胎蛋白（</w:t>
            </w:r>
            <w:r>
              <w:rPr>
                <w:rFonts w:ascii="Times New Roman" w:hAnsi="Times New Roman" w:cs="Times New Roman" w:eastAsia="Times New Roman" w:hint="default"/>
                <w:sz w:val="18"/>
                <w:szCs w:val="18"/>
              </w:rPr>
              <w:t>AFP</w:t>
            </w:r>
            <w:r>
              <w:rPr>
                <w:rFonts w:ascii="宋体" w:hAnsi="宋体" w:cs="宋体" w:eastAsia="宋体" w:hint="default"/>
                <w:sz w:val="18"/>
                <w:szCs w:val="18"/>
              </w:rPr>
              <w:t>）测定试 剂盒（化学发光免疫分析 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9" w:lineRule="auto"/>
              <w:ind w:left="96" w:right="225"/>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该产品用于体外定量检测人血清或血浆 中的甲胎蛋白（</w:t>
            </w:r>
            <w:r>
              <w:rPr>
                <w:rFonts w:ascii="Times New Roman" w:hAnsi="Times New Roman" w:cs="Times New Roman" w:eastAsia="Times New Roman" w:hint="default"/>
                <w:sz w:val="18"/>
                <w:szCs w:val="18"/>
              </w:rPr>
              <w:t>AFP</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2020/12/15</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59</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left="98" w:right="0"/>
              <w:jc w:val="left"/>
              <w:rPr>
                <w:rFonts w:ascii="宋体" w:hAnsi="宋体" w:cs="宋体" w:eastAsia="宋体" w:hint="default"/>
                <w:sz w:val="18"/>
                <w:szCs w:val="18"/>
              </w:rPr>
            </w:pPr>
            <w:r>
              <w:rPr>
                <w:rFonts w:ascii="宋体" w:hAnsi="宋体" w:cs="宋体" w:eastAsia="宋体" w:hint="default"/>
                <w:sz w:val="18"/>
                <w:szCs w:val="18"/>
              </w:rPr>
              <w:t>神经元特异性烯醇化酶</w:t>
            </w:r>
          </w:p>
          <w:p>
            <w:pPr>
              <w:pStyle w:val="TableParagraph"/>
              <w:spacing w:line="300" w:lineRule="auto" w:before="76"/>
              <w:ind w:left="98" w:right="18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NSE</w:t>
            </w:r>
            <w:r>
              <w:rPr>
                <w:rFonts w:ascii="宋体" w:hAnsi="宋体" w:cs="宋体" w:eastAsia="宋体" w:hint="default"/>
                <w:sz w:val="18"/>
                <w:szCs w:val="18"/>
              </w:rPr>
              <w:t>）测定试剂盒（化 学发光免疫分析法）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3"/>
              <w:ind w:left="96" w:right="225"/>
              <w:jc w:val="both"/>
              <w:rPr>
                <w:rFonts w:ascii="宋体" w:hAnsi="宋体" w:cs="宋体" w:eastAsia="宋体" w:hint="default"/>
                <w:sz w:val="18"/>
                <w:szCs w:val="18"/>
              </w:rPr>
            </w:pPr>
            <w:r>
              <w:rPr>
                <w:rFonts w:ascii="宋体" w:hAnsi="宋体" w:cs="宋体" w:eastAsia="宋体" w:hint="default"/>
                <w:sz w:val="18"/>
                <w:szCs w:val="18"/>
              </w:rPr>
              <w:t>该产品用于体外定量检测人血清或血浆 中神经元特异性烯醇化酶（</w:t>
            </w:r>
            <w:r>
              <w:rPr>
                <w:rFonts w:ascii="Times New Roman" w:hAnsi="Times New Roman" w:cs="Times New Roman" w:eastAsia="Times New Roman" w:hint="default"/>
                <w:sz w:val="18"/>
                <w:szCs w:val="18"/>
              </w:rPr>
              <w:t>NSE</w:t>
            </w:r>
            <w:r>
              <w:rPr>
                <w:rFonts w:ascii="宋体" w:hAnsi="宋体" w:cs="宋体" w:eastAsia="宋体" w:hint="default"/>
                <w:sz w:val="18"/>
                <w:szCs w:val="18"/>
              </w:rPr>
              <w:t>）的含 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2020/12/15</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195"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60</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left="98" w:right="0"/>
              <w:jc w:val="left"/>
              <w:rPr>
                <w:rFonts w:ascii="宋体" w:hAnsi="宋体" w:cs="宋体" w:eastAsia="宋体" w:hint="default"/>
                <w:sz w:val="18"/>
                <w:szCs w:val="18"/>
              </w:rPr>
            </w:pPr>
            <w:r>
              <w:rPr>
                <w:rFonts w:ascii="宋体" w:hAnsi="宋体" w:cs="宋体" w:eastAsia="宋体" w:hint="default"/>
                <w:sz w:val="18"/>
                <w:szCs w:val="18"/>
              </w:rPr>
              <w:t>游离前列腺特异性抗原</w:t>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F-PSA</w:t>
            </w:r>
            <w:r>
              <w:rPr>
                <w:rFonts w:ascii="宋体" w:hAnsi="宋体" w:cs="宋体" w:eastAsia="宋体" w:hint="default"/>
                <w:sz w:val="18"/>
                <w:szCs w:val="18"/>
              </w:rPr>
              <w:t>）测定试剂盒</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（化学发光免疫分析法）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6" w:right="225"/>
              <w:jc w:val="both"/>
              <w:rPr>
                <w:rFonts w:ascii="宋体" w:hAnsi="宋体" w:cs="宋体" w:eastAsia="宋体" w:hint="default"/>
                <w:sz w:val="18"/>
                <w:szCs w:val="18"/>
              </w:rPr>
            </w:pPr>
            <w:r>
              <w:rPr>
                <w:rFonts w:ascii="宋体" w:hAnsi="宋体" w:cs="宋体" w:eastAsia="宋体" w:hint="default"/>
                <w:sz w:val="18"/>
                <w:szCs w:val="18"/>
              </w:rPr>
              <w:t>本试剂盒用于体外定量检测人血清或血 浆中游离前列腺特异性抗原（</w:t>
            </w:r>
            <w:r>
              <w:rPr>
                <w:rFonts w:ascii="Times New Roman" w:hAnsi="Times New Roman" w:cs="Times New Roman" w:eastAsia="Times New Roman" w:hint="default"/>
                <w:sz w:val="18"/>
                <w:szCs w:val="18"/>
              </w:rPr>
              <w:t>F-PSA</w:t>
            </w:r>
            <w:r>
              <w:rPr>
                <w:rFonts w:ascii="宋体" w:hAnsi="宋体" w:cs="宋体" w:eastAsia="宋体" w:hint="default"/>
                <w:sz w:val="18"/>
                <w:szCs w:val="18"/>
              </w:rPr>
              <w:t>） 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2020/12/15</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50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61</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98" w:right="0"/>
              <w:jc w:val="left"/>
              <w:rPr>
                <w:rFonts w:ascii="宋体" w:hAnsi="宋体" w:cs="宋体" w:eastAsia="宋体" w:hint="default"/>
                <w:sz w:val="18"/>
                <w:szCs w:val="18"/>
              </w:rPr>
            </w:pPr>
            <w:r>
              <w:rPr>
                <w:rFonts w:ascii="宋体" w:hAnsi="宋体" w:cs="宋体" w:eastAsia="宋体" w:hint="default"/>
                <w:sz w:val="18"/>
                <w:szCs w:val="18"/>
              </w:rPr>
              <w:t>细胞角蛋白</w:t>
            </w:r>
            <w:r>
              <w:rPr>
                <w:rFonts w:ascii="Times New Roman" w:hAnsi="Times New Roman" w:cs="Times New Roman" w:eastAsia="Times New Roman" w:hint="default"/>
                <w:sz w:val="18"/>
                <w:szCs w:val="18"/>
              </w:rPr>
              <w:t>19</w:t>
            </w:r>
            <w:r>
              <w:rPr>
                <w:rFonts w:ascii="宋体" w:hAnsi="宋体" w:cs="宋体" w:eastAsia="宋体" w:hint="default"/>
                <w:sz w:val="18"/>
                <w:szCs w:val="18"/>
              </w:rPr>
              <w:t>片段</w:t>
            </w:r>
          </w:p>
          <w:p>
            <w:pPr>
              <w:pStyle w:val="TableParagraph"/>
              <w:spacing w:line="309" w:lineRule="auto" w:before="63"/>
              <w:ind w:left="98" w:right="25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CYFRA21-1)</w:t>
            </w:r>
            <w:r>
              <w:rPr>
                <w:rFonts w:ascii="宋体" w:hAnsi="宋体" w:cs="宋体" w:eastAsia="宋体" w:hint="default"/>
                <w:sz w:val="18"/>
                <w:szCs w:val="18"/>
              </w:rPr>
              <w:t>测定试剂 盒（化学发光免疫分析 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09" w:lineRule="auto"/>
              <w:ind w:left="96" w:right="192"/>
              <w:jc w:val="both"/>
              <w:rPr>
                <w:rFonts w:ascii="宋体" w:hAnsi="宋体" w:cs="宋体" w:eastAsia="宋体" w:hint="default"/>
                <w:sz w:val="18"/>
                <w:szCs w:val="18"/>
              </w:rPr>
            </w:pPr>
            <w:r>
              <w:rPr>
                <w:rFonts w:ascii="宋体" w:hAnsi="宋体" w:cs="宋体" w:eastAsia="宋体" w:hint="default"/>
                <w:sz w:val="18"/>
                <w:szCs w:val="18"/>
              </w:rPr>
              <w:t>本试剂盒用于体外定量检测人血清或血 浆中细胞角蛋白</w:t>
            </w:r>
            <w:r>
              <w:rPr>
                <w:rFonts w:ascii="Times New Roman" w:hAnsi="Times New Roman" w:cs="Times New Roman" w:eastAsia="Times New Roman" w:hint="default"/>
                <w:sz w:val="18"/>
                <w:szCs w:val="18"/>
              </w:rPr>
              <w:t>19</w:t>
            </w:r>
            <w:r>
              <w:rPr>
                <w:rFonts w:ascii="宋体" w:hAnsi="宋体" w:cs="宋体" w:eastAsia="宋体" w:hint="default"/>
                <w:sz w:val="18"/>
                <w:szCs w:val="18"/>
              </w:rPr>
              <w:t>片段（</w:t>
            </w:r>
            <w:r>
              <w:rPr>
                <w:rFonts w:ascii="Times New Roman" w:hAnsi="Times New Roman" w:cs="Times New Roman" w:eastAsia="Times New Roman" w:hint="default"/>
                <w:sz w:val="18"/>
                <w:szCs w:val="18"/>
              </w:rPr>
              <w:t>CYFRA21-1</w:t>
            </w:r>
            <w:r>
              <w:rPr>
                <w:rFonts w:ascii="宋体" w:hAnsi="宋体" w:cs="宋体" w:eastAsia="宋体" w:hint="default"/>
                <w:sz w:val="18"/>
                <w:szCs w:val="18"/>
              </w:rPr>
              <w:t>） 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2020/12/15</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62</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3"/>
              <w:ind w:left="98" w:right="118"/>
              <w:jc w:val="both"/>
              <w:rPr>
                <w:rFonts w:ascii="宋体" w:hAnsi="宋体" w:cs="宋体" w:eastAsia="宋体" w:hint="default"/>
                <w:sz w:val="18"/>
                <w:szCs w:val="18"/>
              </w:rPr>
            </w:pPr>
            <w:r>
              <w:rPr>
                <w:rFonts w:ascii="宋体" w:hAnsi="宋体" w:cs="宋体" w:eastAsia="宋体" w:hint="default"/>
                <w:sz w:val="18"/>
                <w:szCs w:val="18"/>
              </w:rPr>
              <w:t>β</w:t>
            </w:r>
            <w:r>
              <w:rPr>
                <w:rFonts w:ascii="Times New Roman" w:hAnsi="Times New Roman" w:cs="Times New Roman" w:eastAsia="Times New Roman" w:hint="default"/>
                <w:sz w:val="18"/>
                <w:szCs w:val="18"/>
              </w:rPr>
              <w:t>2-</w:t>
            </w:r>
            <w:r>
              <w:rPr>
                <w:rFonts w:ascii="宋体" w:hAnsi="宋体" w:cs="宋体" w:eastAsia="宋体" w:hint="default"/>
                <w:sz w:val="18"/>
                <w:szCs w:val="18"/>
              </w:rPr>
              <w:t>微球蛋白（β</w:t>
            </w:r>
            <w:r>
              <w:rPr>
                <w:rFonts w:ascii="Times New Roman" w:hAnsi="Times New Roman" w:cs="Times New Roman" w:eastAsia="Times New Roman" w:hint="default"/>
                <w:sz w:val="18"/>
                <w:szCs w:val="18"/>
              </w:rPr>
              <w:t>2-MG</w:t>
            </w:r>
            <w:r>
              <w:rPr>
                <w:rFonts w:ascii="宋体" w:hAnsi="宋体" w:cs="宋体" w:eastAsia="宋体" w:hint="default"/>
                <w:sz w:val="18"/>
                <w:szCs w:val="18"/>
              </w:rPr>
              <w:t>） 测定试剂盒（化学发光免 疫分析法）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6" w:lineRule="auto"/>
              <w:ind w:left="96" w:right="173"/>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该产品用于体外定量检测人血清或血浆 中的β</w:t>
            </w:r>
            <w:r>
              <w:rPr>
                <w:rFonts w:ascii="Times New Roman" w:hAnsi="Times New Roman" w:cs="Times New Roman" w:eastAsia="Times New Roman" w:hint="default"/>
                <w:sz w:val="18"/>
                <w:szCs w:val="18"/>
              </w:rPr>
              <w:t>2-</w:t>
            </w:r>
            <w:r>
              <w:rPr>
                <w:rFonts w:ascii="宋体" w:hAnsi="宋体" w:cs="宋体" w:eastAsia="宋体" w:hint="default"/>
                <w:sz w:val="18"/>
                <w:szCs w:val="18"/>
              </w:rPr>
              <w:t>微球蛋白（β</w:t>
            </w:r>
            <w:r>
              <w:rPr>
                <w:rFonts w:ascii="Times New Roman" w:hAnsi="Times New Roman" w:cs="Times New Roman" w:eastAsia="Times New Roman" w:hint="default"/>
                <w:sz w:val="18"/>
                <w:szCs w:val="18"/>
              </w:rPr>
              <w:t>2-MG</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2020/12/15</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19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63</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158"/>
              <w:jc w:val="both"/>
              <w:rPr>
                <w:rFonts w:ascii="宋体" w:hAnsi="宋体" w:cs="宋体" w:eastAsia="宋体" w:hint="default"/>
                <w:sz w:val="18"/>
                <w:szCs w:val="18"/>
              </w:rPr>
            </w:pPr>
            <w:r>
              <w:rPr>
                <w:rFonts w:ascii="宋体" w:hAnsi="宋体" w:cs="宋体" w:eastAsia="宋体" w:hint="default"/>
                <w:sz w:val="18"/>
                <w:szCs w:val="18"/>
              </w:rPr>
              <w:t>糖类抗原</w:t>
            </w:r>
            <w:r>
              <w:rPr>
                <w:rFonts w:ascii="Times New Roman" w:hAnsi="Times New Roman" w:cs="Times New Roman" w:eastAsia="Times New Roman" w:hint="default"/>
                <w:sz w:val="18"/>
                <w:szCs w:val="18"/>
              </w:rPr>
              <w:t>72-4</w:t>
            </w:r>
            <w:r>
              <w:rPr>
                <w:rFonts w:ascii="宋体" w:hAnsi="宋体" w:cs="宋体" w:eastAsia="宋体" w:hint="default"/>
                <w:sz w:val="18"/>
                <w:szCs w:val="18"/>
              </w:rPr>
              <w:t>（</w:t>
            </w:r>
            <w:r>
              <w:rPr>
                <w:rFonts w:ascii="Times New Roman" w:hAnsi="Times New Roman" w:cs="Times New Roman" w:eastAsia="Times New Roman" w:hint="default"/>
                <w:sz w:val="18"/>
                <w:szCs w:val="18"/>
              </w:rPr>
              <w:t>CA72-4</w:t>
            </w:r>
            <w:r>
              <w:rPr>
                <w:rFonts w:ascii="宋体" w:hAnsi="宋体" w:cs="宋体" w:eastAsia="宋体" w:hint="default"/>
                <w:sz w:val="18"/>
                <w:szCs w:val="18"/>
              </w:rPr>
              <w:t>） 测定试剂盒（化学发光免 疫分析法）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该产品用于体外定量检测人血清或血浆 中糖类抗原</w:t>
            </w:r>
            <w:r>
              <w:rPr>
                <w:rFonts w:ascii="Times New Roman" w:hAnsi="Times New Roman" w:cs="Times New Roman" w:eastAsia="Times New Roman" w:hint="default"/>
                <w:sz w:val="18"/>
                <w:szCs w:val="18"/>
              </w:rPr>
              <w:t>72-4</w:t>
            </w:r>
            <w:r>
              <w:rPr>
                <w:rFonts w:ascii="宋体" w:hAnsi="宋体" w:cs="宋体" w:eastAsia="宋体" w:hint="default"/>
                <w:sz w:val="18"/>
                <w:szCs w:val="18"/>
              </w:rPr>
              <w:t>（</w:t>
            </w:r>
            <w:r>
              <w:rPr>
                <w:rFonts w:ascii="Times New Roman" w:hAnsi="Times New Roman" w:cs="Times New Roman" w:eastAsia="Times New Roman" w:hint="default"/>
                <w:sz w:val="18"/>
                <w:szCs w:val="18"/>
              </w:rPr>
              <w:t>CA72-4</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2020/12/15</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195"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64</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230"/>
              <w:jc w:val="left"/>
              <w:rPr>
                <w:rFonts w:ascii="宋体" w:hAnsi="宋体" w:cs="宋体" w:eastAsia="宋体" w:hint="default"/>
                <w:sz w:val="18"/>
                <w:szCs w:val="18"/>
              </w:rPr>
            </w:pPr>
            <w:r>
              <w:rPr>
                <w:rFonts w:ascii="宋体" w:hAnsi="宋体" w:cs="宋体" w:eastAsia="宋体" w:hint="default"/>
                <w:sz w:val="18"/>
                <w:szCs w:val="18"/>
              </w:rPr>
              <w:t>铁蛋白（</w:t>
            </w:r>
            <w:r>
              <w:rPr>
                <w:rFonts w:ascii="Times New Roman" w:hAnsi="Times New Roman" w:cs="Times New Roman" w:eastAsia="Times New Roman" w:hint="default"/>
                <w:sz w:val="18"/>
                <w:szCs w:val="18"/>
              </w:rPr>
              <w:t>Ferr</w:t>
            </w:r>
            <w:r>
              <w:rPr>
                <w:rFonts w:ascii="宋体" w:hAnsi="宋体" w:cs="宋体" w:eastAsia="宋体" w:hint="default"/>
                <w:sz w:val="18"/>
                <w:szCs w:val="18"/>
              </w:rPr>
              <w:t>）测定试剂 盒（化学发光免疫分析 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该产品用于体外定量检测人血清或血浆 中铁蛋白（</w:t>
            </w:r>
            <w:r>
              <w:rPr>
                <w:rFonts w:ascii="Times New Roman" w:hAnsi="Times New Roman" w:cs="Times New Roman" w:eastAsia="Times New Roman" w:hint="default"/>
                <w:sz w:val="18"/>
                <w:szCs w:val="18"/>
              </w:rPr>
              <w:t>Ferr</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2021/1/10</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88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68"/>
              <w:jc w:val="right"/>
              <w:rPr>
                <w:rFonts w:ascii="Times New Roman" w:hAnsi="Times New Roman" w:cs="Times New Roman" w:eastAsia="Times New Roman" w:hint="default"/>
                <w:sz w:val="18"/>
                <w:szCs w:val="18"/>
              </w:rPr>
            </w:pPr>
            <w:r>
              <w:rPr>
                <w:rFonts w:ascii="Times New Roman"/>
                <w:sz w:val="18"/>
              </w:rPr>
              <w:t>65</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3"/>
              <w:ind w:left="98" w:right="152"/>
              <w:jc w:val="left"/>
              <w:rPr>
                <w:rFonts w:ascii="宋体" w:hAnsi="宋体" w:cs="宋体" w:eastAsia="宋体" w:hint="default"/>
                <w:sz w:val="18"/>
                <w:szCs w:val="18"/>
              </w:rPr>
            </w:pPr>
            <w:r>
              <w:rPr>
                <w:rFonts w:ascii="宋体" w:hAnsi="宋体" w:cs="宋体" w:eastAsia="宋体" w:hint="default"/>
                <w:sz w:val="18"/>
                <w:szCs w:val="18"/>
              </w:rPr>
              <w:t>丙型肝炎病毒</w:t>
            </w:r>
            <w:r>
              <w:rPr>
                <w:rFonts w:ascii="Times New Roman" w:hAnsi="Times New Roman" w:cs="Times New Roman" w:eastAsia="Times New Roman" w:hint="default"/>
                <w:sz w:val="18"/>
                <w:szCs w:val="18"/>
              </w:rPr>
              <w:t>RNA</w:t>
            </w:r>
            <w:r>
              <w:rPr>
                <w:rFonts w:ascii="宋体" w:hAnsi="宋体" w:cs="宋体" w:eastAsia="宋体" w:hint="default"/>
                <w:sz w:val="18"/>
                <w:szCs w:val="18"/>
              </w:rPr>
              <w:t>核酸测 定试剂盒（荧光</w:t>
            </w:r>
            <w:r>
              <w:rPr>
                <w:rFonts w:ascii="Times New Roman" w:hAnsi="Times New Roman" w:cs="Times New Roman" w:eastAsia="Times New Roman" w:hint="default"/>
                <w:sz w:val="18"/>
                <w:szCs w:val="18"/>
              </w:rPr>
              <w:t>PCR</w:t>
            </w:r>
            <w:r>
              <w:rPr>
                <w:rFonts w:ascii="宋体" w:hAnsi="宋体" w:cs="宋体" w:eastAsia="宋体" w:hint="default"/>
                <w:sz w:val="18"/>
                <w:szCs w:val="18"/>
              </w:rPr>
              <w:t>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3"/>
              <w:ind w:left="96" w:right="225"/>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该产品用于体外定量检测人血清或血浆 样本中丙型肝炎病毒</w:t>
            </w:r>
            <w:r>
              <w:rPr>
                <w:rFonts w:ascii="Times New Roman" w:hAnsi="Times New Roman" w:cs="Times New Roman" w:eastAsia="Times New Roman" w:hint="default"/>
                <w:sz w:val="18"/>
                <w:szCs w:val="18"/>
              </w:rPr>
              <w:t>RNA</w:t>
            </w:r>
            <w:r>
              <w:rPr>
                <w:rFonts w:ascii="宋体" w:hAnsi="宋体" w:cs="宋体" w:eastAsia="宋体" w:hint="default"/>
                <w:sz w:val="18"/>
                <w:szCs w:val="18"/>
              </w:rPr>
              <w:t>。</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2021/1/10</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50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66</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00" w:lineRule="auto"/>
              <w:ind w:left="98" w:right="125"/>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EGFR</w:t>
            </w:r>
            <w:r>
              <w:rPr>
                <w:rFonts w:ascii="宋体" w:hAnsi="宋体" w:cs="宋体" w:eastAsia="宋体" w:hint="default"/>
                <w:sz w:val="18"/>
                <w:szCs w:val="18"/>
              </w:rPr>
              <w:t>基因</w:t>
            </w:r>
            <w:r>
              <w:rPr>
                <w:rFonts w:ascii="Times New Roman" w:hAnsi="Times New Roman" w:cs="Times New Roman" w:eastAsia="Times New Roman" w:hint="default"/>
                <w:sz w:val="18"/>
                <w:szCs w:val="18"/>
              </w:rPr>
              <w:t>20</w:t>
            </w:r>
            <w:r>
              <w:rPr>
                <w:rFonts w:ascii="宋体" w:hAnsi="宋体" w:cs="宋体" w:eastAsia="宋体" w:hint="default"/>
                <w:sz w:val="18"/>
                <w:szCs w:val="18"/>
              </w:rPr>
              <w:t>种突变检 测试剂盒（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 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7" w:lineRule="auto" w:before="130"/>
              <w:ind w:left="96" w:right="125"/>
              <w:jc w:val="left"/>
              <w:rPr>
                <w:rFonts w:ascii="宋体" w:hAnsi="宋体" w:cs="宋体" w:eastAsia="宋体" w:hint="default"/>
                <w:sz w:val="18"/>
                <w:szCs w:val="18"/>
              </w:rPr>
            </w:pPr>
            <w:r>
              <w:rPr>
                <w:rFonts w:ascii="宋体" w:hAnsi="宋体" w:cs="宋体" w:eastAsia="宋体" w:hint="default"/>
                <w:sz w:val="18"/>
                <w:szCs w:val="18"/>
              </w:rPr>
              <w:t>该产品用于体外定性检测人非小细胞肺 癌患者石蜡包埋肿瘤组织样本中</w:t>
            </w:r>
            <w:r>
              <w:rPr>
                <w:rFonts w:ascii="Times New Roman" w:hAnsi="Times New Roman" w:cs="Times New Roman" w:eastAsia="Times New Roman" w:hint="default"/>
                <w:sz w:val="18"/>
                <w:szCs w:val="18"/>
              </w:rPr>
              <w:t>EGFR</w:t>
            </w:r>
            <w:r>
              <w:rPr>
                <w:rFonts w:ascii="宋体" w:hAnsi="宋体" w:cs="宋体" w:eastAsia="宋体" w:hint="default"/>
                <w:sz w:val="18"/>
                <w:szCs w:val="18"/>
              </w:rPr>
              <w:t>基 因</w:t>
            </w:r>
            <w:r>
              <w:rPr>
                <w:rFonts w:ascii="Times New Roman" w:hAnsi="Times New Roman" w:cs="Times New Roman" w:eastAsia="Times New Roman" w:hint="default"/>
                <w:sz w:val="18"/>
                <w:szCs w:val="18"/>
              </w:rPr>
              <w:t>19</w:t>
            </w:r>
            <w:r>
              <w:rPr>
                <w:rFonts w:ascii="宋体" w:hAnsi="宋体" w:cs="宋体" w:eastAsia="宋体" w:hint="default"/>
                <w:sz w:val="18"/>
                <w:szCs w:val="18"/>
              </w:rPr>
              <w:t>外显子的</w:t>
            </w:r>
            <w:r>
              <w:rPr>
                <w:rFonts w:ascii="Times New Roman" w:hAnsi="Times New Roman" w:cs="Times New Roman" w:eastAsia="Times New Roman" w:hint="default"/>
                <w:sz w:val="18"/>
                <w:szCs w:val="18"/>
              </w:rPr>
              <w:t>19</w:t>
            </w:r>
            <w:r>
              <w:rPr>
                <w:rFonts w:ascii="宋体" w:hAnsi="宋体" w:cs="宋体" w:eastAsia="宋体" w:hint="default"/>
                <w:sz w:val="18"/>
                <w:szCs w:val="18"/>
              </w:rPr>
              <w:t>种缺失基因型和</w:t>
            </w:r>
            <w:r>
              <w:rPr>
                <w:rFonts w:ascii="Times New Roman" w:hAnsi="Times New Roman" w:cs="Times New Roman" w:eastAsia="Times New Roman" w:hint="default"/>
                <w:sz w:val="18"/>
                <w:szCs w:val="18"/>
              </w:rPr>
              <w:t>21</w:t>
            </w:r>
            <w:r>
              <w:rPr>
                <w:rFonts w:ascii="宋体" w:hAnsi="宋体" w:cs="宋体" w:eastAsia="宋体" w:hint="default"/>
                <w:sz w:val="18"/>
                <w:szCs w:val="18"/>
              </w:rPr>
              <w:t>外显 子的</w:t>
            </w:r>
            <w:r>
              <w:rPr>
                <w:rFonts w:ascii="Times New Roman" w:hAnsi="Times New Roman" w:cs="Times New Roman" w:eastAsia="Times New Roman" w:hint="default"/>
                <w:sz w:val="18"/>
                <w:szCs w:val="18"/>
              </w:rPr>
              <w:t>1</w:t>
            </w:r>
            <w:r>
              <w:rPr>
                <w:rFonts w:ascii="宋体" w:hAnsi="宋体" w:cs="宋体" w:eastAsia="宋体" w:hint="default"/>
                <w:sz w:val="18"/>
                <w:szCs w:val="18"/>
              </w:rPr>
              <w:t>种突变基因型。</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2021/1/10</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bl>
    <w:p>
      <w:pPr>
        <w:spacing w:after="0" w:line="240" w:lineRule="auto"/>
        <w:jc w:val="center"/>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543"/>
        <w:gridCol w:w="2269"/>
        <w:gridCol w:w="710"/>
        <w:gridCol w:w="3401"/>
        <w:gridCol w:w="1381"/>
        <w:gridCol w:w="1289"/>
      </w:tblGrid>
      <w:tr>
        <w:trPr>
          <w:trHeight w:val="88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70" w:right="17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63" w:right="161"/>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89"/>
                <w:sz w:val="18"/>
                <w:szCs w:val="18"/>
              </w:rPr>
              <w:t> </w:t>
            </w:r>
            <w:r>
              <w:rPr>
                <w:rFonts w:ascii="宋体" w:hAnsi="宋体" w:cs="宋体" w:eastAsia="宋体" w:hint="default"/>
                <w:b/>
                <w:bCs/>
                <w:sz w:val="18"/>
                <w:szCs w:val="18"/>
              </w:rPr>
              <w:t>分类</w:t>
            </w:r>
            <w:r>
              <w:rPr>
                <w:rFonts w:ascii="宋体" w:hAnsi="宋体" w:cs="宋体" w:eastAsia="宋体" w:hint="default"/>
                <w:sz w:val="18"/>
                <w:szCs w:val="18"/>
              </w:rPr>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注册证有效期</w:t>
            </w:r>
            <w:r>
              <w:rPr>
                <w:rFonts w:ascii="宋体" w:hAnsi="宋体" w:cs="宋体" w:eastAsia="宋体" w:hint="default"/>
                <w:sz w:val="18"/>
                <w:szCs w:val="18"/>
              </w:rPr>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67</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3"/>
              <w:ind w:left="98" w:right="219"/>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K-ras</w:t>
            </w:r>
            <w:r>
              <w:rPr>
                <w:rFonts w:ascii="宋体" w:hAnsi="宋体" w:cs="宋体" w:eastAsia="宋体" w:hint="default"/>
                <w:sz w:val="18"/>
                <w:szCs w:val="18"/>
              </w:rPr>
              <w:t>基因</w:t>
            </w:r>
            <w:r>
              <w:rPr>
                <w:rFonts w:ascii="Times New Roman" w:hAnsi="Times New Roman" w:cs="Times New Roman" w:eastAsia="Times New Roman" w:hint="default"/>
                <w:sz w:val="18"/>
                <w:szCs w:val="18"/>
              </w:rPr>
              <w:t>8</w:t>
            </w:r>
            <w:r>
              <w:rPr>
                <w:rFonts w:ascii="宋体" w:hAnsi="宋体" w:cs="宋体" w:eastAsia="宋体" w:hint="default"/>
                <w:sz w:val="18"/>
                <w:szCs w:val="18"/>
              </w:rPr>
              <w:t>种突变检测 试剂盒（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 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3"/>
              <w:ind w:left="96" w:right="151"/>
              <w:jc w:val="left"/>
              <w:rPr>
                <w:rFonts w:ascii="宋体" w:hAnsi="宋体" w:cs="宋体" w:eastAsia="宋体" w:hint="default"/>
                <w:sz w:val="18"/>
                <w:szCs w:val="18"/>
              </w:rPr>
            </w:pPr>
            <w:r>
              <w:rPr>
                <w:rFonts w:ascii="宋体" w:hAnsi="宋体" w:cs="宋体" w:eastAsia="宋体" w:hint="default"/>
                <w:sz w:val="18"/>
                <w:szCs w:val="18"/>
              </w:rPr>
              <w:t>该产品用于体外定性检测人石蜡包埋病 理切片组织中提取</w:t>
            </w:r>
            <w:r>
              <w:rPr>
                <w:rFonts w:ascii="Times New Roman" w:hAnsi="Times New Roman" w:cs="Times New Roman" w:eastAsia="Times New Roman" w:hint="default"/>
                <w:sz w:val="18"/>
                <w:szCs w:val="18"/>
              </w:rPr>
              <w:t>DNA</w:t>
            </w:r>
            <w:r>
              <w:rPr>
                <w:rFonts w:ascii="宋体" w:hAnsi="宋体" w:cs="宋体" w:eastAsia="宋体" w:hint="default"/>
                <w:sz w:val="18"/>
                <w:szCs w:val="18"/>
              </w:rPr>
              <w:t>的</w:t>
            </w:r>
            <w:r>
              <w:rPr>
                <w:rFonts w:ascii="Times New Roman" w:hAnsi="Times New Roman" w:cs="Times New Roman" w:eastAsia="Times New Roman" w:hint="default"/>
                <w:sz w:val="18"/>
                <w:szCs w:val="18"/>
              </w:rPr>
              <w:t>K-ras</w:t>
            </w:r>
            <w:r>
              <w:rPr>
                <w:rFonts w:ascii="宋体" w:hAnsi="宋体" w:cs="宋体" w:eastAsia="宋体" w:hint="default"/>
                <w:sz w:val="18"/>
                <w:szCs w:val="18"/>
              </w:rPr>
              <w:t>基因</w:t>
            </w:r>
            <w:r>
              <w:rPr>
                <w:rFonts w:ascii="Times New Roman" w:hAnsi="Times New Roman" w:cs="Times New Roman" w:eastAsia="Times New Roman" w:hint="default"/>
                <w:sz w:val="18"/>
                <w:szCs w:val="18"/>
              </w:rPr>
              <w:t>12</w:t>
            </w:r>
            <w:r>
              <w:rPr>
                <w:rFonts w:ascii="宋体" w:hAnsi="宋体" w:cs="宋体" w:eastAsia="宋体" w:hint="default"/>
                <w:sz w:val="18"/>
                <w:szCs w:val="18"/>
              </w:rPr>
              <w:t>和 </w:t>
            </w:r>
            <w:r>
              <w:rPr>
                <w:rFonts w:ascii="Times New Roman" w:hAnsi="Times New Roman" w:cs="Times New Roman" w:eastAsia="Times New Roman" w:hint="default"/>
                <w:sz w:val="18"/>
                <w:szCs w:val="18"/>
              </w:rPr>
              <w:t>13</w:t>
            </w:r>
            <w:r>
              <w:rPr>
                <w:rFonts w:ascii="宋体" w:hAnsi="宋体" w:cs="宋体" w:eastAsia="宋体" w:hint="default"/>
                <w:sz w:val="18"/>
                <w:szCs w:val="18"/>
              </w:rPr>
              <w:t>密码子</w:t>
            </w:r>
            <w:r>
              <w:rPr>
                <w:rFonts w:ascii="Times New Roman" w:hAnsi="Times New Roman" w:cs="Times New Roman" w:eastAsia="Times New Roman" w:hint="default"/>
                <w:sz w:val="18"/>
                <w:szCs w:val="18"/>
              </w:rPr>
              <w:t>8</w:t>
            </w:r>
            <w:r>
              <w:rPr>
                <w:rFonts w:ascii="宋体" w:hAnsi="宋体" w:cs="宋体" w:eastAsia="宋体" w:hint="default"/>
                <w:sz w:val="18"/>
                <w:szCs w:val="18"/>
              </w:rPr>
              <w:t>种突变。</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2021/1/10</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195"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68</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8" w:right="168"/>
              <w:jc w:val="both"/>
              <w:rPr>
                <w:rFonts w:ascii="宋体" w:hAnsi="宋体" w:cs="宋体" w:eastAsia="宋体" w:hint="default"/>
                <w:sz w:val="18"/>
                <w:szCs w:val="18"/>
              </w:rPr>
            </w:pPr>
            <w:r>
              <w:rPr>
                <w:rFonts w:ascii="宋体" w:hAnsi="宋体" w:cs="宋体" w:eastAsia="宋体" w:hint="default"/>
                <w:sz w:val="18"/>
                <w:szCs w:val="18"/>
              </w:rPr>
              <w:t>鳞状细胞癌抗原（</w:t>
            </w:r>
            <w:r>
              <w:rPr>
                <w:rFonts w:ascii="Times New Roman" w:hAnsi="Times New Roman" w:cs="Times New Roman" w:eastAsia="Times New Roman" w:hint="default"/>
                <w:sz w:val="18"/>
                <w:szCs w:val="18"/>
              </w:rPr>
              <w:t>SCC</w:t>
            </w:r>
            <w:r>
              <w:rPr>
                <w:rFonts w:ascii="宋体" w:hAnsi="宋体" w:cs="宋体" w:eastAsia="宋体" w:hint="default"/>
                <w:sz w:val="18"/>
                <w:szCs w:val="18"/>
              </w:rPr>
              <w:t>） 测定试剂盒（化学发光免 疫分析法）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该产品用于体外定量检测人血清或血浆 中鳞状细胞癌抗原（</w:t>
            </w:r>
            <w:r>
              <w:rPr>
                <w:rFonts w:ascii="Times New Roman" w:hAnsi="Times New Roman" w:cs="Times New Roman" w:eastAsia="Times New Roman" w:hint="default"/>
                <w:sz w:val="18"/>
                <w:szCs w:val="18"/>
              </w:rPr>
              <w:t>SCC</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2021/1/10</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19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69</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1"/>
              <w:ind w:left="98" w:right="168"/>
              <w:jc w:val="both"/>
              <w:rPr>
                <w:rFonts w:ascii="宋体" w:hAnsi="宋体" w:cs="宋体" w:eastAsia="宋体" w:hint="default"/>
                <w:sz w:val="18"/>
                <w:szCs w:val="18"/>
              </w:rPr>
            </w:pPr>
            <w:r>
              <w:rPr>
                <w:rFonts w:ascii="宋体" w:hAnsi="宋体" w:cs="宋体" w:eastAsia="宋体" w:hint="default"/>
                <w:sz w:val="18"/>
                <w:szCs w:val="18"/>
              </w:rPr>
              <w:t>癌胚抗原（</w:t>
            </w:r>
            <w:r>
              <w:rPr>
                <w:rFonts w:ascii="Times New Roman" w:hAnsi="Times New Roman" w:cs="Times New Roman" w:eastAsia="Times New Roman" w:hint="default"/>
                <w:sz w:val="18"/>
                <w:szCs w:val="18"/>
              </w:rPr>
              <w:t>CEA</w:t>
            </w:r>
            <w:r>
              <w:rPr>
                <w:rFonts w:ascii="宋体" w:hAnsi="宋体" w:cs="宋体" w:eastAsia="宋体" w:hint="default"/>
                <w:sz w:val="18"/>
                <w:szCs w:val="18"/>
              </w:rPr>
              <w:t>）测定试 剂盒（化学发光免疫分析 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用于体外定量检测人血清或血浆中癌胚 抗原（</w:t>
            </w:r>
            <w:r>
              <w:rPr>
                <w:rFonts w:ascii="Times New Roman" w:hAnsi="Times New Roman" w:cs="Times New Roman" w:eastAsia="Times New Roman" w:hint="default"/>
                <w:sz w:val="18"/>
                <w:szCs w:val="18"/>
              </w:rPr>
              <w:t>CEA</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2021/3/14</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70</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left="98" w:right="0"/>
              <w:jc w:val="left"/>
              <w:rPr>
                <w:rFonts w:ascii="宋体" w:hAnsi="宋体" w:cs="宋体" w:eastAsia="宋体" w:hint="default"/>
                <w:sz w:val="18"/>
                <w:szCs w:val="18"/>
              </w:rPr>
            </w:pPr>
            <w:r>
              <w:rPr>
                <w:rFonts w:ascii="宋体" w:hAnsi="宋体" w:cs="宋体" w:eastAsia="宋体" w:hint="default"/>
                <w:sz w:val="18"/>
                <w:szCs w:val="18"/>
              </w:rPr>
              <w:t>前列腺特异性抗原</w:t>
            </w:r>
          </w:p>
          <w:p>
            <w:pPr>
              <w:pStyle w:val="TableParagraph"/>
              <w:spacing w:line="300" w:lineRule="auto" w:before="76"/>
              <w:ind w:left="98" w:right="20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PSA</w:t>
            </w:r>
            <w:r>
              <w:rPr>
                <w:rFonts w:ascii="宋体" w:hAnsi="宋体" w:cs="宋体" w:eastAsia="宋体" w:hint="default"/>
                <w:sz w:val="18"/>
                <w:szCs w:val="18"/>
              </w:rPr>
              <w:t>）测定试剂盒（化 学发光免疫分析法）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用于体外定量检测人血清或血浆中前列 腺特异性抗原（</w:t>
            </w:r>
            <w:r>
              <w:rPr>
                <w:rFonts w:ascii="Times New Roman" w:hAnsi="Times New Roman" w:cs="Times New Roman" w:eastAsia="Times New Roman" w:hint="default"/>
                <w:sz w:val="18"/>
                <w:szCs w:val="18"/>
              </w:rPr>
              <w:t>PSA</w:t>
            </w:r>
            <w:r>
              <w:rPr>
                <w:rFonts w:ascii="宋体" w:hAnsi="宋体" w:cs="宋体" w:eastAsia="宋体" w:hint="default"/>
                <w:sz w:val="18"/>
                <w:szCs w:val="18"/>
              </w:rPr>
              <w:t>）的含量。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2021/3/14</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19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71</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98" w:right="168"/>
              <w:jc w:val="both"/>
              <w:rPr>
                <w:rFonts w:ascii="宋体" w:hAnsi="宋体" w:cs="宋体" w:eastAsia="宋体" w:hint="default"/>
                <w:sz w:val="18"/>
                <w:szCs w:val="18"/>
              </w:rPr>
            </w:pPr>
            <w:r>
              <w:rPr>
                <w:rFonts w:ascii="宋体" w:hAnsi="宋体" w:cs="宋体" w:eastAsia="宋体" w:hint="default"/>
                <w:sz w:val="18"/>
                <w:szCs w:val="18"/>
              </w:rPr>
              <w:t>发热伴血小板减少综合征 布尼亚病毒核酸检测试剂 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96" w:right="225"/>
              <w:jc w:val="left"/>
              <w:rPr>
                <w:rFonts w:ascii="宋体" w:hAnsi="宋体" w:cs="宋体" w:eastAsia="宋体" w:hint="default"/>
                <w:sz w:val="18"/>
                <w:szCs w:val="18"/>
              </w:rPr>
            </w:pPr>
            <w:r>
              <w:rPr>
                <w:rFonts w:ascii="宋体" w:hAnsi="宋体" w:cs="宋体" w:eastAsia="宋体" w:hint="default"/>
                <w:sz w:val="18"/>
                <w:szCs w:val="18"/>
              </w:rPr>
              <w:t>该产品用于体外定性检测人血清样本中 新型布尼亚病毒</w:t>
            </w:r>
            <w:r>
              <w:rPr>
                <w:rFonts w:ascii="Times New Roman" w:hAnsi="Times New Roman" w:cs="Times New Roman" w:eastAsia="Times New Roman" w:hint="default"/>
                <w:sz w:val="18"/>
                <w:szCs w:val="18"/>
              </w:rPr>
              <w:t>RNA</w:t>
            </w:r>
            <w:r>
              <w:rPr>
                <w:rFonts w:ascii="宋体" w:hAnsi="宋体" w:cs="宋体" w:eastAsia="宋体" w:hint="default"/>
                <w:sz w:val="18"/>
                <w:szCs w:val="18"/>
              </w:rPr>
              <w:t>。</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2021/3/14</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507"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72</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16" w:lineRule="auto"/>
              <w:ind w:left="98" w:right="168"/>
              <w:jc w:val="left"/>
              <w:rPr>
                <w:rFonts w:ascii="宋体" w:hAnsi="宋体" w:cs="宋体" w:eastAsia="宋体" w:hint="default"/>
                <w:sz w:val="18"/>
                <w:szCs w:val="18"/>
              </w:rPr>
            </w:pPr>
            <w:r>
              <w:rPr>
                <w:rFonts w:ascii="宋体" w:hAnsi="宋体" w:cs="宋体" w:eastAsia="宋体" w:hint="default"/>
                <w:sz w:val="18"/>
                <w:szCs w:val="18"/>
              </w:rPr>
              <w:t>奈瑟淋球菌核酸检测试剂 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2" w:lineRule="auto" w:before="130"/>
              <w:ind w:left="96" w:right="225"/>
              <w:jc w:val="left"/>
              <w:rPr>
                <w:rFonts w:ascii="宋体" w:hAnsi="宋体" w:cs="宋体" w:eastAsia="宋体" w:hint="default"/>
                <w:sz w:val="18"/>
                <w:szCs w:val="18"/>
              </w:rPr>
            </w:pPr>
            <w:r>
              <w:rPr>
                <w:rFonts w:ascii="宋体" w:hAnsi="宋体" w:cs="宋体" w:eastAsia="宋体" w:hint="default"/>
                <w:sz w:val="18"/>
                <w:szCs w:val="18"/>
              </w:rPr>
              <w:t>本试剂盒适用于体外定性检测女性宫颈 拭子和男性尿道拭子样本中提取的奈瑟 淋球菌（</w:t>
            </w:r>
            <w:r>
              <w:rPr>
                <w:rFonts w:ascii="Times New Roman" w:hAnsi="Times New Roman" w:cs="Times New Roman" w:eastAsia="Times New Roman" w:hint="default"/>
                <w:sz w:val="18"/>
                <w:szCs w:val="18"/>
              </w:rPr>
              <w:t>Neisseria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Gonorrhoeae</w:t>
            </w:r>
            <w:r>
              <w:rPr>
                <w:rFonts w:ascii="宋体" w:hAnsi="宋体" w:cs="宋体" w:eastAsia="宋体" w:hint="default"/>
                <w:sz w:val="18"/>
                <w:szCs w:val="18"/>
              </w:rPr>
              <w:t>，</w:t>
            </w:r>
            <w:r>
              <w:rPr>
                <w:rFonts w:ascii="Times New Roman" w:hAnsi="Times New Roman" w:cs="Times New Roman" w:eastAsia="Times New Roman" w:hint="default"/>
                <w:sz w:val="18"/>
                <w:szCs w:val="18"/>
              </w:rPr>
              <w:t>NG</w:t>
            </w:r>
            <w:r>
              <w:rPr>
                <w:rFonts w:ascii="宋体" w:hAnsi="宋体" w:cs="宋体" w:eastAsia="宋体" w:hint="default"/>
                <w:sz w:val="18"/>
                <w:szCs w:val="18"/>
              </w:rPr>
              <w:t>） </w:t>
            </w:r>
            <w:r>
              <w:rPr>
                <w:rFonts w:ascii="Times New Roman" w:hAnsi="Times New Roman" w:cs="Times New Roman" w:eastAsia="Times New Roman" w:hint="default"/>
                <w:sz w:val="18"/>
                <w:szCs w:val="18"/>
              </w:rPr>
              <w:t>DNA</w:t>
            </w:r>
            <w:r>
              <w:rPr>
                <w:rFonts w:ascii="宋体" w:hAnsi="宋体" w:cs="宋体" w:eastAsia="宋体" w:hint="default"/>
                <w:sz w:val="18"/>
                <w:szCs w:val="18"/>
              </w:rPr>
              <w:t>。</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2021/12/4</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822"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73</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00" w:lineRule="auto"/>
              <w:ind w:left="98" w:right="118"/>
              <w:jc w:val="both"/>
              <w:rPr>
                <w:rFonts w:ascii="宋体" w:hAnsi="宋体" w:cs="宋体" w:eastAsia="宋体" w:hint="default"/>
                <w:sz w:val="18"/>
                <w:szCs w:val="18"/>
              </w:rPr>
            </w:pPr>
            <w:r>
              <w:rPr>
                <w:rFonts w:ascii="宋体" w:hAnsi="宋体" w:cs="宋体" w:eastAsia="宋体" w:hint="default"/>
                <w:sz w:val="18"/>
                <w:szCs w:val="18"/>
              </w:rPr>
              <w:t>沙眼衣原体</w:t>
            </w:r>
            <w:r>
              <w:rPr>
                <w:rFonts w:ascii="Times New Roman" w:hAnsi="Times New Roman" w:cs="Times New Roman" w:eastAsia="Times New Roman" w:hint="default"/>
                <w:sz w:val="18"/>
                <w:szCs w:val="18"/>
              </w:rPr>
              <w:t>/</w:t>
            </w:r>
            <w:r>
              <w:rPr>
                <w:rFonts w:ascii="宋体" w:hAnsi="宋体" w:cs="宋体" w:eastAsia="宋体" w:hint="default"/>
                <w:sz w:val="18"/>
                <w:szCs w:val="18"/>
              </w:rPr>
              <w:t>解脲脲原体核 酸检测试剂盒（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 探针法）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3"/>
              <w:ind w:left="96" w:right="225"/>
              <w:jc w:val="left"/>
              <w:rPr>
                <w:rFonts w:ascii="宋体" w:hAnsi="宋体" w:cs="宋体" w:eastAsia="宋体" w:hint="default"/>
                <w:sz w:val="18"/>
                <w:szCs w:val="18"/>
              </w:rPr>
            </w:pPr>
            <w:r>
              <w:rPr>
                <w:rFonts w:ascii="宋体" w:hAnsi="宋体" w:cs="宋体" w:eastAsia="宋体" w:hint="default"/>
                <w:sz w:val="18"/>
                <w:szCs w:val="18"/>
              </w:rPr>
              <w:t>本试剂盒适用于体外定性检测女性宫颈 拭子和男性尿道拭子样本中的提取的沙 眼衣原体（</w:t>
            </w:r>
            <w:r>
              <w:rPr>
                <w:rFonts w:ascii="Times New Roman" w:hAnsi="Times New Roman" w:cs="Times New Roman" w:eastAsia="Times New Roman" w:hint="default"/>
                <w:sz w:val="18"/>
                <w:szCs w:val="18"/>
              </w:rPr>
              <w:t>Chlamydia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trachomatis,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CT</w:t>
            </w:r>
            <w:r>
              <w:rPr>
                <w:rFonts w:ascii="宋体" w:hAnsi="宋体" w:cs="宋体" w:eastAsia="宋体" w:hint="default"/>
                <w:sz w:val="18"/>
                <w:szCs w:val="18"/>
              </w:rPr>
              <w:t>）、解脲脲原体（</w:t>
            </w:r>
            <w:r>
              <w:rPr>
                <w:rFonts w:ascii="Times New Roman" w:hAnsi="Times New Roman" w:cs="Times New Roman" w:eastAsia="Times New Roman" w:hint="default"/>
                <w:sz w:val="18"/>
                <w:szCs w:val="18"/>
              </w:rPr>
              <w:t>Ureaplasma urealyticum</w:t>
            </w:r>
            <w:r>
              <w:rPr>
                <w:rFonts w:ascii="宋体" w:hAnsi="宋体" w:cs="宋体" w:eastAsia="宋体" w:hint="default"/>
                <w:sz w:val="18"/>
                <w:szCs w:val="18"/>
              </w:rPr>
              <w:t>，</w:t>
            </w:r>
            <w:r>
              <w:rPr>
                <w:rFonts w:ascii="Times New Roman" w:hAnsi="Times New Roman" w:cs="Times New Roman" w:eastAsia="Times New Roman" w:hint="default"/>
                <w:sz w:val="18"/>
                <w:szCs w:val="18"/>
              </w:rPr>
              <w:t>UU</w:t>
            </w:r>
            <w:r>
              <w:rPr>
                <w:rFonts w:ascii="宋体" w:hAnsi="宋体" w:cs="宋体" w:eastAsia="宋体" w:hint="default"/>
                <w:sz w:val="18"/>
                <w:szCs w:val="18"/>
              </w:rPr>
              <w:t>）</w:t>
            </w:r>
            <w:r>
              <w:rPr>
                <w:rFonts w:ascii="Times New Roman" w:hAnsi="Times New Roman" w:cs="Times New Roman" w:eastAsia="Times New Roman" w:hint="default"/>
                <w:sz w:val="18"/>
                <w:szCs w:val="18"/>
              </w:rPr>
              <w:t>DNA</w:t>
            </w:r>
            <w:r>
              <w:rPr>
                <w:rFonts w:ascii="宋体" w:hAnsi="宋体" w:cs="宋体" w:eastAsia="宋体" w:hint="default"/>
                <w:sz w:val="18"/>
                <w:szCs w:val="18"/>
              </w:rPr>
              <w:t>。</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2021/12/4</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883"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68"/>
              <w:jc w:val="right"/>
              <w:rPr>
                <w:rFonts w:ascii="Times New Roman" w:hAnsi="Times New Roman" w:cs="Times New Roman" w:eastAsia="Times New Roman" w:hint="default"/>
                <w:sz w:val="18"/>
                <w:szCs w:val="18"/>
              </w:rPr>
            </w:pPr>
            <w:r>
              <w:rPr>
                <w:rFonts w:ascii="Times New Roman"/>
                <w:sz w:val="18"/>
              </w:rPr>
              <w:t>74</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0"/>
              <w:ind w:left="98" w:right="250"/>
              <w:jc w:val="left"/>
              <w:rPr>
                <w:rFonts w:ascii="宋体" w:hAnsi="宋体" w:cs="宋体" w:eastAsia="宋体" w:hint="default"/>
                <w:sz w:val="18"/>
                <w:szCs w:val="18"/>
              </w:rPr>
            </w:pPr>
            <w:r>
              <w:rPr>
                <w:rFonts w:ascii="宋体" w:hAnsi="宋体" w:cs="宋体" w:eastAsia="宋体" w:hint="default"/>
                <w:sz w:val="18"/>
                <w:szCs w:val="18"/>
              </w:rPr>
              <w:t>登革热病毒</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抗体检测 试剂盒（酶联免疫法）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本试剂盒用于体外定性检测人血清中登 革热病毒的特异性</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2022/8/29</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883"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68"/>
              <w:jc w:val="right"/>
              <w:rPr>
                <w:rFonts w:ascii="Times New Roman" w:hAnsi="Times New Roman" w:cs="Times New Roman" w:eastAsia="Times New Roman" w:hint="default"/>
                <w:sz w:val="18"/>
                <w:szCs w:val="18"/>
              </w:rPr>
            </w:pPr>
            <w:r>
              <w:rPr>
                <w:rFonts w:ascii="Times New Roman"/>
                <w:sz w:val="18"/>
              </w:rPr>
              <w:t>75</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0"/>
              <w:ind w:left="98" w:right="250"/>
              <w:jc w:val="left"/>
              <w:rPr>
                <w:rFonts w:ascii="宋体" w:hAnsi="宋体" w:cs="宋体" w:eastAsia="宋体" w:hint="default"/>
                <w:sz w:val="18"/>
                <w:szCs w:val="18"/>
              </w:rPr>
            </w:pPr>
            <w:r>
              <w:rPr>
                <w:rFonts w:ascii="宋体" w:hAnsi="宋体" w:cs="宋体" w:eastAsia="宋体" w:hint="default"/>
                <w:sz w:val="18"/>
                <w:szCs w:val="18"/>
              </w:rPr>
              <w:t>汉坦病毒</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抗体检测试 剂盒（酶联免疫法）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本试剂盒用于体外定性检测人血清中汉 坦病毒的特异性</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2022/8/29</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88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68"/>
              <w:jc w:val="right"/>
              <w:rPr>
                <w:rFonts w:ascii="Times New Roman" w:hAnsi="Times New Roman" w:cs="Times New Roman" w:eastAsia="Times New Roman" w:hint="default"/>
                <w:sz w:val="18"/>
                <w:szCs w:val="18"/>
              </w:rPr>
            </w:pPr>
            <w:r>
              <w:rPr>
                <w:rFonts w:ascii="Times New Roman"/>
                <w:sz w:val="18"/>
              </w:rPr>
              <w:t>76</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3"/>
              <w:ind w:left="98" w:right="168"/>
              <w:jc w:val="left"/>
              <w:rPr>
                <w:rFonts w:ascii="宋体" w:hAnsi="宋体" w:cs="宋体" w:eastAsia="宋体" w:hint="default"/>
                <w:sz w:val="18"/>
                <w:szCs w:val="18"/>
              </w:rPr>
            </w:pPr>
            <w:r>
              <w:rPr>
                <w:rFonts w:ascii="宋体" w:hAnsi="宋体" w:cs="宋体" w:eastAsia="宋体" w:hint="default"/>
                <w:sz w:val="18"/>
                <w:szCs w:val="18"/>
              </w:rPr>
              <w:t>乙型脑炎病毒</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 测试剂盒（酶联免疫法）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3"/>
              <w:ind w:left="96" w:right="225"/>
              <w:jc w:val="left"/>
              <w:rPr>
                <w:rFonts w:ascii="宋体" w:hAnsi="宋体" w:cs="宋体" w:eastAsia="宋体" w:hint="default"/>
                <w:sz w:val="18"/>
                <w:szCs w:val="18"/>
              </w:rPr>
            </w:pPr>
            <w:r>
              <w:rPr>
                <w:rFonts w:ascii="宋体" w:hAnsi="宋体" w:cs="宋体" w:eastAsia="宋体" w:hint="default"/>
                <w:sz w:val="18"/>
                <w:szCs w:val="18"/>
              </w:rPr>
              <w:t>本试剂盒用于体外定性检测人血清中乙 型脑炎病毒的特异性</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2022/8/29</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76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77</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核酸提取试剂</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30"/>
              <w:ind w:left="96" w:right="173"/>
              <w:jc w:val="left"/>
              <w:rPr>
                <w:rFonts w:ascii="宋体" w:hAnsi="宋体" w:cs="宋体" w:eastAsia="宋体" w:hint="default"/>
                <w:sz w:val="18"/>
                <w:szCs w:val="18"/>
              </w:rPr>
            </w:pPr>
            <w:r>
              <w:rPr>
                <w:rFonts w:ascii="宋体" w:hAnsi="宋体" w:cs="宋体" w:eastAsia="宋体" w:hint="default"/>
                <w:sz w:val="18"/>
                <w:szCs w:val="18"/>
              </w:rPr>
              <w:t>本试剂盒适用于人血清、血浆的病毒核 酸（</w:t>
            </w:r>
            <w:r>
              <w:rPr>
                <w:rFonts w:ascii="Times New Roman" w:hAnsi="Times New Roman" w:cs="Times New Roman" w:eastAsia="Times New Roman" w:hint="default"/>
                <w:sz w:val="18"/>
                <w:szCs w:val="18"/>
              </w:rPr>
              <w:t>DNA</w:t>
            </w:r>
            <w:r>
              <w:rPr>
                <w:rFonts w:ascii="宋体" w:hAnsi="宋体" w:cs="宋体" w:eastAsia="宋体" w:hint="default"/>
                <w:sz w:val="18"/>
                <w:szCs w:val="18"/>
              </w:rPr>
              <w:t>和</w:t>
            </w:r>
            <w:r>
              <w:rPr>
                <w:rFonts w:ascii="Times New Roman" w:hAnsi="Times New Roman" w:cs="Times New Roman" w:eastAsia="Times New Roman" w:hint="default"/>
                <w:sz w:val="18"/>
                <w:szCs w:val="18"/>
              </w:rPr>
              <w:t>RNA</w:t>
            </w:r>
            <w:r>
              <w:rPr>
                <w:rFonts w:ascii="宋体" w:hAnsi="宋体" w:cs="宋体" w:eastAsia="宋体" w:hint="default"/>
                <w:sz w:val="18"/>
                <w:szCs w:val="18"/>
              </w:rPr>
              <w:t>）提取和纯化。提取纯</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备案</w:t>
            </w:r>
          </w:p>
        </w:tc>
      </w:tr>
    </w:tbl>
    <w:p>
      <w:pPr>
        <w:spacing w:after="0" w:line="240" w:lineRule="auto"/>
        <w:jc w:val="center"/>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543"/>
        <w:gridCol w:w="2269"/>
        <w:gridCol w:w="710"/>
        <w:gridCol w:w="3401"/>
        <w:gridCol w:w="1381"/>
        <w:gridCol w:w="1289"/>
      </w:tblGrid>
      <w:tr>
        <w:trPr>
          <w:trHeight w:val="88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70" w:right="17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63" w:right="161"/>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89"/>
                <w:sz w:val="18"/>
                <w:szCs w:val="18"/>
              </w:rPr>
              <w:t> </w:t>
            </w:r>
            <w:r>
              <w:rPr>
                <w:rFonts w:ascii="宋体" w:hAnsi="宋体" w:cs="宋体" w:eastAsia="宋体" w:hint="default"/>
                <w:b/>
                <w:bCs/>
                <w:sz w:val="18"/>
                <w:szCs w:val="18"/>
              </w:rPr>
              <w:t>分类</w:t>
            </w:r>
            <w:r>
              <w:rPr>
                <w:rFonts w:ascii="宋体" w:hAnsi="宋体" w:cs="宋体" w:eastAsia="宋体" w:hint="default"/>
                <w:sz w:val="18"/>
                <w:szCs w:val="18"/>
              </w:rPr>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注册证有效期</w:t>
            </w:r>
            <w:r>
              <w:rPr>
                <w:rFonts w:ascii="宋体" w:hAnsi="宋体" w:cs="宋体" w:eastAsia="宋体" w:hint="default"/>
                <w:sz w:val="18"/>
                <w:szCs w:val="18"/>
              </w:rPr>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451"/>
              <w:jc w:val="righ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54" w:hRule="exact"/>
        </w:trPr>
        <w:tc>
          <w:tcPr>
            <w:tcW w:w="543" w:type="dxa"/>
            <w:tcBorders>
              <w:top w:val="single" w:sz="8" w:space="0" w:color="000000"/>
              <w:left w:val="single" w:sz="8" w:space="0" w:color="000000"/>
              <w:bottom w:val="single" w:sz="8" w:space="0" w:color="000000"/>
              <w:right w:val="single" w:sz="8" w:space="0" w:color="000000"/>
            </w:tcBorders>
          </w:tcPr>
          <w:p>
            <w:pPr/>
          </w:p>
        </w:tc>
        <w:tc>
          <w:tcPr>
            <w:tcW w:w="2269" w:type="dxa"/>
            <w:tcBorders>
              <w:top w:val="single" w:sz="8" w:space="0" w:color="000000"/>
              <w:left w:val="single" w:sz="8" w:space="0" w:color="000000"/>
              <w:bottom w:val="single" w:sz="8" w:space="0" w:color="000000"/>
              <w:right w:val="single" w:sz="8" w:space="0" w:color="000000"/>
            </w:tcBorders>
          </w:tcPr>
          <w:p>
            <w:pPr/>
          </w:p>
        </w:tc>
        <w:tc>
          <w:tcPr>
            <w:tcW w:w="710" w:type="dxa"/>
            <w:tcBorders>
              <w:top w:val="single" w:sz="8" w:space="0" w:color="000000"/>
              <w:left w:val="single" w:sz="8" w:space="0" w:color="000000"/>
              <w:bottom w:val="single" w:sz="8" w:space="0" w:color="000000"/>
              <w:right w:val="single" w:sz="8" w:space="0" w:color="000000"/>
            </w:tcBorders>
          </w:tcPr>
          <w:p>
            <w:pP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27"/>
              <w:jc w:val="center"/>
              <w:rPr>
                <w:rFonts w:ascii="宋体" w:hAnsi="宋体" w:cs="宋体" w:eastAsia="宋体" w:hint="default"/>
                <w:sz w:val="18"/>
                <w:szCs w:val="18"/>
              </w:rPr>
            </w:pPr>
            <w:r>
              <w:rPr>
                <w:rFonts w:ascii="宋体" w:hAnsi="宋体" w:cs="宋体" w:eastAsia="宋体" w:hint="default"/>
                <w:sz w:val="18"/>
                <w:szCs w:val="18"/>
              </w:rPr>
              <w:t>化的</w:t>
            </w:r>
            <w:r>
              <w:rPr>
                <w:rFonts w:ascii="Times New Roman" w:hAnsi="Times New Roman" w:cs="Times New Roman" w:eastAsia="Times New Roman" w:hint="default"/>
                <w:sz w:val="18"/>
                <w:szCs w:val="18"/>
              </w:rPr>
              <w:t>DNA/RNA</w:t>
            </w:r>
            <w:r>
              <w:rPr>
                <w:rFonts w:ascii="宋体" w:hAnsi="宋体" w:cs="宋体" w:eastAsia="宋体" w:hint="default"/>
                <w:sz w:val="18"/>
                <w:szCs w:val="18"/>
              </w:rPr>
              <w:t>可用于后续的临床检测。</w:t>
            </w:r>
          </w:p>
        </w:tc>
        <w:tc>
          <w:tcPr>
            <w:tcW w:w="1381" w:type="dxa"/>
            <w:tcBorders>
              <w:top w:val="single" w:sz="8" w:space="0" w:color="000000"/>
              <w:left w:val="single" w:sz="8" w:space="0" w:color="000000"/>
              <w:bottom w:val="single" w:sz="8" w:space="0" w:color="000000"/>
              <w:right w:val="single" w:sz="8" w:space="0" w:color="000000"/>
            </w:tcBorders>
          </w:tcPr>
          <w:p>
            <w:pPr/>
          </w:p>
        </w:tc>
        <w:tc>
          <w:tcPr>
            <w:tcW w:w="1289" w:type="dxa"/>
            <w:tcBorders>
              <w:top w:val="single" w:sz="8" w:space="0" w:color="000000"/>
              <w:left w:val="single" w:sz="8" w:space="0" w:color="000000"/>
              <w:bottom w:val="single" w:sz="8" w:space="0" w:color="000000"/>
              <w:right w:val="single" w:sz="8" w:space="0" w:color="000000"/>
            </w:tcBorders>
          </w:tcPr>
          <w:p>
            <w:pPr/>
          </w:p>
        </w:tc>
      </w:tr>
      <w:tr>
        <w:trPr>
          <w:trHeight w:val="1507"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78</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核酸提取试剂</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7" w:lineRule="auto" w:before="130"/>
              <w:ind w:left="96" w:right="223"/>
              <w:jc w:val="left"/>
              <w:rPr>
                <w:rFonts w:ascii="宋体" w:hAnsi="宋体" w:cs="宋体" w:eastAsia="宋体" w:hint="default"/>
                <w:sz w:val="18"/>
                <w:szCs w:val="18"/>
              </w:rPr>
            </w:pPr>
            <w:r>
              <w:rPr>
                <w:rFonts w:ascii="宋体" w:hAnsi="宋体" w:cs="宋体" w:eastAsia="宋体" w:hint="default"/>
                <w:sz w:val="18"/>
                <w:szCs w:val="18"/>
              </w:rPr>
              <w:t>本试剂盒与核酸提取仪配套使用，适用 于人血清、血浆的病毒核酸（</w:t>
            </w:r>
            <w:r>
              <w:rPr>
                <w:rFonts w:ascii="Times New Roman" w:hAnsi="Times New Roman" w:cs="Times New Roman" w:eastAsia="Times New Roman" w:hint="default"/>
                <w:sz w:val="18"/>
                <w:szCs w:val="18"/>
              </w:rPr>
              <w:t>DNA</w:t>
            </w:r>
            <w:r>
              <w:rPr>
                <w:rFonts w:ascii="宋体" w:hAnsi="宋体" w:cs="宋体" w:eastAsia="宋体" w:hint="default"/>
                <w:sz w:val="18"/>
                <w:szCs w:val="18"/>
              </w:rPr>
              <w:t>和 </w:t>
            </w:r>
            <w:r>
              <w:rPr>
                <w:rFonts w:ascii="Times New Roman" w:hAnsi="Times New Roman" w:cs="Times New Roman" w:eastAsia="Times New Roman" w:hint="default"/>
                <w:sz w:val="18"/>
                <w:szCs w:val="18"/>
              </w:rPr>
              <w:t>RNA</w:t>
            </w:r>
            <w:r>
              <w:rPr>
                <w:rFonts w:ascii="宋体" w:hAnsi="宋体" w:cs="宋体" w:eastAsia="宋体" w:hint="default"/>
                <w:sz w:val="18"/>
                <w:szCs w:val="18"/>
              </w:rPr>
              <w:t>）提取和纯化。提取纯化的 </w:t>
            </w:r>
            <w:r>
              <w:rPr>
                <w:rFonts w:ascii="Times New Roman" w:hAnsi="Times New Roman" w:cs="Times New Roman" w:eastAsia="Times New Roman" w:hint="default"/>
                <w:sz w:val="18"/>
                <w:szCs w:val="18"/>
              </w:rPr>
              <w:t>DNA/RNA</w:t>
            </w:r>
            <w:r>
              <w:rPr>
                <w:rFonts w:ascii="宋体" w:hAnsi="宋体" w:cs="宋体" w:eastAsia="宋体" w:hint="default"/>
                <w:sz w:val="18"/>
                <w:szCs w:val="18"/>
              </w:rPr>
              <w:t>可用于后续的临床检测。</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456"/>
              <w:jc w:val="right"/>
              <w:rPr>
                <w:rFonts w:ascii="宋体" w:hAnsi="宋体" w:cs="宋体" w:eastAsia="宋体" w:hint="default"/>
                <w:sz w:val="18"/>
                <w:szCs w:val="18"/>
              </w:rPr>
            </w:pPr>
            <w:r>
              <w:rPr>
                <w:rFonts w:ascii="宋体" w:hAnsi="宋体" w:cs="宋体" w:eastAsia="宋体" w:hint="default"/>
                <w:sz w:val="18"/>
                <w:szCs w:val="18"/>
              </w:rPr>
              <w:t>备案</w:t>
            </w:r>
          </w:p>
        </w:tc>
      </w:tr>
      <w:tr>
        <w:trPr>
          <w:trHeight w:val="119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79</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全自动核酸提取仪</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30"/>
              <w:ind w:left="96" w:right="225"/>
              <w:jc w:val="both"/>
              <w:rPr>
                <w:rFonts w:ascii="宋体" w:hAnsi="宋体" w:cs="宋体" w:eastAsia="宋体" w:hint="default"/>
                <w:sz w:val="18"/>
                <w:szCs w:val="18"/>
              </w:rPr>
            </w:pPr>
            <w:r>
              <w:rPr>
                <w:rFonts w:ascii="宋体" w:hAnsi="宋体" w:cs="宋体" w:eastAsia="宋体" w:hint="default"/>
                <w:sz w:val="18"/>
                <w:szCs w:val="18"/>
              </w:rPr>
              <w:t>与本公司已上市的核酸提取试剂盒（磁 珠法）配套使用，适用于临床机构对人 类血清血浆中病毒核酸的提取。</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456"/>
              <w:jc w:val="right"/>
              <w:rPr>
                <w:rFonts w:ascii="宋体" w:hAnsi="宋体" w:cs="宋体" w:eastAsia="宋体" w:hint="default"/>
                <w:sz w:val="18"/>
                <w:szCs w:val="18"/>
              </w:rPr>
            </w:pPr>
            <w:r>
              <w:rPr>
                <w:rFonts w:ascii="宋体" w:hAnsi="宋体" w:cs="宋体" w:eastAsia="宋体" w:hint="default"/>
                <w:sz w:val="18"/>
                <w:szCs w:val="18"/>
              </w:rPr>
              <w:t>备案</w:t>
            </w:r>
          </w:p>
        </w:tc>
      </w:tr>
      <w:tr>
        <w:trPr>
          <w:trHeight w:val="3070"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80</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00" w:lineRule="auto"/>
              <w:ind w:left="98" w:right="361"/>
              <w:jc w:val="left"/>
              <w:rPr>
                <w:rFonts w:ascii="宋体" w:hAnsi="宋体" w:cs="宋体" w:eastAsia="宋体" w:hint="default"/>
                <w:sz w:val="18"/>
                <w:szCs w:val="18"/>
              </w:rPr>
            </w:pPr>
            <w:r>
              <w:rPr>
                <w:rFonts w:ascii="宋体" w:hAnsi="宋体" w:cs="宋体" w:eastAsia="宋体" w:hint="default"/>
                <w:sz w:val="18"/>
                <w:szCs w:val="18"/>
              </w:rPr>
              <w:t>基因测序仪（</w:t>
            </w:r>
            <w:r>
              <w:rPr>
                <w:rFonts w:ascii="Times New Roman" w:hAnsi="Times New Roman" w:cs="Times New Roman" w:eastAsia="Times New Roman" w:hint="default"/>
                <w:sz w:val="18"/>
                <w:szCs w:val="18"/>
              </w:rPr>
              <w:t>BGISEQ-</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133"/>
              <w:ind w:left="96" w:right="183"/>
              <w:jc w:val="left"/>
              <w:rPr>
                <w:rFonts w:ascii="宋体" w:hAnsi="宋体" w:cs="宋体" w:eastAsia="宋体" w:hint="default"/>
                <w:sz w:val="18"/>
                <w:szCs w:val="18"/>
              </w:rPr>
            </w:pPr>
            <w:r>
              <w:rPr>
                <w:rFonts w:ascii="宋体" w:hAnsi="宋体" w:cs="宋体" w:eastAsia="宋体" w:hint="default"/>
                <w:sz w:val="18"/>
                <w:szCs w:val="18"/>
              </w:rPr>
              <w:t>该产品通过半导体传感器对核苷酸聚合 反应中的</w:t>
            </w:r>
            <w:r>
              <w:rPr>
                <w:rFonts w:ascii="Times New Roman" w:hAnsi="Times New Roman" w:cs="Times New Roman" w:eastAsia="Times New Roman" w:hint="default"/>
                <w:sz w:val="18"/>
                <w:szCs w:val="18"/>
              </w:rPr>
              <w:t>pH</w:t>
            </w:r>
            <w:r>
              <w:rPr>
                <w:rFonts w:ascii="宋体" w:hAnsi="宋体" w:cs="宋体" w:eastAsia="宋体" w:hint="default"/>
                <w:sz w:val="18"/>
                <w:szCs w:val="18"/>
              </w:rPr>
              <w:t>信号进行检测，用于人脱氧 核糖核酸（</w:t>
            </w:r>
            <w:r>
              <w:rPr>
                <w:rFonts w:ascii="Times New Roman" w:hAnsi="Times New Roman" w:cs="Times New Roman" w:eastAsia="Times New Roman" w:hint="default"/>
                <w:sz w:val="18"/>
                <w:szCs w:val="18"/>
              </w:rPr>
              <w:t>DNA</w:t>
            </w:r>
            <w:r>
              <w:rPr>
                <w:rFonts w:ascii="宋体" w:hAnsi="宋体" w:cs="宋体" w:eastAsia="宋体" w:hint="default"/>
                <w:sz w:val="18"/>
                <w:szCs w:val="18"/>
              </w:rPr>
              <w:t>）测序，以检测基因变 化，这些基因变化可能导致存在疾病或 者易感性。该仪器在临床上仅限于与国 家食品药监督管理总局批准的体外诊断 试剂以及仪器配套的随机软件配合使 用，且不用于人类全基因组的测序或从 头测序。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2019/6/29</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4" w:lineRule="auto"/>
              <w:ind w:left="136" w:right="138" w:hanging="2"/>
              <w:jc w:val="center"/>
              <w:rPr>
                <w:rFonts w:ascii="宋体" w:hAnsi="宋体" w:cs="宋体" w:eastAsia="宋体" w:hint="default"/>
                <w:sz w:val="18"/>
                <w:szCs w:val="18"/>
              </w:rPr>
            </w:pPr>
            <w:r>
              <w:rPr>
                <w:rFonts w:ascii="宋体" w:hAnsi="宋体" w:cs="宋体" w:eastAsia="宋体" w:hint="default"/>
                <w:sz w:val="18"/>
                <w:szCs w:val="18"/>
              </w:rPr>
              <w:t>因测序平台 升级，产品 已于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 </w:t>
            </w:r>
            <w:r>
              <w:rPr>
                <w:rFonts w:ascii="宋体" w:hAnsi="宋体" w:cs="宋体" w:eastAsia="宋体" w:hint="default"/>
                <w:sz w:val="18"/>
                <w:szCs w:val="18"/>
              </w:rPr>
              <w:t>月按规定办 理自行注销 完毕</w:t>
            </w:r>
          </w:p>
        </w:tc>
      </w:tr>
      <w:tr>
        <w:trPr>
          <w:trHeight w:val="306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81</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00" w:lineRule="auto"/>
              <w:ind w:left="98" w:right="361"/>
              <w:jc w:val="left"/>
              <w:rPr>
                <w:rFonts w:ascii="宋体" w:hAnsi="宋体" w:cs="宋体" w:eastAsia="宋体" w:hint="default"/>
                <w:sz w:val="18"/>
                <w:szCs w:val="18"/>
              </w:rPr>
            </w:pPr>
            <w:r>
              <w:rPr>
                <w:rFonts w:ascii="宋体" w:hAnsi="宋体" w:cs="宋体" w:eastAsia="宋体" w:hint="default"/>
                <w:sz w:val="18"/>
                <w:szCs w:val="18"/>
              </w:rPr>
              <w:t>基因测序仪（</w:t>
            </w:r>
            <w:r>
              <w:rPr>
                <w:rFonts w:ascii="Times New Roman" w:hAnsi="Times New Roman" w:cs="Times New Roman" w:eastAsia="Times New Roman" w:hint="default"/>
                <w:sz w:val="18"/>
                <w:szCs w:val="18"/>
              </w:rPr>
              <w:t>BGISEQ-</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1000</w:t>
            </w:r>
            <w:r>
              <w:rPr>
                <w:rFonts w:ascii="宋体" w:hAnsi="宋体" w:cs="宋体" w:eastAsia="宋体" w:hint="default"/>
                <w:sz w:val="18"/>
                <w:szCs w:val="18"/>
              </w:rPr>
              <w:t>）</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96" w:right="193"/>
              <w:jc w:val="left"/>
              <w:rPr>
                <w:rFonts w:ascii="宋体" w:hAnsi="宋体" w:cs="宋体" w:eastAsia="宋体" w:hint="default"/>
                <w:sz w:val="18"/>
                <w:szCs w:val="18"/>
              </w:rPr>
            </w:pPr>
            <w:r>
              <w:rPr>
                <w:rFonts w:ascii="宋体" w:hAnsi="宋体" w:cs="宋体" w:eastAsia="宋体" w:hint="default"/>
                <w:sz w:val="18"/>
                <w:szCs w:val="18"/>
              </w:rPr>
              <w:t>该产品通过对标记在寡合核苷酸探针上 的荧光信号进行检测，用于人脱氧核糖 核酸（</w:t>
            </w:r>
            <w:r>
              <w:rPr>
                <w:rFonts w:ascii="Times New Roman" w:hAnsi="Times New Roman" w:cs="Times New Roman" w:eastAsia="Times New Roman" w:hint="default"/>
                <w:sz w:val="18"/>
                <w:szCs w:val="18"/>
              </w:rPr>
              <w:t>DNA</w:t>
            </w:r>
            <w:r>
              <w:rPr>
                <w:rFonts w:ascii="宋体" w:hAnsi="宋体" w:cs="宋体" w:eastAsia="宋体" w:hint="default"/>
                <w:sz w:val="18"/>
                <w:szCs w:val="18"/>
              </w:rPr>
              <w:t>）测序，以检测基因变化， 这些基因变化可能导致存在疾病或者易 感性。该仪器在临床上仅限于与国家食 品药监督管理总局批准的体外诊断试剂 以及仪器配套的随机软件配合使用，且 不用于人类全基因组的测序或从头测 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2019/6/29</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14" w:lineRule="auto"/>
              <w:ind w:left="136" w:right="138" w:hanging="2"/>
              <w:jc w:val="center"/>
              <w:rPr>
                <w:rFonts w:ascii="宋体" w:hAnsi="宋体" w:cs="宋体" w:eastAsia="宋体" w:hint="default"/>
                <w:sz w:val="18"/>
                <w:szCs w:val="18"/>
              </w:rPr>
            </w:pPr>
            <w:r>
              <w:rPr>
                <w:rFonts w:ascii="宋体" w:hAnsi="宋体" w:cs="宋体" w:eastAsia="宋体" w:hint="default"/>
                <w:sz w:val="18"/>
                <w:szCs w:val="18"/>
              </w:rPr>
              <w:t>因测序平台 升级，产品 已于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 </w:t>
            </w:r>
            <w:r>
              <w:rPr>
                <w:rFonts w:ascii="宋体" w:hAnsi="宋体" w:cs="宋体" w:eastAsia="宋体" w:hint="default"/>
                <w:sz w:val="18"/>
                <w:szCs w:val="18"/>
              </w:rPr>
              <w:t>月按规定办 理自行注销 完毕</w:t>
            </w:r>
          </w:p>
        </w:tc>
      </w:tr>
      <w:tr>
        <w:trPr>
          <w:trHeight w:val="1507"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82</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超声多普勒胎儿心率仪</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Ⅱ类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96" w:right="225"/>
              <w:jc w:val="both"/>
              <w:rPr>
                <w:rFonts w:ascii="宋体" w:hAnsi="宋体" w:cs="宋体" w:eastAsia="宋体" w:hint="default"/>
                <w:sz w:val="18"/>
                <w:szCs w:val="18"/>
              </w:rPr>
            </w:pPr>
            <w:r>
              <w:rPr>
                <w:rFonts w:ascii="宋体" w:hAnsi="宋体" w:cs="宋体" w:eastAsia="宋体" w:hint="default"/>
                <w:sz w:val="18"/>
                <w:szCs w:val="18"/>
              </w:rPr>
              <w:t>用于胎儿心率监测。适用于医疗机构、 孕妇或其家属家中进行使用。该产品的 检测结果只能用于初步评估胎儿状态， 不作为诊断依据。</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2020/10/26</w:t>
            </w:r>
          </w:p>
        </w:tc>
        <w:tc>
          <w:tcPr>
            <w:tcW w:w="1289" w:type="dxa"/>
            <w:tcBorders>
              <w:top w:val="single" w:sz="8" w:space="0" w:color="000000"/>
              <w:left w:val="single" w:sz="8" w:space="0" w:color="000000"/>
              <w:bottom w:val="single" w:sz="8" w:space="0" w:color="000000"/>
              <w:right w:val="single" w:sz="8" w:space="0" w:color="000000"/>
            </w:tcBorders>
          </w:tcPr>
          <w:p>
            <w:pPr/>
          </w:p>
        </w:tc>
      </w:tr>
      <w:tr>
        <w:trPr>
          <w:trHeight w:val="88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69"/>
              <w:jc w:val="right"/>
              <w:rPr>
                <w:rFonts w:ascii="Times New Roman" w:hAnsi="Times New Roman" w:cs="Times New Roman" w:eastAsia="Times New Roman" w:hint="default"/>
                <w:sz w:val="18"/>
                <w:szCs w:val="18"/>
              </w:rPr>
            </w:pPr>
            <w:r>
              <w:rPr>
                <w:rFonts w:ascii="Times New Roman"/>
                <w:sz w:val="18"/>
              </w:rPr>
              <w:t>83</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DNA</w:t>
            </w:r>
            <w:r>
              <w:rPr>
                <w:rFonts w:ascii="宋体" w:hAnsi="宋体" w:cs="宋体" w:eastAsia="宋体" w:hint="default"/>
                <w:sz w:val="18"/>
                <w:szCs w:val="18"/>
              </w:rPr>
              <w:t>样品保持卡</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3"/>
              <w:ind w:left="96" w:right="373"/>
              <w:jc w:val="left"/>
              <w:rPr>
                <w:rFonts w:ascii="宋体" w:hAnsi="宋体" w:cs="宋体" w:eastAsia="宋体" w:hint="default"/>
                <w:sz w:val="18"/>
                <w:szCs w:val="18"/>
              </w:rPr>
            </w:pPr>
            <w:r>
              <w:rPr>
                <w:rFonts w:ascii="宋体" w:hAnsi="宋体" w:cs="宋体" w:eastAsia="宋体" w:hint="default"/>
                <w:sz w:val="18"/>
                <w:szCs w:val="18"/>
              </w:rPr>
              <w:t>用于</w:t>
            </w:r>
            <w:r>
              <w:rPr>
                <w:rFonts w:ascii="Times New Roman" w:hAnsi="Times New Roman" w:cs="Times New Roman" w:eastAsia="Times New Roman" w:hint="default"/>
                <w:sz w:val="18"/>
                <w:szCs w:val="18"/>
              </w:rPr>
              <w:t>DNA</w:t>
            </w:r>
            <w:r>
              <w:rPr>
                <w:rFonts w:ascii="宋体" w:hAnsi="宋体" w:cs="宋体" w:eastAsia="宋体" w:hint="default"/>
                <w:sz w:val="18"/>
                <w:szCs w:val="18"/>
              </w:rPr>
              <w:t>样品的室温稳定化保存和运 输。</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456"/>
              <w:jc w:val="right"/>
              <w:rPr>
                <w:rFonts w:ascii="宋体" w:hAnsi="宋体" w:cs="宋体" w:eastAsia="宋体" w:hint="default"/>
                <w:sz w:val="18"/>
                <w:szCs w:val="18"/>
              </w:rPr>
            </w:pPr>
            <w:r>
              <w:rPr>
                <w:rFonts w:ascii="宋体" w:hAnsi="宋体" w:cs="宋体" w:eastAsia="宋体" w:hint="default"/>
                <w:sz w:val="18"/>
                <w:szCs w:val="18"/>
              </w:rPr>
              <w:t>备案</w:t>
            </w:r>
          </w:p>
        </w:tc>
      </w:tr>
      <w:tr>
        <w:trPr>
          <w:trHeight w:val="119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84</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核酸纯化试剂</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30"/>
              <w:ind w:left="96" w:right="225"/>
              <w:jc w:val="left"/>
              <w:rPr>
                <w:rFonts w:ascii="宋体" w:hAnsi="宋体" w:cs="宋体" w:eastAsia="宋体" w:hint="default"/>
                <w:sz w:val="18"/>
                <w:szCs w:val="18"/>
              </w:rPr>
            </w:pPr>
            <w:r>
              <w:rPr>
                <w:rFonts w:ascii="宋体" w:hAnsi="宋体" w:cs="宋体" w:eastAsia="宋体" w:hint="default"/>
                <w:sz w:val="18"/>
                <w:szCs w:val="18"/>
              </w:rPr>
              <w:t>用于核酸的提取、富集、纯化等步骤。 其处理后的产物用于临床体外检测使 用。</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456"/>
              <w:jc w:val="right"/>
              <w:rPr>
                <w:rFonts w:ascii="宋体" w:hAnsi="宋体" w:cs="宋体" w:eastAsia="宋体" w:hint="default"/>
                <w:sz w:val="18"/>
                <w:szCs w:val="18"/>
              </w:rPr>
            </w:pPr>
            <w:r>
              <w:rPr>
                <w:rFonts w:ascii="宋体" w:hAnsi="宋体" w:cs="宋体" w:eastAsia="宋体" w:hint="default"/>
                <w:sz w:val="18"/>
                <w:szCs w:val="18"/>
              </w:rPr>
              <w:t>备案</w:t>
            </w:r>
          </w:p>
        </w:tc>
      </w:tr>
    </w:tbl>
    <w:p>
      <w:pPr>
        <w:spacing w:after="0" w:line="240" w:lineRule="auto"/>
        <w:jc w:val="righ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543"/>
        <w:gridCol w:w="2269"/>
        <w:gridCol w:w="710"/>
        <w:gridCol w:w="3401"/>
        <w:gridCol w:w="1381"/>
        <w:gridCol w:w="1289"/>
      </w:tblGrid>
      <w:tr>
        <w:trPr>
          <w:trHeight w:val="88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70" w:right="17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63" w:right="161"/>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89"/>
                <w:sz w:val="18"/>
                <w:szCs w:val="18"/>
              </w:rPr>
              <w:t> </w:t>
            </w:r>
            <w:r>
              <w:rPr>
                <w:rFonts w:ascii="宋体" w:hAnsi="宋体" w:cs="宋体" w:eastAsia="宋体" w:hint="default"/>
                <w:b/>
                <w:bCs/>
                <w:sz w:val="18"/>
                <w:szCs w:val="18"/>
              </w:rPr>
              <w:t>分类</w:t>
            </w:r>
            <w:r>
              <w:rPr>
                <w:rFonts w:ascii="宋体" w:hAnsi="宋体" w:cs="宋体" w:eastAsia="宋体" w:hint="default"/>
                <w:sz w:val="18"/>
                <w:szCs w:val="18"/>
              </w:rPr>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注册证有效期</w:t>
            </w:r>
            <w:r>
              <w:rPr>
                <w:rFonts w:ascii="宋体" w:hAnsi="宋体" w:cs="宋体" w:eastAsia="宋体" w:hint="default"/>
                <w:sz w:val="18"/>
                <w:szCs w:val="18"/>
              </w:rPr>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85</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细胞保存液</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3"/>
              <w:ind w:left="96" w:right="225"/>
              <w:jc w:val="both"/>
              <w:rPr>
                <w:rFonts w:ascii="宋体" w:hAnsi="宋体" w:cs="宋体" w:eastAsia="宋体" w:hint="default"/>
                <w:sz w:val="18"/>
                <w:szCs w:val="18"/>
              </w:rPr>
            </w:pPr>
            <w:r>
              <w:rPr>
                <w:rFonts w:ascii="宋体" w:hAnsi="宋体" w:cs="宋体" w:eastAsia="宋体" w:hint="default"/>
                <w:sz w:val="18"/>
                <w:szCs w:val="18"/>
              </w:rPr>
              <w:t>用于保存、运输取自人体的细胞，仅用 于体外分析检测目的，不用于治疗性用 途。</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820"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86</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16" w:lineRule="auto"/>
              <w:ind w:left="98" w:right="168"/>
              <w:jc w:val="left"/>
              <w:rPr>
                <w:rFonts w:ascii="宋体" w:hAnsi="宋体" w:cs="宋体" w:eastAsia="宋体" w:hint="default"/>
                <w:sz w:val="18"/>
                <w:szCs w:val="18"/>
              </w:rPr>
            </w:pPr>
            <w:r>
              <w:rPr>
                <w:rFonts w:ascii="宋体" w:hAnsi="宋体" w:cs="宋体" w:eastAsia="宋体" w:hint="default"/>
                <w:sz w:val="18"/>
                <w:szCs w:val="18"/>
              </w:rPr>
              <w:t>测序反应通用试剂盒（半 导体测序法）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130"/>
              <w:ind w:left="96" w:right="197"/>
              <w:jc w:val="left"/>
              <w:rPr>
                <w:rFonts w:ascii="宋体" w:hAnsi="宋体" w:cs="宋体" w:eastAsia="宋体" w:hint="default"/>
                <w:sz w:val="18"/>
                <w:szCs w:val="18"/>
              </w:rPr>
            </w:pPr>
            <w:r>
              <w:rPr>
                <w:rFonts w:ascii="宋体" w:hAnsi="宋体" w:cs="宋体" w:eastAsia="宋体" w:hint="default"/>
                <w:sz w:val="18"/>
                <w:szCs w:val="18"/>
              </w:rPr>
              <w:t>本试剂盒是检测人类基因组</w:t>
            </w:r>
            <w:r>
              <w:rPr>
                <w:rFonts w:ascii="Times New Roman" w:hAnsi="Times New Roman" w:cs="Times New Roman" w:eastAsia="Times New Roman" w:hint="default"/>
                <w:sz w:val="18"/>
                <w:szCs w:val="18"/>
              </w:rPr>
              <w:t>DNA</w:t>
            </w:r>
            <w:r>
              <w:rPr>
                <w:rFonts w:ascii="宋体" w:hAnsi="宋体" w:cs="宋体" w:eastAsia="宋体" w:hint="default"/>
                <w:sz w:val="18"/>
                <w:szCs w:val="18"/>
              </w:rPr>
              <w:t>文库的 一组常用试剂，与基因测序仪配合使 用，完成高通量测序过程并获取样本序 列信息，是该测序反应系统的通用试 剂。本产品不用于全基因组测序。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195"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87</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细胞保存液</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96" w:right="225"/>
              <w:jc w:val="both"/>
              <w:rPr>
                <w:rFonts w:ascii="宋体" w:hAnsi="宋体" w:cs="宋体" w:eastAsia="宋体" w:hint="default"/>
                <w:sz w:val="18"/>
                <w:szCs w:val="18"/>
              </w:rPr>
            </w:pPr>
            <w:r>
              <w:rPr>
                <w:rFonts w:ascii="宋体" w:hAnsi="宋体" w:cs="宋体" w:eastAsia="宋体" w:hint="default"/>
                <w:sz w:val="18"/>
                <w:szCs w:val="18"/>
              </w:rPr>
              <w:t>用于保存、运输取自人体的细胞，仅用 于体外分析检测目的，不用于治疗性用 途。</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88</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核酸提取试剂</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3"/>
              <w:ind w:left="96" w:right="225"/>
              <w:jc w:val="left"/>
              <w:rPr>
                <w:rFonts w:ascii="宋体" w:hAnsi="宋体" w:cs="宋体" w:eastAsia="宋体" w:hint="default"/>
                <w:sz w:val="18"/>
                <w:szCs w:val="18"/>
              </w:rPr>
            </w:pPr>
            <w:r>
              <w:rPr>
                <w:rFonts w:ascii="宋体" w:hAnsi="宋体" w:cs="宋体" w:eastAsia="宋体" w:hint="default"/>
                <w:sz w:val="18"/>
                <w:szCs w:val="18"/>
              </w:rPr>
              <w:t>用于核酸的提取、富集、纯化等步骤。 其处理后的产物用于临床体外检测使 用。</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820"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89</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16" w:lineRule="auto"/>
              <w:ind w:left="98" w:right="168"/>
              <w:jc w:val="left"/>
              <w:rPr>
                <w:rFonts w:ascii="宋体" w:hAnsi="宋体" w:cs="宋体" w:eastAsia="宋体" w:hint="default"/>
                <w:sz w:val="18"/>
                <w:szCs w:val="18"/>
              </w:rPr>
            </w:pPr>
            <w:r>
              <w:rPr>
                <w:rFonts w:ascii="宋体" w:hAnsi="宋体" w:cs="宋体" w:eastAsia="宋体" w:hint="default"/>
                <w:sz w:val="18"/>
                <w:szCs w:val="18"/>
              </w:rPr>
              <w:t>测序反应通用试剂盒（联 合探针锚定聚合测序法）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130"/>
              <w:ind w:left="96" w:right="197"/>
              <w:jc w:val="left"/>
              <w:rPr>
                <w:rFonts w:ascii="宋体" w:hAnsi="宋体" w:cs="宋体" w:eastAsia="宋体" w:hint="default"/>
                <w:sz w:val="18"/>
                <w:szCs w:val="18"/>
              </w:rPr>
            </w:pPr>
            <w:r>
              <w:rPr>
                <w:rFonts w:ascii="宋体" w:hAnsi="宋体" w:cs="宋体" w:eastAsia="宋体" w:hint="default"/>
                <w:sz w:val="18"/>
                <w:szCs w:val="18"/>
              </w:rPr>
              <w:t>本试剂盒是检测人类基因组</w:t>
            </w:r>
            <w:r>
              <w:rPr>
                <w:rFonts w:ascii="Times New Roman" w:hAnsi="Times New Roman" w:cs="Times New Roman" w:eastAsia="Times New Roman" w:hint="default"/>
                <w:sz w:val="18"/>
                <w:szCs w:val="18"/>
              </w:rPr>
              <w:t>DNA</w:t>
            </w:r>
            <w:r>
              <w:rPr>
                <w:rFonts w:ascii="宋体" w:hAnsi="宋体" w:cs="宋体" w:eastAsia="宋体" w:hint="default"/>
                <w:sz w:val="18"/>
                <w:szCs w:val="18"/>
              </w:rPr>
              <w:t>文库的 一组常用试剂，与基因测序仪配合使 用，完成高通量测序过程并获取样本序 列信息，是该测序反应系统的通用试 剂。本产品不用于全基因组测序。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5"/>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819"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90</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16" w:lineRule="auto"/>
              <w:ind w:left="98" w:right="168"/>
              <w:jc w:val="left"/>
              <w:rPr>
                <w:rFonts w:ascii="宋体" w:hAnsi="宋体" w:cs="宋体" w:eastAsia="宋体" w:hint="default"/>
                <w:sz w:val="18"/>
                <w:szCs w:val="18"/>
              </w:rPr>
            </w:pPr>
            <w:r>
              <w:rPr>
                <w:rFonts w:ascii="宋体" w:hAnsi="宋体" w:cs="宋体" w:eastAsia="宋体" w:hint="default"/>
                <w:sz w:val="18"/>
                <w:szCs w:val="18"/>
              </w:rPr>
              <w:t>测序反应通用试剂盒（联 合探针锚定聚合测序法）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130"/>
              <w:ind w:left="96" w:right="197"/>
              <w:jc w:val="left"/>
              <w:rPr>
                <w:rFonts w:ascii="宋体" w:hAnsi="宋体" w:cs="宋体" w:eastAsia="宋体" w:hint="default"/>
                <w:sz w:val="18"/>
                <w:szCs w:val="18"/>
              </w:rPr>
            </w:pPr>
            <w:r>
              <w:rPr>
                <w:rFonts w:ascii="宋体" w:hAnsi="宋体" w:cs="宋体" w:eastAsia="宋体" w:hint="default"/>
                <w:sz w:val="18"/>
                <w:szCs w:val="18"/>
              </w:rPr>
              <w:t>本试剂盒是检测人类基因组</w:t>
            </w:r>
            <w:r>
              <w:rPr>
                <w:rFonts w:ascii="Times New Roman" w:hAnsi="Times New Roman" w:cs="Times New Roman" w:eastAsia="Times New Roman" w:hint="default"/>
                <w:sz w:val="18"/>
                <w:szCs w:val="18"/>
              </w:rPr>
              <w:t>DNA</w:t>
            </w:r>
            <w:r>
              <w:rPr>
                <w:rFonts w:ascii="宋体" w:hAnsi="宋体" w:cs="宋体" w:eastAsia="宋体" w:hint="default"/>
                <w:sz w:val="18"/>
                <w:szCs w:val="18"/>
              </w:rPr>
              <w:t>文库的 一组常用试剂，与基因测序仪配合使 用，完成高通量测序过程并获取样本序 列信息，是该测序反应系统的通用试 剂。本产品不用于全基因组测序。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91</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核酸提取试剂</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3"/>
              <w:ind w:left="96" w:right="225"/>
              <w:jc w:val="left"/>
              <w:rPr>
                <w:rFonts w:ascii="宋体" w:hAnsi="宋体" w:cs="宋体" w:eastAsia="宋体" w:hint="default"/>
                <w:sz w:val="18"/>
                <w:szCs w:val="18"/>
              </w:rPr>
            </w:pPr>
            <w:r>
              <w:rPr>
                <w:rFonts w:ascii="宋体" w:hAnsi="宋体" w:cs="宋体" w:eastAsia="宋体" w:hint="default"/>
                <w:sz w:val="18"/>
                <w:szCs w:val="18"/>
              </w:rPr>
              <w:t>用于核酸的提取、富集、纯化等步骤。 其处理后的产物用于临床体外检测使 用。</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新备案</w:t>
            </w:r>
          </w:p>
        </w:tc>
      </w:tr>
      <w:tr>
        <w:trPr>
          <w:trHeight w:val="1819"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92</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16" w:lineRule="auto"/>
              <w:ind w:left="98" w:right="168"/>
              <w:jc w:val="left"/>
              <w:rPr>
                <w:rFonts w:ascii="宋体" w:hAnsi="宋体" w:cs="宋体" w:eastAsia="宋体" w:hint="default"/>
                <w:sz w:val="18"/>
                <w:szCs w:val="18"/>
              </w:rPr>
            </w:pPr>
            <w:r>
              <w:rPr>
                <w:rFonts w:ascii="宋体" w:hAnsi="宋体" w:cs="宋体" w:eastAsia="宋体" w:hint="default"/>
                <w:sz w:val="18"/>
                <w:szCs w:val="18"/>
              </w:rPr>
              <w:t>测序反应通用试剂盒（联 合探针锚定聚合测序法）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130"/>
              <w:ind w:left="96" w:right="197"/>
              <w:jc w:val="left"/>
              <w:rPr>
                <w:rFonts w:ascii="宋体" w:hAnsi="宋体" w:cs="宋体" w:eastAsia="宋体" w:hint="default"/>
                <w:sz w:val="18"/>
                <w:szCs w:val="18"/>
              </w:rPr>
            </w:pPr>
            <w:r>
              <w:rPr>
                <w:rFonts w:ascii="宋体" w:hAnsi="宋体" w:cs="宋体" w:eastAsia="宋体" w:hint="default"/>
                <w:sz w:val="18"/>
                <w:szCs w:val="18"/>
              </w:rPr>
              <w:t>本试剂盒是检测人类基因组</w:t>
            </w:r>
            <w:r>
              <w:rPr>
                <w:rFonts w:ascii="Times New Roman" w:hAnsi="Times New Roman" w:cs="Times New Roman" w:eastAsia="Times New Roman" w:hint="default"/>
                <w:sz w:val="18"/>
                <w:szCs w:val="18"/>
              </w:rPr>
              <w:t>DNA</w:t>
            </w:r>
            <w:r>
              <w:rPr>
                <w:rFonts w:ascii="宋体" w:hAnsi="宋体" w:cs="宋体" w:eastAsia="宋体" w:hint="default"/>
                <w:sz w:val="18"/>
                <w:szCs w:val="18"/>
              </w:rPr>
              <w:t>文库的 一组常用试剂，与基因测序仪配合使 用，完成高通量测序过程并获取样本序 列信息，是该测序反应系统的通用试 剂。本产品不用于全基因组测序。</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新备案</w:t>
            </w:r>
          </w:p>
        </w:tc>
      </w:tr>
      <w:tr>
        <w:trPr>
          <w:trHeight w:val="88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69"/>
              <w:jc w:val="right"/>
              <w:rPr>
                <w:rFonts w:ascii="Times New Roman" w:hAnsi="Times New Roman" w:cs="Times New Roman" w:eastAsia="Times New Roman" w:hint="default"/>
                <w:sz w:val="18"/>
                <w:szCs w:val="18"/>
              </w:rPr>
            </w:pPr>
            <w:r>
              <w:rPr>
                <w:rFonts w:ascii="Times New Roman"/>
                <w:sz w:val="18"/>
              </w:rPr>
              <w:t>93</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98" w:right="168"/>
              <w:jc w:val="left"/>
              <w:rPr>
                <w:rFonts w:ascii="宋体" w:hAnsi="宋体" w:cs="宋体" w:eastAsia="宋体" w:hint="default"/>
                <w:sz w:val="18"/>
                <w:szCs w:val="18"/>
              </w:rPr>
            </w:pPr>
            <w:r>
              <w:rPr>
                <w:rFonts w:ascii="宋体" w:hAnsi="宋体" w:cs="宋体" w:eastAsia="宋体" w:hint="default"/>
                <w:sz w:val="18"/>
                <w:szCs w:val="18"/>
              </w:rPr>
              <w:t>人乳头瘤病毒核酸分型分 析软件</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96" w:right="223"/>
              <w:jc w:val="left"/>
              <w:rPr>
                <w:rFonts w:ascii="宋体" w:hAnsi="宋体" w:cs="宋体" w:eastAsia="宋体" w:hint="default"/>
                <w:sz w:val="18"/>
                <w:szCs w:val="18"/>
              </w:rPr>
            </w:pPr>
            <w:r>
              <w:rPr>
                <w:rFonts w:ascii="宋体" w:hAnsi="宋体" w:cs="宋体" w:eastAsia="宋体" w:hint="default"/>
                <w:sz w:val="18"/>
                <w:szCs w:val="18"/>
              </w:rPr>
              <w:t>本软件与适用的测序试剂盒配套使用， 通过对宫颈脱落细胞中的</w:t>
            </w:r>
            <w:r>
              <w:rPr>
                <w:rFonts w:ascii="Times New Roman" w:hAnsi="Times New Roman" w:cs="Times New Roman" w:eastAsia="Times New Roman" w:hint="default"/>
                <w:sz w:val="18"/>
                <w:szCs w:val="18"/>
              </w:rPr>
              <w:t>16</w:t>
            </w:r>
            <w:r>
              <w:rPr>
                <w:rFonts w:ascii="宋体" w:hAnsi="宋体" w:cs="宋体" w:eastAsia="宋体" w:hint="default"/>
                <w:sz w:val="18"/>
                <w:szCs w:val="18"/>
              </w:rPr>
              <w:t>种人乳头瘤</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2020/6/28</w:t>
            </w:r>
          </w:p>
        </w:tc>
        <w:tc>
          <w:tcPr>
            <w:tcW w:w="1289"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543"/>
        <w:gridCol w:w="2269"/>
        <w:gridCol w:w="710"/>
        <w:gridCol w:w="3401"/>
        <w:gridCol w:w="1381"/>
        <w:gridCol w:w="1289"/>
      </w:tblGrid>
      <w:tr>
        <w:trPr>
          <w:trHeight w:val="88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70" w:right="17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63" w:right="161"/>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89"/>
                <w:sz w:val="18"/>
                <w:szCs w:val="18"/>
              </w:rPr>
              <w:t> </w:t>
            </w:r>
            <w:r>
              <w:rPr>
                <w:rFonts w:ascii="宋体" w:hAnsi="宋体" w:cs="宋体" w:eastAsia="宋体" w:hint="default"/>
                <w:b/>
                <w:bCs/>
                <w:sz w:val="18"/>
                <w:szCs w:val="18"/>
              </w:rPr>
              <w:t>分类</w:t>
            </w:r>
            <w:r>
              <w:rPr>
                <w:rFonts w:ascii="宋体" w:hAnsi="宋体" w:cs="宋体" w:eastAsia="宋体" w:hint="default"/>
                <w:sz w:val="18"/>
                <w:szCs w:val="18"/>
              </w:rPr>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注册证有效期</w:t>
            </w:r>
            <w:r>
              <w:rPr>
                <w:rFonts w:ascii="宋体" w:hAnsi="宋体" w:cs="宋体" w:eastAsia="宋体" w:hint="default"/>
                <w:sz w:val="18"/>
                <w:szCs w:val="18"/>
              </w:rPr>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1702" w:hRule="exact"/>
        </w:trPr>
        <w:tc>
          <w:tcPr>
            <w:tcW w:w="543" w:type="dxa"/>
            <w:tcBorders>
              <w:top w:val="single" w:sz="8" w:space="0" w:color="000000"/>
              <w:left w:val="single" w:sz="8" w:space="0" w:color="000000"/>
              <w:bottom w:val="single" w:sz="8" w:space="0" w:color="000000"/>
              <w:right w:val="single" w:sz="8" w:space="0" w:color="000000"/>
            </w:tcBorders>
          </w:tcPr>
          <w:p>
            <w:pPr/>
          </w:p>
        </w:tc>
        <w:tc>
          <w:tcPr>
            <w:tcW w:w="2269" w:type="dxa"/>
            <w:tcBorders>
              <w:top w:val="single" w:sz="8" w:space="0" w:color="000000"/>
              <w:left w:val="single" w:sz="8" w:space="0" w:color="000000"/>
              <w:bottom w:val="single" w:sz="8" w:space="0" w:color="000000"/>
              <w:right w:val="single" w:sz="8" w:space="0" w:color="000000"/>
            </w:tcBorders>
          </w:tcPr>
          <w:p>
            <w:pPr/>
          </w:p>
        </w:tc>
        <w:tc>
          <w:tcPr>
            <w:tcW w:w="710" w:type="dxa"/>
            <w:tcBorders>
              <w:top w:val="single" w:sz="8" w:space="0" w:color="000000"/>
              <w:left w:val="single" w:sz="8" w:space="0" w:color="000000"/>
              <w:bottom w:val="single" w:sz="8" w:space="0" w:color="000000"/>
              <w:right w:val="single" w:sz="8" w:space="0" w:color="000000"/>
            </w:tcBorders>
          </w:tcPr>
          <w:p>
            <w:pP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6" w:right="0"/>
              <w:jc w:val="both"/>
              <w:rPr>
                <w:rFonts w:ascii="宋体" w:hAnsi="宋体" w:cs="宋体" w:eastAsia="宋体" w:hint="default"/>
                <w:sz w:val="18"/>
                <w:szCs w:val="18"/>
              </w:rPr>
            </w:pPr>
            <w:r>
              <w:rPr>
                <w:rFonts w:ascii="宋体" w:hAnsi="宋体" w:cs="宋体" w:eastAsia="宋体" w:hint="default"/>
                <w:sz w:val="18"/>
                <w:szCs w:val="18"/>
              </w:rPr>
              <w:t>病毒（</w:t>
            </w:r>
            <w:r>
              <w:rPr>
                <w:rFonts w:ascii="Times New Roman" w:hAnsi="Times New Roman" w:cs="Times New Roman" w:eastAsia="Times New Roman" w:hint="default"/>
                <w:sz w:val="18"/>
                <w:szCs w:val="18"/>
              </w:rPr>
              <w:t>HPV6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31</w:t>
            </w:r>
            <w:r>
              <w:rPr>
                <w:rFonts w:ascii="宋体" w:hAnsi="宋体" w:cs="宋体" w:eastAsia="宋体" w:hint="default"/>
                <w:sz w:val="18"/>
                <w:szCs w:val="18"/>
              </w:rPr>
              <w:t>、</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p>
          <w:p>
            <w:pPr>
              <w:pStyle w:val="TableParagraph"/>
              <w:spacing w:line="240" w:lineRule="auto" w:before="63"/>
              <w:ind w:left="9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39</w:t>
            </w:r>
            <w:r>
              <w:rPr>
                <w:rFonts w:ascii="宋体" w:hAnsi="宋体" w:cs="宋体" w:eastAsia="宋体" w:hint="default"/>
                <w:sz w:val="18"/>
                <w:szCs w:val="18"/>
              </w:rPr>
              <w:t>、</w:t>
            </w:r>
            <w:r>
              <w:rPr>
                <w:rFonts w:ascii="Times New Roman" w:hAnsi="Times New Roman" w:cs="Times New Roman" w:eastAsia="Times New Roman" w:hint="default"/>
                <w:sz w:val="18"/>
                <w:szCs w:val="18"/>
              </w:rPr>
              <w:t>45</w:t>
            </w:r>
            <w:r>
              <w:rPr>
                <w:rFonts w:ascii="宋体" w:hAnsi="宋体" w:cs="宋体" w:eastAsia="宋体" w:hint="default"/>
                <w:sz w:val="18"/>
                <w:szCs w:val="18"/>
              </w:rPr>
              <w:t>、</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r>
              <w:rPr>
                <w:rFonts w:ascii="Times New Roman" w:hAnsi="Times New Roman" w:cs="Times New Roman" w:eastAsia="Times New Roman" w:hint="default"/>
                <w:sz w:val="18"/>
                <w:szCs w:val="18"/>
              </w:rPr>
              <w:t>52</w:t>
            </w:r>
            <w:r>
              <w:rPr>
                <w:rFonts w:ascii="宋体" w:hAnsi="宋体" w:cs="宋体" w:eastAsia="宋体" w:hint="default"/>
                <w:sz w:val="18"/>
                <w:szCs w:val="18"/>
              </w:rPr>
              <w:t>、</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r>
              <w:rPr>
                <w:rFonts w:ascii="Times New Roman" w:hAnsi="Times New Roman" w:cs="Times New Roman" w:eastAsia="Times New Roman" w:hint="default"/>
                <w:sz w:val="18"/>
                <w:szCs w:val="18"/>
              </w:rPr>
              <w:t>58</w:t>
            </w:r>
            <w:r>
              <w:rPr>
                <w:rFonts w:ascii="宋体" w:hAnsi="宋体" w:cs="宋体" w:eastAsia="宋体" w:hint="default"/>
                <w:sz w:val="18"/>
                <w:szCs w:val="18"/>
              </w:rPr>
              <w:t>、</w:t>
            </w:r>
            <w:r>
              <w:rPr>
                <w:rFonts w:ascii="Times New Roman" w:hAnsi="Times New Roman" w:cs="Times New Roman" w:eastAsia="Times New Roman" w:hint="default"/>
                <w:sz w:val="18"/>
                <w:szCs w:val="18"/>
              </w:rPr>
              <w:t>59</w:t>
            </w:r>
            <w:r>
              <w:rPr>
                <w:rFonts w:ascii="宋体" w:hAnsi="宋体" w:cs="宋体" w:eastAsia="宋体" w:hint="default"/>
                <w:sz w:val="18"/>
                <w:szCs w:val="18"/>
              </w:rPr>
              <w:t>、</w:t>
            </w:r>
          </w:p>
          <w:p>
            <w:pPr>
              <w:pStyle w:val="TableParagraph"/>
              <w:spacing w:line="300" w:lineRule="auto" w:before="63"/>
              <w:ind w:left="96" w:right="223"/>
              <w:jc w:val="both"/>
              <w:rPr>
                <w:rFonts w:ascii="宋体" w:hAnsi="宋体" w:cs="宋体" w:eastAsia="宋体" w:hint="default"/>
                <w:sz w:val="18"/>
                <w:szCs w:val="18"/>
              </w:rPr>
            </w:pPr>
            <w:r>
              <w:rPr>
                <w:rFonts w:ascii="Times New Roman" w:hAnsi="Times New Roman" w:cs="Times New Roman" w:eastAsia="Times New Roman" w:hint="default"/>
                <w:sz w:val="18"/>
                <w:szCs w:val="18"/>
              </w:rPr>
              <w:t>66</w:t>
            </w:r>
            <w:r>
              <w:rPr>
                <w:rFonts w:ascii="宋体" w:hAnsi="宋体" w:cs="宋体" w:eastAsia="宋体" w:hint="default"/>
                <w:sz w:val="18"/>
                <w:szCs w:val="18"/>
              </w:rPr>
              <w:t>、</w:t>
            </w:r>
            <w:r>
              <w:rPr>
                <w:rFonts w:ascii="Times New Roman" w:hAnsi="Times New Roman" w:cs="Times New Roman" w:eastAsia="Times New Roman" w:hint="default"/>
                <w:sz w:val="18"/>
                <w:szCs w:val="18"/>
              </w:rPr>
              <w:t>68</w:t>
            </w:r>
            <w:r>
              <w:rPr>
                <w:rFonts w:ascii="宋体" w:hAnsi="宋体" w:cs="宋体" w:eastAsia="宋体" w:hint="default"/>
                <w:sz w:val="18"/>
                <w:szCs w:val="18"/>
              </w:rPr>
              <w:t>）的测序数据进行定性及分型分 型，分析结果可用于</w:t>
            </w:r>
            <w:r>
              <w:rPr>
                <w:rFonts w:ascii="Times New Roman" w:hAnsi="Times New Roman" w:cs="Times New Roman" w:eastAsia="Times New Roman" w:hint="default"/>
                <w:sz w:val="18"/>
                <w:szCs w:val="18"/>
              </w:rPr>
              <w:t>HPV</w:t>
            </w:r>
            <w:r>
              <w:rPr>
                <w:rFonts w:ascii="宋体" w:hAnsi="宋体" w:cs="宋体" w:eastAsia="宋体" w:hint="default"/>
                <w:sz w:val="18"/>
                <w:szCs w:val="18"/>
              </w:rPr>
              <w:t>感染的辅助诊 断。</w:t>
            </w:r>
          </w:p>
        </w:tc>
        <w:tc>
          <w:tcPr>
            <w:tcW w:w="1381" w:type="dxa"/>
            <w:tcBorders>
              <w:top w:val="single" w:sz="8" w:space="0" w:color="000000"/>
              <w:left w:val="single" w:sz="8" w:space="0" w:color="000000"/>
              <w:bottom w:val="single" w:sz="8" w:space="0" w:color="000000"/>
              <w:right w:val="single" w:sz="8" w:space="0" w:color="000000"/>
            </w:tcBorders>
          </w:tcPr>
          <w:p>
            <w:pPr/>
          </w:p>
        </w:tc>
        <w:tc>
          <w:tcPr>
            <w:tcW w:w="1289" w:type="dxa"/>
            <w:tcBorders>
              <w:top w:val="single" w:sz="8" w:space="0" w:color="000000"/>
              <w:left w:val="single" w:sz="8" w:space="0" w:color="000000"/>
              <w:bottom w:val="single" w:sz="8" w:space="0" w:color="000000"/>
              <w:right w:val="single" w:sz="8" w:space="0" w:color="000000"/>
            </w:tcBorders>
          </w:tcPr>
          <w:p>
            <w:pPr/>
          </w:p>
        </w:tc>
      </w:tr>
      <w:tr>
        <w:trPr>
          <w:trHeight w:val="431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94</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70"/>
              <w:jc w:val="center"/>
              <w:rPr>
                <w:rFonts w:ascii="宋体" w:hAnsi="宋体" w:cs="宋体" w:eastAsia="宋体" w:hint="default"/>
                <w:sz w:val="18"/>
                <w:szCs w:val="18"/>
              </w:rPr>
            </w:pPr>
            <w:r>
              <w:rPr>
                <w:rFonts w:ascii="宋体" w:hAnsi="宋体" w:cs="宋体" w:eastAsia="宋体" w:hint="default"/>
                <w:sz w:val="18"/>
                <w:szCs w:val="18"/>
              </w:rPr>
              <w:t>遗传性耳聋基因分析软件</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7" w:lineRule="auto" w:before="130"/>
              <w:ind w:left="96" w:right="193"/>
              <w:jc w:val="left"/>
              <w:rPr>
                <w:rFonts w:ascii="宋体" w:hAnsi="宋体" w:cs="宋体" w:eastAsia="宋体" w:hint="default"/>
                <w:sz w:val="18"/>
                <w:szCs w:val="18"/>
              </w:rPr>
            </w:pPr>
            <w:r>
              <w:rPr>
                <w:rFonts w:ascii="宋体" w:hAnsi="宋体" w:cs="宋体" w:eastAsia="宋体" w:hint="default"/>
                <w:sz w:val="18"/>
                <w:szCs w:val="18"/>
              </w:rPr>
              <w:t>本软件与适用的测序试剂盒配套使用， 通过对四个基因（</w:t>
            </w:r>
            <w:r>
              <w:rPr>
                <w:rFonts w:ascii="Times New Roman" w:hAnsi="Times New Roman" w:cs="Times New Roman" w:eastAsia="Times New Roman" w:hint="default"/>
                <w:sz w:val="18"/>
                <w:szCs w:val="18"/>
              </w:rPr>
              <w:t>GJB2</w:t>
            </w:r>
            <w:r>
              <w:rPr>
                <w:rFonts w:ascii="宋体" w:hAnsi="宋体" w:cs="宋体" w:eastAsia="宋体" w:hint="default"/>
                <w:sz w:val="18"/>
                <w:szCs w:val="18"/>
              </w:rPr>
              <w:t>、</w:t>
            </w:r>
            <w:r>
              <w:rPr>
                <w:rFonts w:ascii="Times New Roman" w:hAnsi="Times New Roman" w:cs="Times New Roman" w:eastAsia="Times New Roman" w:hint="default"/>
                <w:sz w:val="18"/>
                <w:szCs w:val="18"/>
              </w:rPr>
              <w:t>GJB3</w:t>
            </w:r>
            <w:r>
              <w:rPr>
                <w:rFonts w:ascii="宋体" w:hAnsi="宋体" w:cs="宋体" w:eastAsia="宋体" w:hint="default"/>
                <w:sz w:val="18"/>
                <w:szCs w:val="18"/>
              </w:rPr>
              <w:t>、 </w:t>
            </w:r>
            <w:r>
              <w:rPr>
                <w:rFonts w:ascii="Times New Roman" w:hAnsi="Times New Roman" w:cs="Times New Roman" w:eastAsia="Times New Roman" w:hint="default"/>
                <w:sz w:val="18"/>
                <w:szCs w:val="18"/>
              </w:rPr>
              <w:t>SLC26A4</w:t>
            </w:r>
            <w:r>
              <w:rPr>
                <w:rFonts w:ascii="宋体" w:hAnsi="宋体" w:cs="宋体" w:eastAsia="宋体" w:hint="default"/>
                <w:sz w:val="18"/>
                <w:szCs w:val="18"/>
              </w:rPr>
              <w:t>和</w:t>
            </w:r>
            <w:r>
              <w:rPr>
                <w:rFonts w:ascii="Times New Roman" w:hAnsi="Times New Roman" w:cs="Times New Roman" w:eastAsia="Times New Roman" w:hint="default"/>
                <w:sz w:val="18"/>
                <w:szCs w:val="18"/>
              </w:rPr>
              <w:t>12S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rRNA</w:t>
            </w:r>
            <w:r>
              <w:rPr>
                <w:rFonts w:ascii="宋体" w:hAnsi="宋体" w:cs="宋体" w:eastAsia="宋体" w:hint="default"/>
                <w:sz w:val="18"/>
                <w:szCs w:val="18"/>
              </w:rPr>
              <w:t>）特定片段有效 </w:t>
            </w:r>
            <w:r>
              <w:rPr>
                <w:rFonts w:ascii="Times New Roman" w:hAnsi="Times New Roman" w:cs="Times New Roman" w:eastAsia="Times New Roman" w:hint="default"/>
                <w:sz w:val="18"/>
                <w:szCs w:val="18"/>
              </w:rPr>
              <w:t>DNA</w:t>
            </w:r>
            <w:r>
              <w:rPr>
                <w:rFonts w:ascii="宋体" w:hAnsi="宋体" w:cs="宋体" w:eastAsia="宋体" w:hint="default"/>
                <w:sz w:val="18"/>
                <w:szCs w:val="18"/>
              </w:rPr>
              <w:t>序列数据进行计算，获得与之对应 的参考序列比对结果，得出与遗传性耳 聋关联性</w:t>
            </w:r>
            <w:r>
              <w:rPr>
                <w:rFonts w:ascii="Times New Roman" w:hAnsi="Times New Roman" w:cs="Times New Roman" w:eastAsia="Times New Roman" w:hint="default"/>
                <w:sz w:val="18"/>
                <w:szCs w:val="18"/>
              </w:rPr>
              <w:t>20</w:t>
            </w:r>
            <w:r>
              <w:rPr>
                <w:rFonts w:ascii="宋体" w:hAnsi="宋体" w:cs="宋体" w:eastAsia="宋体" w:hint="default"/>
                <w:sz w:val="18"/>
                <w:szCs w:val="18"/>
              </w:rPr>
              <w:t>个突变位点（</w:t>
            </w:r>
            <w:r>
              <w:rPr>
                <w:rFonts w:ascii="Times New Roman" w:hAnsi="Times New Roman" w:cs="Times New Roman" w:eastAsia="Times New Roman" w:hint="default"/>
                <w:sz w:val="18"/>
                <w:szCs w:val="18"/>
              </w:rPr>
              <w:t>35delG</w:t>
            </w:r>
            <w:r>
              <w:rPr>
                <w:rFonts w:ascii="宋体" w:hAnsi="宋体" w:cs="宋体" w:eastAsia="宋体" w:hint="default"/>
                <w:sz w:val="18"/>
                <w:szCs w:val="18"/>
              </w:rPr>
              <w:t>、 </w:t>
            </w:r>
            <w:r>
              <w:rPr>
                <w:rFonts w:ascii="Times New Roman" w:hAnsi="Times New Roman" w:cs="Times New Roman" w:eastAsia="Times New Roman" w:hint="default"/>
                <w:sz w:val="18"/>
                <w:szCs w:val="18"/>
              </w:rPr>
              <w:t>176_191del16</w:t>
            </w:r>
            <w:r>
              <w:rPr>
                <w:rFonts w:ascii="宋体" w:hAnsi="宋体" w:cs="宋体" w:eastAsia="宋体" w:hint="default"/>
                <w:sz w:val="18"/>
                <w:szCs w:val="18"/>
              </w:rPr>
              <w:t>、</w:t>
            </w:r>
            <w:r>
              <w:rPr>
                <w:rFonts w:ascii="Times New Roman" w:hAnsi="Times New Roman" w:cs="Times New Roman" w:eastAsia="Times New Roman" w:hint="default"/>
                <w:sz w:val="18"/>
                <w:szCs w:val="18"/>
              </w:rPr>
              <w:t>235delC</w:t>
            </w:r>
            <w:r>
              <w:rPr>
                <w:rFonts w:ascii="宋体" w:hAnsi="宋体" w:cs="宋体" w:eastAsia="宋体" w:hint="default"/>
                <w:sz w:val="18"/>
                <w:szCs w:val="18"/>
              </w:rPr>
              <w:t>、</w:t>
            </w:r>
          </w:p>
          <w:p>
            <w:pPr>
              <w:pStyle w:val="TableParagraph"/>
              <w:spacing w:line="240" w:lineRule="auto" w:before="7"/>
              <w:ind w:left="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299_300delAT</w:t>
            </w:r>
            <w:r>
              <w:rPr>
                <w:rFonts w:ascii="宋体" w:hAnsi="宋体" w:cs="宋体" w:eastAsia="宋体" w:hint="default"/>
                <w:sz w:val="18"/>
                <w:szCs w:val="18"/>
              </w:rPr>
              <w:t>、</w:t>
            </w:r>
            <w:r>
              <w:rPr>
                <w:rFonts w:ascii="Times New Roman" w:hAnsi="Times New Roman" w:cs="Times New Roman" w:eastAsia="Times New Roman" w:hint="default"/>
                <w:sz w:val="18"/>
                <w:szCs w:val="18"/>
              </w:rPr>
              <w:t>538C&gt;T</w:t>
            </w:r>
            <w:r>
              <w:rPr>
                <w:rFonts w:ascii="宋体" w:hAnsi="宋体" w:cs="宋体" w:eastAsia="宋体" w:hint="default"/>
                <w:sz w:val="18"/>
                <w:szCs w:val="18"/>
              </w:rPr>
              <w:t>、</w:t>
            </w:r>
            <w:r>
              <w:rPr>
                <w:rFonts w:ascii="Times New Roman" w:hAnsi="Times New Roman" w:cs="Times New Roman" w:eastAsia="Times New Roman" w:hint="default"/>
                <w:sz w:val="18"/>
                <w:szCs w:val="18"/>
              </w:rPr>
              <w:t>547G&gt;A</w:t>
            </w:r>
            <w:r>
              <w:rPr>
                <w:rFonts w:ascii="宋体" w:hAnsi="宋体" w:cs="宋体" w:eastAsia="宋体" w:hint="default"/>
                <w:sz w:val="18"/>
                <w:szCs w:val="18"/>
              </w:rPr>
              <w:t>、</w:t>
            </w:r>
          </w:p>
          <w:p>
            <w:pPr>
              <w:pStyle w:val="TableParagraph"/>
              <w:spacing w:line="240" w:lineRule="auto" w:before="63"/>
              <w:ind w:left="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281C&gt;T</w:t>
            </w:r>
            <w:r>
              <w:rPr>
                <w:rFonts w:ascii="宋体" w:hAnsi="宋体" w:cs="宋体" w:eastAsia="宋体" w:hint="default"/>
                <w:sz w:val="18"/>
                <w:szCs w:val="18"/>
              </w:rPr>
              <w:t>、</w:t>
            </w:r>
            <w:r>
              <w:rPr>
                <w:rFonts w:ascii="Times New Roman" w:hAnsi="Times New Roman" w:cs="Times New Roman" w:eastAsia="Times New Roman" w:hint="default"/>
                <w:sz w:val="18"/>
                <w:szCs w:val="18"/>
              </w:rPr>
              <w:t>589G&gt;A</w:t>
            </w:r>
            <w:r>
              <w:rPr>
                <w:rFonts w:ascii="宋体" w:hAnsi="宋体" w:cs="宋体" w:eastAsia="宋体" w:hint="default"/>
                <w:sz w:val="18"/>
                <w:szCs w:val="18"/>
              </w:rPr>
              <w:t>、</w:t>
            </w:r>
            <w:r>
              <w:rPr>
                <w:rFonts w:ascii="Times New Roman" w:hAnsi="Times New Roman" w:cs="Times New Roman" w:eastAsia="Times New Roman" w:hint="default"/>
                <w:sz w:val="18"/>
                <w:szCs w:val="18"/>
              </w:rPr>
              <w:t>IVS7-2A&gt;G</w:t>
            </w:r>
            <w:r>
              <w:rPr>
                <w:rFonts w:ascii="宋体" w:hAnsi="宋体" w:cs="宋体" w:eastAsia="宋体" w:hint="default"/>
                <w:sz w:val="18"/>
                <w:szCs w:val="18"/>
              </w:rPr>
              <w:t>、</w:t>
            </w:r>
          </w:p>
          <w:p>
            <w:pPr>
              <w:pStyle w:val="TableParagraph"/>
              <w:spacing w:line="300" w:lineRule="auto" w:before="63"/>
              <w:ind w:left="96" w:right="311"/>
              <w:jc w:val="left"/>
              <w:rPr>
                <w:rFonts w:ascii="宋体" w:hAnsi="宋体" w:cs="宋体" w:eastAsia="宋体" w:hint="default"/>
                <w:sz w:val="18"/>
                <w:szCs w:val="18"/>
              </w:rPr>
            </w:pPr>
            <w:r>
              <w:rPr>
                <w:rFonts w:ascii="Times New Roman" w:hAnsi="Times New Roman" w:cs="Times New Roman" w:eastAsia="Times New Roman" w:hint="default"/>
                <w:sz w:val="18"/>
                <w:szCs w:val="18"/>
              </w:rPr>
              <w:t>1174A&gt;T</w:t>
            </w:r>
            <w:r>
              <w:rPr>
                <w:rFonts w:ascii="宋体" w:hAnsi="宋体" w:cs="宋体" w:eastAsia="宋体" w:hint="default"/>
                <w:sz w:val="18"/>
                <w:szCs w:val="18"/>
              </w:rPr>
              <w:t>、</w:t>
            </w:r>
            <w:r>
              <w:rPr>
                <w:rFonts w:ascii="Times New Roman" w:hAnsi="Times New Roman" w:cs="Times New Roman" w:eastAsia="Times New Roman" w:hint="default"/>
                <w:sz w:val="18"/>
                <w:szCs w:val="18"/>
              </w:rPr>
              <w:t>1226G&gt;A</w:t>
            </w:r>
            <w:r>
              <w:rPr>
                <w:rFonts w:ascii="宋体" w:hAnsi="宋体" w:cs="宋体" w:eastAsia="宋体" w:hint="default"/>
                <w:sz w:val="18"/>
                <w:szCs w:val="18"/>
              </w:rPr>
              <w:t>、</w:t>
            </w:r>
            <w:r>
              <w:rPr>
                <w:rFonts w:ascii="Times New Roman" w:hAnsi="Times New Roman" w:cs="Times New Roman" w:eastAsia="Times New Roman" w:hint="default"/>
                <w:sz w:val="18"/>
                <w:szCs w:val="18"/>
              </w:rPr>
              <w:t>1229C&gt;T</w:t>
            </w:r>
            <w:r>
              <w:rPr>
                <w:rFonts w:ascii="宋体" w:hAnsi="宋体" w:cs="宋体" w:eastAsia="宋体" w:hint="default"/>
                <w:sz w:val="18"/>
                <w:szCs w:val="18"/>
              </w:rPr>
              <w:t>、 </w:t>
            </w:r>
            <w:r>
              <w:rPr>
                <w:rFonts w:ascii="Times New Roman" w:hAnsi="Times New Roman" w:cs="Times New Roman" w:eastAsia="Times New Roman" w:hint="default"/>
                <w:sz w:val="18"/>
                <w:szCs w:val="18"/>
              </w:rPr>
              <w:t>IVS15+5G&gt;A</w:t>
            </w:r>
            <w:r>
              <w:rPr>
                <w:rFonts w:ascii="宋体" w:hAnsi="宋体" w:cs="宋体" w:eastAsia="宋体" w:hint="default"/>
                <w:sz w:val="18"/>
                <w:szCs w:val="18"/>
              </w:rPr>
              <w:t>、</w:t>
            </w:r>
            <w:r>
              <w:rPr>
                <w:rFonts w:ascii="Times New Roman" w:hAnsi="Times New Roman" w:cs="Times New Roman" w:eastAsia="Times New Roman" w:hint="default"/>
                <w:sz w:val="18"/>
                <w:szCs w:val="18"/>
              </w:rPr>
              <w:t>1975G&gt;C</w:t>
            </w:r>
            <w:r>
              <w:rPr>
                <w:rFonts w:ascii="宋体" w:hAnsi="宋体" w:cs="宋体" w:eastAsia="宋体" w:hint="default"/>
                <w:sz w:val="18"/>
                <w:szCs w:val="18"/>
              </w:rPr>
              <w:t>、</w:t>
            </w:r>
            <w:r>
              <w:rPr>
                <w:rFonts w:ascii="Times New Roman" w:hAnsi="Times New Roman" w:cs="Times New Roman" w:eastAsia="Times New Roman" w:hint="default"/>
                <w:sz w:val="18"/>
                <w:szCs w:val="18"/>
              </w:rPr>
              <w:t>2027T&gt;A</w:t>
            </w:r>
            <w:r>
              <w:rPr>
                <w:rFonts w:ascii="宋体" w:hAnsi="宋体" w:cs="宋体" w:eastAsia="宋体" w:hint="default"/>
                <w:sz w:val="18"/>
                <w:szCs w:val="18"/>
              </w:rPr>
              <w:t>、 </w:t>
            </w:r>
            <w:r>
              <w:rPr>
                <w:rFonts w:ascii="Times New Roman" w:hAnsi="Times New Roman" w:cs="Times New Roman" w:eastAsia="Times New Roman" w:hint="default"/>
                <w:sz w:val="18"/>
                <w:szCs w:val="18"/>
              </w:rPr>
              <w:t>2162C&gt;T</w:t>
            </w:r>
            <w:r>
              <w:rPr>
                <w:rFonts w:ascii="宋体" w:hAnsi="宋体" w:cs="宋体" w:eastAsia="宋体" w:hint="default"/>
                <w:sz w:val="18"/>
                <w:szCs w:val="18"/>
              </w:rPr>
              <w:t>、</w:t>
            </w:r>
            <w:r>
              <w:rPr>
                <w:rFonts w:ascii="Times New Roman" w:hAnsi="Times New Roman" w:cs="Times New Roman" w:eastAsia="Times New Roman" w:hint="default"/>
                <w:sz w:val="18"/>
                <w:szCs w:val="18"/>
              </w:rPr>
              <w:t>2168A&gt;G</w:t>
            </w:r>
            <w:r>
              <w:rPr>
                <w:rFonts w:ascii="宋体" w:hAnsi="宋体" w:cs="宋体" w:eastAsia="宋体" w:hint="default"/>
                <w:sz w:val="18"/>
                <w:szCs w:val="18"/>
              </w:rPr>
              <w:t>、</w:t>
            </w:r>
            <w:r>
              <w:rPr>
                <w:rFonts w:ascii="Times New Roman" w:hAnsi="Times New Roman" w:cs="Times New Roman" w:eastAsia="Times New Roman" w:hint="default"/>
                <w:sz w:val="18"/>
                <w:szCs w:val="18"/>
              </w:rPr>
              <w:t>1095T&gt;C</w:t>
            </w:r>
            <w:r>
              <w:rPr>
                <w:rFonts w:ascii="宋体" w:hAnsi="宋体" w:cs="宋体" w:eastAsia="宋体" w:hint="default"/>
                <w:sz w:val="18"/>
                <w:szCs w:val="18"/>
              </w:rPr>
              <w:t>、</w:t>
            </w:r>
          </w:p>
          <w:p>
            <w:pPr>
              <w:pStyle w:val="TableParagraph"/>
              <w:spacing w:line="240" w:lineRule="auto" w:before="13"/>
              <w:ind w:left="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1494C&gt;T</w:t>
            </w:r>
            <w:r>
              <w:rPr>
                <w:rFonts w:ascii="宋体" w:hAnsi="宋体" w:cs="宋体" w:eastAsia="宋体" w:hint="default"/>
                <w:sz w:val="18"/>
                <w:szCs w:val="18"/>
              </w:rPr>
              <w:t>、</w:t>
            </w:r>
            <w:r>
              <w:rPr>
                <w:rFonts w:ascii="Times New Roman" w:hAnsi="Times New Roman" w:cs="Times New Roman" w:eastAsia="Times New Roman" w:hint="default"/>
                <w:sz w:val="18"/>
                <w:szCs w:val="18"/>
              </w:rPr>
              <w:t>1555A&gt;G</w:t>
            </w:r>
            <w:r>
              <w:rPr>
                <w:rFonts w:ascii="宋体" w:hAnsi="宋体" w:cs="宋体" w:eastAsia="宋体" w:hint="default"/>
                <w:sz w:val="18"/>
                <w:szCs w:val="18"/>
              </w:rPr>
              <w:t>）基因分型结果。</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2020/9/24</w:t>
            </w:r>
          </w:p>
        </w:tc>
        <w:tc>
          <w:tcPr>
            <w:tcW w:w="1289" w:type="dxa"/>
            <w:tcBorders>
              <w:top w:val="single" w:sz="8" w:space="0" w:color="000000"/>
              <w:left w:val="single" w:sz="8" w:space="0" w:color="000000"/>
              <w:bottom w:val="single" w:sz="8" w:space="0" w:color="000000"/>
              <w:right w:val="single" w:sz="8" w:space="0" w:color="000000"/>
            </w:tcBorders>
          </w:tcPr>
          <w:p>
            <w:pPr/>
          </w:p>
        </w:tc>
      </w:tr>
      <w:tr>
        <w:trPr>
          <w:trHeight w:val="400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95</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316" w:lineRule="auto"/>
              <w:ind w:left="98" w:right="168"/>
              <w:jc w:val="left"/>
              <w:rPr>
                <w:rFonts w:ascii="宋体" w:hAnsi="宋体" w:cs="宋体" w:eastAsia="宋体" w:hint="default"/>
                <w:sz w:val="18"/>
                <w:szCs w:val="18"/>
              </w:rPr>
            </w:pPr>
            <w:r>
              <w:rPr>
                <w:rFonts w:ascii="宋体" w:hAnsi="宋体" w:cs="宋体" w:eastAsia="宋体" w:hint="default"/>
                <w:sz w:val="18"/>
                <w:szCs w:val="18"/>
              </w:rPr>
              <w:t>非小细胞肺癌突变基因分 析软件</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130"/>
              <w:ind w:left="96" w:right="122"/>
              <w:jc w:val="left"/>
              <w:rPr>
                <w:rFonts w:ascii="宋体" w:hAnsi="宋体" w:cs="宋体" w:eastAsia="宋体" w:hint="default"/>
                <w:sz w:val="18"/>
                <w:szCs w:val="18"/>
              </w:rPr>
            </w:pPr>
            <w:r>
              <w:rPr>
                <w:rFonts w:ascii="宋体" w:hAnsi="宋体" w:cs="宋体" w:eastAsia="宋体" w:hint="default"/>
                <w:sz w:val="18"/>
                <w:szCs w:val="18"/>
              </w:rPr>
              <w:t>本软件与适用的测序试剂盒配套使用， 通过对非小细胞肺癌相关基因特定片段 的有效</w:t>
            </w:r>
            <w:r>
              <w:rPr>
                <w:rFonts w:ascii="Times New Roman" w:hAnsi="Times New Roman" w:cs="Times New Roman" w:eastAsia="Times New Roman" w:hint="default"/>
                <w:sz w:val="18"/>
                <w:szCs w:val="18"/>
              </w:rPr>
              <w:t>DNA</w:t>
            </w:r>
            <w:r>
              <w:rPr>
                <w:rFonts w:ascii="宋体" w:hAnsi="宋体" w:cs="宋体" w:eastAsia="宋体" w:hint="default"/>
                <w:sz w:val="18"/>
                <w:szCs w:val="18"/>
              </w:rPr>
              <w:t>序列数据进行计算，获得与 之对应的参考序列比对结果，得出</w:t>
            </w:r>
            <w:r>
              <w:rPr>
                <w:rFonts w:ascii="Times New Roman" w:hAnsi="Times New Roman" w:cs="Times New Roman" w:eastAsia="Times New Roman" w:hint="default"/>
                <w:sz w:val="18"/>
                <w:szCs w:val="18"/>
              </w:rPr>
              <w:t>EGFR </w:t>
            </w:r>
            <w:r>
              <w:rPr>
                <w:rFonts w:ascii="宋体" w:hAnsi="宋体" w:cs="宋体" w:eastAsia="宋体" w:hint="default"/>
                <w:sz w:val="18"/>
                <w:szCs w:val="18"/>
              </w:rPr>
              <w:t>基因</w:t>
            </w:r>
            <w:r>
              <w:rPr>
                <w:rFonts w:ascii="Times New Roman" w:hAnsi="Times New Roman" w:cs="Times New Roman" w:eastAsia="Times New Roman" w:hint="default"/>
                <w:sz w:val="18"/>
                <w:szCs w:val="18"/>
              </w:rPr>
              <w:t>G719S</w:t>
            </w:r>
            <w:r>
              <w:rPr>
                <w:rFonts w:ascii="宋体" w:hAnsi="宋体" w:cs="宋体" w:eastAsia="宋体" w:hint="default"/>
                <w:sz w:val="18"/>
                <w:szCs w:val="18"/>
              </w:rPr>
              <w:t>、</w:t>
            </w:r>
            <w:r>
              <w:rPr>
                <w:rFonts w:ascii="Times New Roman" w:hAnsi="Times New Roman" w:cs="Times New Roman" w:eastAsia="Times New Roman" w:hint="default"/>
                <w:sz w:val="18"/>
                <w:szCs w:val="18"/>
              </w:rPr>
              <w:t>T790M</w:t>
            </w:r>
            <w:r>
              <w:rPr>
                <w:rFonts w:ascii="宋体" w:hAnsi="宋体" w:cs="宋体" w:eastAsia="宋体" w:hint="default"/>
                <w:sz w:val="18"/>
                <w:szCs w:val="18"/>
              </w:rPr>
              <w:t>、</w:t>
            </w:r>
            <w:r>
              <w:rPr>
                <w:rFonts w:ascii="Times New Roman" w:hAnsi="Times New Roman" w:cs="Times New Roman" w:eastAsia="Times New Roman" w:hint="default"/>
                <w:sz w:val="18"/>
                <w:szCs w:val="18"/>
              </w:rPr>
              <w:t>L858R</w:t>
            </w:r>
            <w:r>
              <w:rPr>
                <w:rFonts w:ascii="宋体" w:hAnsi="宋体" w:cs="宋体" w:eastAsia="宋体" w:hint="default"/>
                <w:sz w:val="18"/>
                <w:szCs w:val="18"/>
              </w:rPr>
              <w:t>位点突变及 外显子</w:t>
            </w:r>
            <w:r>
              <w:rPr>
                <w:rFonts w:ascii="Times New Roman" w:hAnsi="Times New Roman" w:cs="Times New Roman" w:eastAsia="Times New Roman" w:hint="default"/>
                <w:sz w:val="18"/>
                <w:szCs w:val="18"/>
              </w:rPr>
              <w:t>19</w:t>
            </w:r>
            <w:r>
              <w:rPr>
                <w:rFonts w:ascii="宋体" w:hAnsi="宋体" w:cs="宋体" w:eastAsia="宋体" w:hint="default"/>
                <w:sz w:val="18"/>
                <w:szCs w:val="18"/>
              </w:rPr>
              <w:t>部分缺失，</w:t>
            </w:r>
            <w:r>
              <w:rPr>
                <w:rFonts w:ascii="Times New Roman" w:hAnsi="Times New Roman" w:cs="Times New Roman" w:eastAsia="Times New Roman" w:hint="default"/>
                <w:sz w:val="18"/>
                <w:szCs w:val="18"/>
              </w:rPr>
              <w:t>KRAS</w:t>
            </w:r>
            <w:r>
              <w:rPr>
                <w:rFonts w:ascii="宋体" w:hAnsi="宋体" w:cs="宋体" w:eastAsia="宋体" w:hint="default"/>
                <w:sz w:val="18"/>
                <w:szCs w:val="18"/>
              </w:rPr>
              <w:t>基因</w:t>
            </w:r>
            <w:r>
              <w:rPr>
                <w:rFonts w:ascii="Times New Roman" w:hAnsi="Times New Roman" w:cs="Times New Roman" w:eastAsia="Times New Roman" w:hint="default"/>
                <w:sz w:val="18"/>
                <w:szCs w:val="18"/>
              </w:rPr>
              <w:t>G12D</w:t>
            </w:r>
            <w:r>
              <w:rPr>
                <w:rFonts w:ascii="宋体" w:hAnsi="宋体" w:cs="宋体" w:eastAsia="宋体" w:hint="default"/>
                <w:sz w:val="18"/>
                <w:szCs w:val="18"/>
              </w:rPr>
              <w:t>、 </w:t>
            </w:r>
            <w:r>
              <w:rPr>
                <w:rFonts w:ascii="Times New Roman" w:hAnsi="Times New Roman" w:cs="Times New Roman" w:eastAsia="Times New Roman" w:hint="default"/>
                <w:sz w:val="18"/>
                <w:szCs w:val="18"/>
              </w:rPr>
              <w:t>G13D</w:t>
            </w:r>
            <w:r>
              <w:rPr>
                <w:rFonts w:ascii="宋体" w:hAnsi="宋体" w:cs="宋体" w:eastAsia="宋体" w:hint="default"/>
                <w:sz w:val="18"/>
                <w:szCs w:val="18"/>
              </w:rPr>
              <w:t>位点突变，</w:t>
            </w:r>
            <w:r>
              <w:rPr>
                <w:rFonts w:ascii="Times New Roman" w:hAnsi="Times New Roman" w:cs="Times New Roman" w:eastAsia="Times New Roman" w:hint="default"/>
                <w:sz w:val="18"/>
                <w:szCs w:val="18"/>
              </w:rPr>
              <w:t>BRAF</w:t>
            </w:r>
            <w:r>
              <w:rPr>
                <w:rFonts w:ascii="宋体" w:hAnsi="宋体" w:cs="宋体" w:eastAsia="宋体" w:hint="default"/>
                <w:sz w:val="18"/>
                <w:szCs w:val="18"/>
              </w:rPr>
              <w:t>基因</w:t>
            </w:r>
            <w:r>
              <w:rPr>
                <w:rFonts w:ascii="Times New Roman" w:hAnsi="Times New Roman" w:cs="Times New Roman" w:eastAsia="Times New Roman" w:hint="default"/>
                <w:sz w:val="18"/>
                <w:szCs w:val="18"/>
              </w:rPr>
              <w:t>V600E</w:t>
            </w:r>
            <w:r>
              <w:rPr>
                <w:rFonts w:ascii="宋体" w:hAnsi="宋体" w:cs="宋体" w:eastAsia="宋体" w:hint="default"/>
                <w:sz w:val="18"/>
                <w:szCs w:val="18"/>
              </w:rPr>
              <w:t>位点 突变，</w:t>
            </w:r>
            <w:r>
              <w:rPr>
                <w:rFonts w:ascii="Times New Roman" w:hAnsi="Times New Roman" w:cs="Times New Roman" w:eastAsia="Times New Roman" w:hint="default"/>
                <w:sz w:val="18"/>
                <w:szCs w:val="18"/>
              </w:rPr>
              <w:t>ALK</w:t>
            </w:r>
            <w:r>
              <w:rPr>
                <w:rFonts w:ascii="宋体" w:hAnsi="宋体" w:cs="宋体" w:eastAsia="宋体" w:hint="default"/>
                <w:sz w:val="18"/>
                <w:szCs w:val="18"/>
              </w:rPr>
              <w:t>基因融合（</w:t>
            </w:r>
            <w:r>
              <w:rPr>
                <w:rFonts w:ascii="Times New Roman" w:hAnsi="Times New Roman" w:cs="Times New Roman" w:eastAsia="Times New Roman" w:hint="default"/>
                <w:sz w:val="18"/>
                <w:szCs w:val="18"/>
              </w:rPr>
              <w:t>EML4-ALK</w:t>
            </w:r>
            <w:r>
              <w:rPr>
                <w:rFonts w:ascii="宋体" w:hAnsi="宋体" w:cs="宋体" w:eastAsia="宋体" w:hint="default"/>
                <w:sz w:val="18"/>
                <w:szCs w:val="18"/>
              </w:rPr>
              <w:t>融 合），</w:t>
            </w:r>
            <w:r>
              <w:rPr>
                <w:rFonts w:ascii="Times New Roman" w:hAnsi="Times New Roman" w:cs="Times New Roman" w:eastAsia="Times New Roman" w:hint="default"/>
                <w:sz w:val="18"/>
                <w:szCs w:val="18"/>
              </w:rPr>
              <w:t>ROS1</w:t>
            </w:r>
            <w:r>
              <w:rPr>
                <w:rFonts w:ascii="宋体" w:hAnsi="宋体" w:cs="宋体" w:eastAsia="宋体" w:hint="default"/>
                <w:sz w:val="18"/>
                <w:szCs w:val="18"/>
              </w:rPr>
              <w:t>基因融合（</w:t>
            </w:r>
            <w:r>
              <w:rPr>
                <w:rFonts w:ascii="Times New Roman" w:hAnsi="Times New Roman" w:cs="Times New Roman" w:eastAsia="Times New Roman" w:hint="default"/>
                <w:sz w:val="18"/>
                <w:szCs w:val="18"/>
              </w:rPr>
              <w:t>SLC34A2-ROS1</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融合），</w:t>
            </w:r>
            <w:r>
              <w:rPr>
                <w:rFonts w:ascii="Times New Roman" w:hAnsi="Times New Roman" w:cs="Times New Roman" w:eastAsia="Times New Roman" w:hint="default"/>
                <w:sz w:val="18"/>
                <w:szCs w:val="18"/>
              </w:rPr>
              <w:t>RET</w:t>
            </w:r>
            <w:r>
              <w:rPr>
                <w:rFonts w:ascii="宋体" w:hAnsi="宋体" w:cs="宋体" w:eastAsia="宋体" w:hint="default"/>
                <w:sz w:val="18"/>
                <w:szCs w:val="18"/>
              </w:rPr>
              <w:t>基因融合（</w:t>
            </w:r>
            <w:r>
              <w:rPr>
                <w:rFonts w:ascii="Times New Roman" w:hAnsi="Times New Roman" w:cs="Times New Roman" w:eastAsia="Times New Roman" w:hint="default"/>
                <w:sz w:val="18"/>
                <w:szCs w:val="18"/>
              </w:rPr>
              <w:t>KIF5B-RET</w:t>
            </w:r>
            <w:r>
              <w:rPr>
                <w:rFonts w:ascii="宋体" w:hAnsi="宋体" w:cs="宋体" w:eastAsia="宋体" w:hint="default"/>
                <w:sz w:val="18"/>
                <w:szCs w:val="18"/>
              </w:rPr>
              <w:t>融 合）和</w:t>
            </w:r>
            <w:r>
              <w:rPr>
                <w:rFonts w:ascii="Times New Roman" w:hAnsi="Times New Roman" w:cs="Times New Roman" w:eastAsia="Times New Roman" w:hint="default"/>
                <w:sz w:val="18"/>
                <w:szCs w:val="18"/>
              </w:rPr>
              <w:t>MET</w:t>
            </w:r>
            <w:r>
              <w:rPr>
                <w:rFonts w:ascii="宋体" w:hAnsi="宋体" w:cs="宋体" w:eastAsia="宋体" w:hint="default"/>
                <w:sz w:val="18"/>
                <w:szCs w:val="18"/>
              </w:rPr>
              <w:t>基因外显子</w:t>
            </w:r>
            <w:r>
              <w:rPr>
                <w:rFonts w:ascii="Times New Roman" w:hAnsi="Times New Roman" w:cs="Times New Roman" w:eastAsia="Times New Roman" w:hint="default"/>
                <w:sz w:val="18"/>
                <w:szCs w:val="18"/>
              </w:rPr>
              <w:t>14</w:t>
            </w:r>
            <w:r>
              <w:rPr>
                <w:rFonts w:ascii="宋体" w:hAnsi="宋体" w:cs="宋体" w:eastAsia="宋体" w:hint="default"/>
                <w:sz w:val="18"/>
                <w:szCs w:val="18"/>
              </w:rPr>
              <w:t>缺失的信息分 析结果。</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2021/11/28</w:t>
            </w:r>
          </w:p>
        </w:tc>
        <w:tc>
          <w:tcPr>
            <w:tcW w:w="1289" w:type="dxa"/>
            <w:tcBorders>
              <w:top w:val="single" w:sz="8" w:space="0" w:color="000000"/>
              <w:left w:val="single" w:sz="8" w:space="0" w:color="000000"/>
              <w:bottom w:val="single" w:sz="8" w:space="0" w:color="000000"/>
              <w:right w:val="single" w:sz="8" w:space="0" w:color="000000"/>
            </w:tcBorders>
          </w:tcPr>
          <w:p>
            <w:pPr/>
          </w:p>
        </w:tc>
      </w:tr>
      <w:tr>
        <w:trPr>
          <w:trHeight w:val="2950"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69"/>
              <w:jc w:val="right"/>
              <w:rPr>
                <w:rFonts w:ascii="Times New Roman" w:hAnsi="Times New Roman" w:cs="Times New Roman" w:eastAsia="Times New Roman" w:hint="default"/>
                <w:sz w:val="18"/>
                <w:szCs w:val="18"/>
              </w:rPr>
            </w:pPr>
            <w:r>
              <w:rPr>
                <w:rFonts w:ascii="Times New Roman"/>
                <w:sz w:val="18"/>
              </w:rPr>
              <w:t>96</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病原微生物基因检测软件</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2" w:lineRule="auto" w:before="133"/>
              <w:ind w:left="96" w:right="132"/>
              <w:jc w:val="left"/>
              <w:rPr>
                <w:rFonts w:ascii="宋体" w:hAnsi="宋体" w:cs="宋体" w:eastAsia="宋体" w:hint="default"/>
                <w:sz w:val="18"/>
                <w:szCs w:val="18"/>
              </w:rPr>
            </w:pPr>
            <w:r>
              <w:rPr>
                <w:rFonts w:ascii="宋体" w:hAnsi="宋体" w:cs="宋体" w:eastAsia="宋体" w:hint="default"/>
                <w:sz w:val="18"/>
                <w:szCs w:val="18"/>
              </w:rPr>
              <w:t>本软件与适用的测序试剂盒配套使用， 通过对临床样本（比如痰液、肺泡灌洗 液、血浆、脑脊液等）的全部</w:t>
            </w:r>
            <w:r>
              <w:rPr>
                <w:rFonts w:ascii="Times New Roman" w:hAnsi="Times New Roman" w:cs="Times New Roman" w:eastAsia="Times New Roman" w:hint="default"/>
                <w:sz w:val="18"/>
                <w:szCs w:val="18"/>
              </w:rPr>
              <w:t>DNA</w:t>
            </w:r>
            <w:r>
              <w:rPr>
                <w:rFonts w:ascii="宋体" w:hAnsi="宋体" w:cs="宋体" w:eastAsia="宋体" w:hint="default"/>
                <w:sz w:val="18"/>
                <w:szCs w:val="18"/>
              </w:rPr>
              <w:t>测序 数据进行计算，可检测基因组序列已知 的可疑致病微生物，检测范围包括已知 </w:t>
            </w:r>
            <w:r>
              <w:rPr>
                <w:rFonts w:ascii="Times New Roman" w:hAnsi="Times New Roman" w:cs="Times New Roman" w:eastAsia="Times New Roman" w:hint="default"/>
                <w:sz w:val="18"/>
                <w:szCs w:val="18"/>
              </w:rPr>
              <w:t>355</w:t>
            </w:r>
            <w:r>
              <w:rPr>
                <w:rFonts w:ascii="宋体" w:hAnsi="宋体" w:cs="宋体" w:eastAsia="宋体" w:hint="default"/>
                <w:sz w:val="18"/>
                <w:szCs w:val="18"/>
              </w:rPr>
              <w:t>种临床重要致病细菌、支原体、衣原 体、立克次氏体、螺旋体及</w:t>
            </w:r>
            <w:r>
              <w:rPr>
                <w:rFonts w:ascii="Times New Roman" w:hAnsi="Times New Roman" w:cs="Times New Roman" w:eastAsia="Times New Roman" w:hint="default"/>
                <w:sz w:val="18"/>
                <w:szCs w:val="18"/>
              </w:rPr>
              <w:t>133</w:t>
            </w:r>
            <w:r>
              <w:rPr>
                <w:rFonts w:ascii="宋体" w:hAnsi="宋体" w:cs="宋体" w:eastAsia="宋体" w:hint="default"/>
                <w:sz w:val="18"/>
                <w:szCs w:val="18"/>
              </w:rPr>
              <w:t>种临床重 要致病病毒，获得与之对应的参考序列 比对结果，从而鉴定样本中存在的可疑</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2021/11/28</w:t>
            </w:r>
          </w:p>
        </w:tc>
        <w:tc>
          <w:tcPr>
            <w:tcW w:w="1289"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543"/>
        <w:gridCol w:w="2269"/>
        <w:gridCol w:w="710"/>
        <w:gridCol w:w="3401"/>
        <w:gridCol w:w="1381"/>
        <w:gridCol w:w="1289"/>
      </w:tblGrid>
      <w:tr>
        <w:trPr>
          <w:trHeight w:val="88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70" w:right="17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63" w:right="161"/>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89"/>
                <w:sz w:val="18"/>
                <w:szCs w:val="18"/>
              </w:rPr>
              <w:t> </w:t>
            </w:r>
            <w:r>
              <w:rPr>
                <w:rFonts w:ascii="宋体" w:hAnsi="宋体" w:cs="宋体" w:eastAsia="宋体" w:hint="default"/>
                <w:b/>
                <w:bCs/>
                <w:sz w:val="18"/>
                <w:szCs w:val="18"/>
              </w:rPr>
              <w:t>分类</w:t>
            </w:r>
            <w:r>
              <w:rPr>
                <w:rFonts w:ascii="宋体" w:hAnsi="宋体" w:cs="宋体" w:eastAsia="宋体" w:hint="default"/>
                <w:sz w:val="18"/>
                <w:szCs w:val="18"/>
              </w:rPr>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b/>
                <w:bCs/>
                <w:w w:val="95"/>
                <w:sz w:val="18"/>
                <w:szCs w:val="18"/>
              </w:rPr>
              <w:t>注册证有效期</w:t>
            </w:r>
            <w:r>
              <w:rPr>
                <w:rFonts w:ascii="宋体" w:hAnsi="宋体" w:cs="宋体" w:eastAsia="宋体" w:hint="default"/>
                <w:sz w:val="18"/>
                <w:szCs w:val="18"/>
              </w:rPr>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54" w:hRule="exact"/>
        </w:trPr>
        <w:tc>
          <w:tcPr>
            <w:tcW w:w="543" w:type="dxa"/>
            <w:tcBorders>
              <w:top w:val="single" w:sz="8" w:space="0" w:color="000000"/>
              <w:left w:val="single" w:sz="8" w:space="0" w:color="000000"/>
              <w:bottom w:val="single" w:sz="8" w:space="0" w:color="000000"/>
              <w:right w:val="single" w:sz="8" w:space="0" w:color="000000"/>
            </w:tcBorders>
          </w:tcPr>
          <w:p>
            <w:pPr/>
          </w:p>
        </w:tc>
        <w:tc>
          <w:tcPr>
            <w:tcW w:w="2269" w:type="dxa"/>
            <w:tcBorders>
              <w:top w:val="single" w:sz="8" w:space="0" w:color="000000"/>
              <w:left w:val="single" w:sz="8" w:space="0" w:color="000000"/>
              <w:bottom w:val="single" w:sz="8" w:space="0" w:color="000000"/>
              <w:right w:val="single" w:sz="8" w:space="0" w:color="000000"/>
            </w:tcBorders>
          </w:tcPr>
          <w:p>
            <w:pPr/>
          </w:p>
        </w:tc>
        <w:tc>
          <w:tcPr>
            <w:tcW w:w="710" w:type="dxa"/>
            <w:tcBorders>
              <w:top w:val="single" w:sz="8" w:space="0" w:color="000000"/>
              <w:left w:val="single" w:sz="8" w:space="0" w:color="000000"/>
              <w:bottom w:val="single" w:sz="8" w:space="0" w:color="000000"/>
              <w:right w:val="single" w:sz="8" w:space="0" w:color="000000"/>
            </w:tcBorders>
          </w:tcPr>
          <w:p>
            <w:pP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6" w:right="0"/>
              <w:jc w:val="left"/>
              <w:rPr>
                <w:rFonts w:ascii="宋体" w:hAnsi="宋体" w:cs="宋体" w:eastAsia="宋体" w:hint="default"/>
                <w:sz w:val="18"/>
                <w:szCs w:val="18"/>
              </w:rPr>
            </w:pPr>
            <w:r>
              <w:rPr>
                <w:rFonts w:ascii="宋体" w:hAnsi="宋体" w:cs="宋体" w:eastAsia="宋体" w:hint="default"/>
                <w:sz w:val="18"/>
                <w:szCs w:val="18"/>
              </w:rPr>
              <w:t>致病微生物。</w:t>
            </w:r>
          </w:p>
        </w:tc>
        <w:tc>
          <w:tcPr>
            <w:tcW w:w="1381" w:type="dxa"/>
            <w:tcBorders>
              <w:top w:val="single" w:sz="8" w:space="0" w:color="000000"/>
              <w:left w:val="single" w:sz="8" w:space="0" w:color="000000"/>
              <w:bottom w:val="single" w:sz="8" w:space="0" w:color="000000"/>
              <w:right w:val="single" w:sz="8" w:space="0" w:color="000000"/>
            </w:tcBorders>
          </w:tcPr>
          <w:p>
            <w:pPr/>
          </w:p>
        </w:tc>
        <w:tc>
          <w:tcPr>
            <w:tcW w:w="1289" w:type="dxa"/>
            <w:tcBorders>
              <w:top w:val="single" w:sz="8" w:space="0" w:color="000000"/>
              <w:left w:val="single" w:sz="8" w:space="0" w:color="000000"/>
              <w:bottom w:val="single" w:sz="8" w:space="0" w:color="000000"/>
              <w:right w:val="single" w:sz="8" w:space="0" w:color="000000"/>
            </w:tcBorders>
          </w:tcPr>
          <w:p>
            <w:pPr/>
          </w:p>
        </w:tc>
      </w:tr>
      <w:tr>
        <w:trPr>
          <w:trHeight w:val="306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97</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98" w:right="0"/>
              <w:jc w:val="both"/>
              <w:rPr>
                <w:rFonts w:ascii="宋体" w:hAnsi="宋体" w:cs="宋体" w:eastAsia="宋体" w:hint="default"/>
                <w:sz w:val="18"/>
                <w:szCs w:val="18"/>
              </w:rPr>
            </w:pPr>
            <w:r>
              <w:rPr>
                <w:rFonts w:ascii="宋体" w:hAnsi="宋体" w:cs="宋体" w:eastAsia="宋体" w:hint="default"/>
                <w:sz w:val="18"/>
                <w:szCs w:val="18"/>
              </w:rPr>
              <w:t>胎儿染色体非整倍体</w:t>
            </w:r>
          </w:p>
          <w:p>
            <w:pPr>
              <w:pStyle w:val="TableParagraph"/>
              <w:spacing w:line="309" w:lineRule="auto" w:before="76"/>
              <w:ind w:left="98" w:right="16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T21</w:t>
            </w:r>
            <w:r>
              <w:rPr>
                <w:rFonts w:ascii="宋体" w:hAnsi="宋体" w:cs="宋体" w:eastAsia="宋体" w:hint="default"/>
                <w:sz w:val="18"/>
                <w:szCs w:val="18"/>
              </w:rPr>
              <w:t>、</w:t>
            </w:r>
            <w:r>
              <w:rPr>
                <w:rFonts w:ascii="Times New Roman" w:hAnsi="Times New Roman" w:cs="Times New Roman" w:eastAsia="Times New Roman" w:hint="default"/>
                <w:sz w:val="18"/>
                <w:szCs w:val="18"/>
              </w:rPr>
              <w:t>T18</w:t>
            </w:r>
            <w:r>
              <w:rPr>
                <w:rFonts w:ascii="宋体" w:hAnsi="宋体" w:cs="宋体" w:eastAsia="宋体" w:hint="default"/>
                <w:sz w:val="18"/>
                <w:szCs w:val="18"/>
              </w:rPr>
              <w:t>、</w:t>
            </w:r>
            <w:r>
              <w:rPr>
                <w:rFonts w:ascii="Times New Roman" w:hAnsi="Times New Roman" w:cs="Times New Roman" w:eastAsia="Times New Roman" w:hint="default"/>
                <w:sz w:val="18"/>
                <w:szCs w:val="18"/>
              </w:rPr>
              <w:t>T13</w:t>
            </w:r>
            <w:r>
              <w:rPr>
                <w:rFonts w:ascii="宋体" w:hAnsi="宋体" w:cs="宋体" w:eastAsia="宋体" w:hint="default"/>
                <w:sz w:val="18"/>
                <w:szCs w:val="18"/>
              </w:rPr>
              <w:t>）检测 试剂盒（联合探针锚定聚 合测序法）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III</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130"/>
              <w:ind w:left="96" w:right="103"/>
              <w:jc w:val="left"/>
              <w:rPr>
                <w:rFonts w:ascii="宋体" w:hAnsi="宋体" w:cs="宋体" w:eastAsia="宋体" w:hint="default"/>
                <w:sz w:val="18"/>
                <w:szCs w:val="18"/>
              </w:rPr>
            </w:pPr>
            <w:r>
              <w:rPr>
                <w:rFonts w:ascii="宋体" w:hAnsi="宋体" w:cs="宋体" w:eastAsia="宋体" w:hint="default"/>
                <w:sz w:val="18"/>
                <w:szCs w:val="18"/>
              </w:rPr>
              <w:t>该产品用于定性检测孕周</w:t>
            </w:r>
            <w:r>
              <w:rPr>
                <w:rFonts w:ascii="Times New Roman" w:hAnsi="Times New Roman" w:cs="Times New Roman" w:eastAsia="Times New Roman" w:hint="default"/>
                <w:sz w:val="18"/>
                <w:szCs w:val="18"/>
              </w:rPr>
              <w:t>12</w:t>
            </w:r>
            <w:r>
              <w:rPr>
                <w:rFonts w:ascii="宋体" w:hAnsi="宋体" w:cs="宋体" w:eastAsia="宋体" w:hint="default"/>
                <w:sz w:val="18"/>
                <w:szCs w:val="18"/>
              </w:rPr>
              <w:t>周以上的高 危孕妇</w:t>
            </w:r>
            <w:r>
              <w:rPr>
                <w:rFonts w:ascii="Times New Roman" w:hAnsi="Times New Roman" w:cs="Times New Roman" w:eastAsia="Times New Roman" w:hint="default"/>
                <w:sz w:val="18"/>
                <w:szCs w:val="18"/>
              </w:rPr>
              <w:t>*</w:t>
            </w:r>
            <w:r>
              <w:rPr>
                <w:rFonts w:ascii="宋体" w:hAnsi="宋体" w:cs="宋体" w:eastAsia="宋体" w:hint="default"/>
                <w:sz w:val="18"/>
                <w:szCs w:val="18"/>
              </w:rPr>
              <w:t>外周血血浆中的游离脱氧核糖核 酸（</w:t>
            </w:r>
            <w:r>
              <w:rPr>
                <w:rFonts w:ascii="Times New Roman" w:hAnsi="Times New Roman" w:cs="Times New Roman" w:eastAsia="Times New Roman" w:hint="default"/>
                <w:sz w:val="18"/>
                <w:szCs w:val="18"/>
              </w:rPr>
              <w:t>DNA</w:t>
            </w:r>
            <w:r>
              <w:rPr>
                <w:rFonts w:ascii="宋体" w:hAnsi="宋体" w:cs="宋体" w:eastAsia="宋体" w:hint="default"/>
                <w:sz w:val="18"/>
                <w:szCs w:val="18"/>
              </w:rPr>
              <w:t>），通过分析样本中胎儿游离 </w:t>
            </w:r>
            <w:r>
              <w:rPr>
                <w:rFonts w:ascii="Times New Roman" w:hAnsi="Times New Roman" w:cs="Times New Roman" w:eastAsia="Times New Roman" w:hint="default"/>
                <w:sz w:val="18"/>
                <w:szCs w:val="18"/>
              </w:rPr>
              <w:t>DNA</w:t>
            </w:r>
            <w:r>
              <w:rPr>
                <w:rFonts w:ascii="宋体" w:hAnsi="宋体" w:cs="宋体" w:eastAsia="宋体" w:hint="default"/>
                <w:sz w:val="18"/>
                <w:szCs w:val="18"/>
              </w:rPr>
              <w:t>的</w:t>
            </w:r>
            <w:r>
              <w:rPr>
                <w:rFonts w:ascii="Times New Roman" w:hAnsi="Times New Roman" w:cs="Times New Roman" w:eastAsia="Times New Roman" w:hint="default"/>
                <w:sz w:val="18"/>
                <w:szCs w:val="18"/>
              </w:rPr>
              <w:t>21</w:t>
            </w:r>
            <w:r>
              <w:rPr>
                <w:rFonts w:ascii="宋体" w:hAnsi="宋体" w:cs="宋体" w:eastAsia="宋体" w:hint="default"/>
                <w:sz w:val="18"/>
                <w:szCs w:val="18"/>
              </w:rPr>
              <w:t>号、</w:t>
            </w:r>
            <w:r>
              <w:rPr>
                <w:rFonts w:ascii="Times New Roman" w:hAnsi="Times New Roman" w:cs="Times New Roman" w:eastAsia="Times New Roman" w:hint="default"/>
                <w:sz w:val="18"/>
                <w:szCs w:val="18"/>
              </w:rPr>
              <w:t>18</w:t>
            </w:r>
            <w:r>
              <w:rPr>
                <w:rFonts w:ascii="宋体" w:hAnsi="宋体" w:cs="宋体" w:eastAsia="宋体" w:hint="default"/>
                <w:sz w:val="18"/>
                <w:szCs w:val="18"/>
              </w:rPr>
              <w:t>号及</w:t>
            </w:r>
            <w:r>
              <w:rPr>
                <w:rFonts w:ascii="Times New Roman" w:hAnsi="Times New Roman" w:cs="Times New Roman" w:eastAsia="Times New Roman" w:hint="default"/>
                <w:sz w:val="18"/>
                <w:szCs w:val="18"/>
              </w:rPr>
              <w:t>13</w:t>
            </w:r>
            <w:r>
              <w:rPr>
                <w:rFonts w:ascii="宋体" w:hAnsi="宋体" w:cs="宋体" w:eastAsia="宋体" w:hint="default"/>
                <w:sz w:val="18"/>
                <w:szCs w:val="18"/>
              </w:rPr>
              <w:t>号染色体数量的 差异，对胎儿染色体非整倍体疾病</w:t>
            </w:r>
            <w:r>
              <w:rPr>
                <w:rFonts w:ascii="Times New Roman" w:hAnsi="Times New Roman" w:cs="Times New Roman" w:eastAsia="Times New Roman" w:hint="default"/>
                <w:sz w:val="18"/>
                <w:szCs w:val="18"/>
              </w:rPr>
              <w:t>21-</w:t>
            </w:r>
            <w:r>
              <w:rPr>
                <w:rFonts w:ascii="宋体" w:hAnsi="宋体" w:cs="宋体" w:eastAsia="宋体" w:hint="default"/>
                <w:sz w:val="18"/>
                <w:szCs w:val="18"/>
              </w:rPr>
              <w:t>三 体综合征、</w:t>
            </w:r>
            <w:r>
              <w:rPr>
                <w:rFonts w:ascii="Times New Roman" w:hAnsi="Times New Roman" w:cs="Times New Roman" w:eastAsia="Times New Roman" w:hint="default"/>
                <w:sz w:val="18"/>
                <w:szCs w:val="18"/>
              </w:rPr>
              <w:t>18-</w:t>
            </w:r>
            <w:r>
              <w:rPr>
                <w:rFonts w:ascii="宋体" w:hAnsi="宋体" w:cs="宋体" w:eastAsia="宋体" w:hint="default"/>
                <w:sz w:val="18"/>
                <w:szCs w:val="18"/>
              </w:rPr>
              <w:t>三体综合征和</w:t>
            </w:r>
            <w:r>
              <w:rPr>
                <w:rFonts w:ascii="Times New Roman" w:hAnsi="Times New Roman" w:cs="Times New Roman" w:eastAsia="Times New Roman" w:hint="default"/>
                <w:sz w:val="18"/>
                <w:szCs w:val="18"/>
              </w:rPr>
              <w:t>13-</w:t>
            </w:r>
            <w:r>
              <w:rPr>
                <w:rFonts w:ascii="宋体" w:hAnsi="宋体" w:cs="宋体" w:eastAsia="宋体" w:hint="default"/>
                <w:sz w:val="18"/>
                <w:szCs w:val="18"/>
              </w:rPr>
              <w:t>三体综合 征进行产前辅助判断。该产品用途为构 建测序文库。该产品应按照行业规范进 行使用。</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2022/1/12</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182" w:right="185"/>
              <w:jc w:val="both"/>
              <w:rPr>
                <w:rFonts w:ascii="宋体" w:hAnsi="宋体" w:cs="宋体" w:eastAsia="宋体" w:hint="default"/>
                <w:sz w:val="18"/>
                <w:szCs w:val="18"/>
              </w:rPr>
            </w:pPr>
            <w:r>
              <w:rPr>
                <w:rFonts w:ascii="宋体" w:hAnsi="宋体" w:cs="宋体" w:eastAsia="宋体" w:hint="default"/>
                <w:sz w:val="18"/>
                <w:szCs w:val="18"/>
              </w:rPr>
              <w:t>新注册，因 增加试剂盒 适用机型</w:t>
            </w:r>
          </w:p>
          <w:p>
            <w:pPr>
              <w:pStyle w:val="TableParagraph"/>
              <w:spacing w:line="240" w:lineRule="auto" w:before="19"/>
              <w:ind w:left="187"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BGISEQ-</w:t>
            </w:r>
          </w:p>
          <w:p>
            <w:pPr>
              <w:pStyle w:val="TableParagraph"/>
              <w:spacing w:line="240" w:lineRule="auto" w:before="63"/>
              <w:ind w:left="27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），在</w:t>
            </w:r>
          </w:p>
          <w:p>
            <w:pPr>
              <w:pStyle w:val="TableParagraph"/>
              <w:spacing w:line="240" w:lineRule="auto" w:before="63"/>
              <w:ind w:left="136"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p>
          <w:p>
            <w:pPr>
              <w:pStyle w:val="TableParagraph"/>
              <w:spacing w:line="300" w:lineRule="auto" w:before="63"/>
              <w:ind w:left="271" w:right="124" w:hanging="149"/>
              <w:jc w:val="both"/>
              <w:rPr>
                <w:rFonts w:ascii="宋体" w:hAnsi="宋体" w:cs="宋体" w:eastAsia="宋体" w:hint="default"/>
                <w:sz w:val="18"/>
                <w:szCs w:val="18"/>
              </w:rPr>
            </w:pPr>
            <w:r>
              <w:rPr>
                <w:rFonts w:ascii="宋体" w:hAnsi="宋体" w:cs="宋体" w:eastAsia="宋体" w:hint="default"/>
                <w:sz w:val="18"/>
                <w:szCs w:val="18"/>
              </w:rPr>
              <w:t>日获取</w:t>
            </w:r>
            <w:r>
              <w:rPr>
                <w:rFonts w:ascii="Times New Roman" w:hAnsi="Times New Roman" w:cs="Times New Roman" w:eastAsia="Times New Roman" w:hint="default"/>
                <w:sz w:val="18"/>
                <w:szCs w:val="18"/>
              </w:rPr>
              <w:t>CFDA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变更批准</w:t>
            </w:r>
          </w:p>
        </w:tc>
      </w:tr>
      <w:tr>
        <w:trPr>
          <w:trHeight w:val="1507"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氨基酸和肉碱检测试剂盒</w:t>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（液相色谱</w:t>
            </w:r>
            <w:r>
              <w:rPr>
                <w:rFonts w:ascii="Times New Roman" w:hAnsi="Times New Roman" w:cs="Times New Roman" w:eastAsia="Times New Roman" w:hint="default"/>
                <w:sz w:val="18"/>
                <w:szCs w:val="18"/>
              </w:rPr>
              <w:t>-</w:t>
            </w:r>
            <w:r>
              <w:rPr>
                <w:rFonts w:ascii="宋体" w:hAnsi="宋体" w:cs="宋体" w:eastAsia="宋体" w:hint="default"/>
                <w:sz w:val="18"/>
                <w:szCs w:val="18"/>
              </w:rPr>
              <w:t>串联质谱法）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III</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2" w:lineRule="auto" w:before="130"/>
              <w:ind w:left="96" w:right="132"/>
              <w:jc w:val="left"/>
              <w:rPr>
                <w:rFonts w:ascii="宋体" w:hAnsi="宋体" w:cs="宋体" w:eastAsia="宋体" w:hint="default"/>
                <w:sz w:val="18"/>
                <w:szCs w:val="18"/>
              </w:rPr>
            </w:pPr>
            <w:r>
              <w:rPr>
                <w:rFonts w:ascii="宋体" w:hAnsi="宋体" w:cs="宋体" w:eastAsia="宋体" w:hint="default"/>
                <w:sz w:val="18"/>
                <w:szCs w:val="18"/>
              </w:rPr>
              <w:t>本试剂盒可定量检测新生儿滤纸干血片 样本中</w:t>
            </w:r>
            <w:r>
              <w:rPr>
                <w:rFonts w:ascii="Times New Roman" w:hAnsi="Times New Roman" w:cs="Times New Roman" w:eastAsia="Times New Roman" w:hint="default"/>
                <w:sz w:val="18"/>
                <w:szCs w:val="18"/>
              </w:rPr>
              <w:t>8</w:t>
            </w:r>
            <w:r>
              <w:rPr>
                <w:rFonts w:ascii="宋体" w:hAnsi="宋体" w:cs="宋体" w:eastAsia="宋体" w:hint="default"/>
                <w:sz w:val="18"/>
                <w:szCs w:val="18"/>
              </w:rPr>
              <w:t>种氨基酸和</w:t>
            </w:r>
            <w:r>
              <w:rPr>
                <w:rFonts w:ascii="Times New Roman" w:hAnsi="Times New Roman" w:cs="Times New Roman" w:eastAsia="Times New Roman" w:hint="default"/>
                <w:sz w:val="18"/>
                <w:szCs w:val="18"/>
              </w:rPr>
              <w:t>16</w:t>
            </w:r>
            <w:r>
              <w:rPr>
                <w:rFonts w:ascii="宋体" w:hAnsi="宋体" w:cs="宋体" w:eastAsia="宋体" w:hint="default"/>
                <w:sz w:val="18"/>
                <w:szCs w:val="18"/>
              </w:rPr>
              <w:t>种肉碱，检测结果 可以辅助临床医生诊断新生儿是否患遗 传性代谢病。</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2022/5/4</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新注册</w:t>
            </w:r>
          </w:p>
        </w:tc>
      </w:tr>
      <w:tr>
        <w:trPr>
          <w:trHeight w:val="275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00" w:lineRule="auto"/>
              <w:ind w:left="98" w:right="168"/>
              <w:jc w:val="left"/>
              <w:rPr>
                <w:rFonts w:ascii="宋体" w:hAnsi="宋体" w:cs="宋体" w:eastAsia="宋体" w:hint="default"/>
                <w:sz w:val="18"/>
                <w:szCs w:val="18"/>
              </w:rPr>
            </w:pPr>
            <w:r>
              <w:rPr>
                <w:rFonts w:ascii="宋体" w:hAnsi="宋体" w:cs="宋体" w:eastAsia="宋体" w:hint="default"/>
                <w:sz w:val="18"/>
                <w:szCs w:val="18"/>
              </w:rPr>
              <w:t>人乳头瘤病毒（</w:t>
            </w:r>
            <w:r>
              <w:rPr>
                <w:rFonts w:ascii="Times New Roman" w:hAnsi="Times New Roman" w:cs="Times New Roman" w:eastAsia="Times New Roman" w:hint="default"/>
                <w:sz w:val="18"/>
                <w:szCs w:val="18"/>
              </w:rPr>
              <w:t>16</w:t>
            </w:r>
            <w:r>
              <w:rPr>
                <w:rFonts w:ascii="宋体" w:hAnsi="宋体" w:cs="宋体" w:eastAsia="宋体" w:hint="default"/>
                <w:sz w:val="18"/>
                <w:szCs w:val="18"/>
              </w:rPr>
              <w:t>种型 别）核酸分型检测试剂盒</w:t>
            </w:r>
          </w:p>
          <w:p>
            <w:pPr>
              <w:pStyle w:val="TableParagraph"/>
              <w:spacing w:line="240" w:lineRule="auto" w:before="31"/>
              <w:ind w:left="98" w:right="0"/>
              <w:jc w:val="left"/>
              <w:rPr>
                <w:rFonts w:ascii="宋体" w:hAnsi="宋体" w:cs="宋体" w:eastAsia="宋体" w:hint="default"/>
                <w:sz w:val="18"/>
                <w:szCs w:val="18"/>
              </w:rPr>
            </w:pPr>
            <w:r>
              <w:rPr>
                <w:rFonts w:ascii="宋体" w:hAnsi="宋体" w:cs="宋体" w:eastAsia="宋体" w:hint="default"/>
                <w:sz w:val="18"/>
                <w:szCs w:val="18"/>
              </w:rPr>
              <w:t>（半导体测序法）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III</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3"/>
              <w:ind w:left="96" w:right="225"/>
              <w:jc w:val="both"/>
              <w:rPr>
                <w:rFonts w:ascii="宋体" w:hAnsi="宋体" w:cs="宋体" w:eastAsia="宋体" w:hint="default"/>
                <w:sz w:val="18"/>
                <w:szCs w:val="18"/>
              </w:rPr>
            </w:pPr>
            <w:r>
              <w:rPr>
                <w:rFonts w:ascii="宋体" w:hAnsi="宋体" w:cs="宋体" w:eastAsia="宋体" w:hint="default"/>
                <w:sz w:val="18"/>
                <w:szCs w:val="18"/>
              </w:rPr>
              <w:t>该产品用于人乳头瘤病毒核酸分型检测 时文库的构建，与已批准的核酸纯化试 剂、测序反应通用试剂盒（半导体测序 法）、人乳头瘤病毒核酸分型分析软件 联合使用，用于女性宫颈脱落细胞中的 </w:t>
            </w:r>
            <w:r>
              <w:rPr>
                <w:rFonts w:ascii="Times New Roman" w:hAnsi="Times New Roman" w:cs="Times New Roman" w:eastAsia="Times New Roman" w:hint="default"/>
                <w:sz w:val="18"/>
                <w:szCs w:val="18"/>
              </w:rPr>
              <w:t>16</w:t>
            </w:r>
            <w:r>
              <w:rPr>
                <w:rFonts w:ascii="宋体" w:hAnsi="宋体" w:cs="宋体" w:eastAsia="宋体" w:hint="default"/>
                <w:sz w:val="18"/>
                <w:szCs w:val="18"/>
              </w:rPr>
              <w:t>种人乳头瘤病毒（</w:t>
            </w:r>
            <w:r>
              <w:rPr>
                <w:rFonts w:ascii="Times New Roman" w:hAnsi="Times New Roman" w:cs="Times New Roman" w:eastAsia="Times New Roman" w:hint="default"/>
                <w:sz w:val="18"/>
                <w:szCs w:val="18"/>
              </w:rPr>
              <w:t>HPV6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p>
            <w:pPr>
              <w:pStyle w:val="TableParagraph"/>
              <w:spacing w:line="248" w:lineRule="exact"/>
              <w:ind w:left="9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31</w:t>
            </w:r>
            <w:r>
              <w:rPr>
                <w:rFonts w:ascii="宋体" w:hAnsi="宋体" w:cs="宋体" w:eastAsia="宋体" w:hint="default"/>
                <w:sz w:val="18"/>
                <w:szCs w:val="18"/>
              </w:rPr>
              <w:t>、</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39</w:t>
            </w:r>
            <w:r>
              <w:rPr>
                <w:rFonts w:ascii="宋体" w:hAnsi="宋体" w:cs="宋体" w:eastAsia="宋体" w:hint="default"/>
                <w:sz w:val="18"/>
                <w:szCs w:val="18"/>
              </w:rPr>
              <w:t>、</w:t>
            </w:r>
            <w:r>
              <w:rPr>
                <w:rFonts w:ascii="Times New Roman" w:hAnsi="Times New Roman" w:cs="Times New Roman" w:eastAsia="Times New Roman" w:hint="default"/>
                <w:sz w:val="18"/>
                <w:szCs w:val="18"/>
              </w:rPr>
              <w:t>45</w:t>
            </w:r>
            <w:r>
              <w:rPr>
                <w:rFonts w:ascii="宋体" w:hAnsi="宋体" w:cs="宋体" w:eastAsia="宋体" w:hint="default"/>
                <w:sz w:val="18"/>
                <w:szCs w:val="18"/>
              </w:rPr>
              <w:t>、</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r>
              <w:rPr>
                <w:rFonts w:ascii="Times New Roman" w:hAnsi="Times New Roman" w:cs="Times New Roman" w:eastAsia="Times New Roman" w:hint="default"/>
                <w:sz w:val="18"/>
                <w:szCs w:val="18"/>
              </w:rPr>
              <w:t>52</w:t>
            </w:r>
            <w:r>
              <w:rPr>
                <w:rFonts w:ascii="宋体" w:hAnsi="宋体" w:cs="宋体" w:eastAsia="宋体" w:hint="default"/>
                <w:sz w:val="18"/>
                <w:szCs w:val="18"/>
              </w:rPr>
              <w:t>、</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p>
          <w:p>
            <w:pPr>
              <w:pStyle w:val="TableParagraph"/>
              <w:spacing w:line="240" w:lineRule="auto" w:before="63"/>
              <w:ind w:left="9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58</w:t>
            </w:r>
            <w:r>
              <w:rPr>
                <w:rFonts w:ascii="宋体" w:hAnsi="宋体" w:cs="宋体" w:eastAsia="宋体" w:hint="default"/>
                <w:sz w:val="18"/>
                <w:szCs w:val="18"/>
              </w:rPr>
              <w:t>、</w:t>
            </w:r>
            <w:r>
              <w:rPr>
                <w:rFonts w:ascii="Times New Roman" w:hAnsi="Times New Roman" w:cs="Times New Roman" w:eastAsia="Times New Roman" w:hint="default"/>
                <w:sz w:val="18"/>
                <w:szCs w:val="18"/>
              </w:rPr>
              <w:t>59</w:t>
            </w:r>
            <w:r>
              <w:rPr>
                <w:rFonts w:ascii="宋体" w:hAnsi="宋体" w:cs="宋体" w:eastAsia="宋体" w:hint="default"/>
                <w:sz w:val="18"/>
                <w:szCs w:val="18"/>
              </w:rPr>
              <w:t>、</w:t>
            </w:r>
            <w:r>
              <w:rPr>
                <w:rFonts w:ascii="Times New Roman" w:hAnsi="Times New Roman" w:cs="Times New Roman" w:eastAsia="Times New Roman" w:hint="default"/>
                <w:sz w:val="18"/>
                <w:szCs w:val="18"/>
              </w:rPr>
              <w:t>66</w:t>
            </w:r>
            <w:r>
              <w:rPr>
                <w:rFonts w:ascii="宋体" w:hAnsi="宋体" w:cs="宋体" w:eastAsia="宋体" w:hint="default"/>
                <w:sz w:val="18"/>
                <w:szCs w:val="18"/>
              </w:rPr>
              <w:t>、</w:t>
            </w:r>
            <w:r>
              <w:rPr>
                <w:rFonts w:ascii="Times New Roman" w:hAnsi="Times New Roman" w:cs="Times New Roman" w:eastAsia="Times New Roman" w:hint="default"/>
                <w:sz w:val="18"/>
                <w:szCs w:val="18"/>
              </w:rPr>
              <w:t>68</w:t>
            </w:r>
            <w:r>
              <w:rPr>
                <w:rFonts w:ascii="宋体" w:hAnsi="宋体" w:cs="宋体" w:eastAsia="宋体" w:hint="default"/>
                <w:sz w:val="18"/>
                <w:szCs w:val="18"/>
              </w:rPr>
              <w:t>）核酸定性分析检测。</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2022/6/7</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新注册</w:t>
            </w:r>
          </w:p>
        </w:tc>
      </w:tr>
      <w:tr>
        <w:trPr>
          <w:trHeight w:val="275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319" w:lineRule="auto"/>
              <w:ind w:left="98" w:right="168"/>
              <w:jc w:val="left"/>
              <w:rPr>
                <w:rFonts w:ascii="宋体" w:hAnsi="宋体" w:cs="宋体" w:eastAsia="宋体" w:hint="default"/>
                <w:sz w:val="18"/>
                <w:szCs w:val="18"/>
              </w:rPr>
            </w:pPr>
            <w:r>
              <w:rPr>
                <w:rFonts w:ascii="宋体" w:hAnsi="宋体" w:cs="宋体" w:eastAsia="宋体" w:hint="default"/>
                <w:sz w:val="18"/>
                <w:szCs w:val="18"/>
              </w:rPr>
              <w:t>胎儿染色体非整倍体基因 检测软件</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7" w:lineRule="auto" w:before="130"/>
              <w:ind w:left="96" w:right="191"/>
              <w:jc w:val="left"/>
              <w:rPr>
                <w:rFonts w:ascii="宋体" w:hAnsi="宋体" w:cs="宋体" w:eastAsia="宋体" w:hint="default"/>
                <w:sz w:val="18"/>
                <w:szCs w:val="18"/>
              </w:rPr>
            </w:pPr>
            <w:r>
              <w:rPr>
                <w:rFonts w:ascii="宋体" w:hAnsi="宋体" w:cs="宋体" w:eastAsia="宋体" w:hint="default"/>
                <w:sz w:val="18"/>
                <w:szCs w:val="18"/>
              </w:rPr>
              <w:t>本软件与适用的测序试剂盒配套使用， 对临床样本（孕妇外周血浆）的全部 </w:t>
            </w:r>
            <w:r>
              <w:rPr>
                <w:rFonts w:ascii="Times New Roman" w:hAnsi="Times New Roman" w:cs="Times New Roman" w:eastAsia="Times New Roman" w:hint="default"/>
                <w:sz w:val="18"/>
                <w:szCs w:val="18"/>
              </w:rPr>
              <w:t>DNA</w:t>
            </w:r>
            <w:r>
              <w:rPr>
                <w:rFonts w:ascii="宋体" w:hAnsi="宋体" w:cs="宋体" w:eastAsia="宋体" w:hint="default"/>
                <w:sz w:val="18"/>
                <w:szCs w:val="18"/>
              </w:rPr>
              <w:t>测序数据进行计算，通过分析样本 中胎儿游离 </w:t>
            </w:r>
            <w:r>
              <w:rPr>
                <w:rFonts w:ascii="Times New Roman" w:hAnsi="Times New Roman" w:cs="Times New Roman" w:eastAsia="Times New Roman" w:hint="default"/>
                <w:sz w:val="18"/>
                <w:szCs w:val="18"/>
              </w:rPr>
              <w:t>DNA </w:t>
            </w:r>
            <w:r>
              <w:rPr>
                <w:rFonts w:ascii="宋体" w:hAnsi="宋体" w:cs="宋体" w:eastAsia="宋体" w:hint="default"/>
                <w:sz w:val="18"/>
                <w:szCs w:val="18"/>
              </w:rPr>
              <w:t>的</w:t>
            </w:r>
            <w:r>
              <w:rPr>
                <w:rFonts w:ascii="Times New Roman" w:hAnsi="Times New Roman" w:cs="Times New Roman" w:eastAsia="Times New Roman" w:hint="default"/>
                <w:sz w:val="18"/>
                <w:szCs w:val="18"/>
              </w:rPr>
              <w:t>21</w:t>
            </w:r>
            <w:r>
              <w:rPr>
                <w:rFonts w:ascii="宋体" w:hAnsi="宋体" w:cs="宋体" w:eastAsia="宋体" w:hint="default"/>
                <w:sz w:val="18"/>
                <w:szCs w:val="18"/>
              </w:rPr>
              <w:t>号、</w:t>
            </w:r>
            <w:r>
              <w:rPr>
                <w:rFonts w:ascii="Times New Roman" w:hAnsi="Times New Roman" w:cs="Times New Roman" w:eastAsia="Times New Roman" w:hint="default"/>
                <w:sz w:val="18"/>
                <w:szCs w:val="18"/>
              </w:rPr>
              <w:t>18</w:t>
            </w:r>
            <w:r>
              <w:rPr>
                <w:rFonts w:ascii="宋体" w:hAnsi="宋体" w:cs="宋体" w:eastAsia="宋体" w:hint="default"/>
                <w:sz w:val="18"/>
                <w:szCs w:val="18"/>
              </w:rPr>
              <w:t>号及</w:t>
            </w:r>
            <w:r>
              <w:rPr>
                <w:rFonts w:ascii="Times New Roman" w:hAnsi="Times New Roman" w:cs="Times New Roman" w:eastAsia="Times New Roman" w:hint="default"/>
                <w:sz w:val="18"/>
                <w:szCs w:val="18"/>
              </w:rPr>
              <w:t>13</w:t>
            </w:r>
            <w:r>
              <w:rPr>
                <w:rFonts w:ascii="宋体" w:hAnsi="宋体" w:cs="宋体" w:eastAsia="宋体" w:hint="default"/>
                <w:sz w:val="18"/>
                <w:szCs w:val="18"/>
              </w:rPr>
              <w:t>号 染色体数量的差异，对胎儿染色体非整 倍体疾病 </w:t>
            </w:r>
            <w:r>
              <w:rPr>
                <w:rFonts w:ascii="Times New Roman" w:hAnsi="Times New Roman" w:cs="Times New Roman" w:eastAsia="Times New Roman" w:hint="default"/>
                <w:sz w:val="18"/>
                <w:szCs w:val="18"/>
              </w:rPr>
              <w:t>21-</w:t>
            </w:r>
            <w:r>
              <w:rPr>
                <w:rFonts w:ascii="宋体" w:hAnsi="宋体" w:cs="宋体" w:eastAsia="宋体" w:hint="default"/>
                <w:sz w:val="18"/>
                <w:szCs w:val="18"/>
              </w:rPr>
              <w:t>三体综合征、</w:t>
            </w:r>
            <w:r>
              <w:rPr>
                <w:rFonts w:ascii="Times New Roman" w:hAnsi="Times New Roman" w:cs="Times New Roman" w:eastAsia="Times New Roman" w:hint="default"/>
                <w:sz w:val="18"/>
                <w:szCs w:val="18"/>
              </w:rPr>
              <w:t>18-</w:t>
            </w:r>
            <w:r>
              <w:rPr>
                <w:rFonts w:ascii="宋体" w:hAnsi="宋体" w:cs="宋体" w:eastAsia="宋体" w:hint="default"/>
                <w:sz w:val="18"/>
                <w:szCs w:val="18"/>
              </w:rPr>
              <w:t>三体综合 征和 </w:t>
            </w:r>
            <w:r>
              <w:rPr>
                <w:rFonts w:ascii="Times New Roman" w:hAnsi="Times New Roman" w:cs="Times New Roman" w:eastAsia="Times New Roman" w:hint="default"/>
                <w:sz w:val="18"/>
                <w:szCs w:val="18"/>
              </w:rPr>
              <w:t>13-</w:t>
            </w:r>
            <w:r>
              <w:rPr>
                <w:rFonts w:ascii="宋体" w:hAnsi="宋体" w:cs="宋体" w:eastAsia="宋体" w:hint="default"/>
                <w:sz w:val="18"/>
                <w:szCs w:val="18"/>
              </w:rPr>
              <w:t>三体综合征进行产前辅助判 断。产品适用于医疗机构使用。</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2022/11/13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新注册</w:t>
            </w:r>
          </w:p>
        </w:tc>
      </w:tr>
      <w:tr>
        <w:trPr>
          <w:trHeight w:val="2326"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101</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00" w:lineRule="auto"/>
              <w:ind w:left="98" w:right="361"/>
              <w:jc w:val="left"/>
              <w:rPr>
                <w:rFonts w:ascii="宋体" w:hAnsi="宋体" w:cs="宋体" w:eastAsia="宋体" w:hint="default"/>
                <w:sz w:val="18"/>
                <w:szCs w:val="18"/>
              </w:rPr>
            </w:pPr>
            <w:r>
              <w:rPr>
                <w:rFonts w:ascii="宋体" w:hAnsi="宋体" w:cs="宋体" w:eastAsia="宋体" w:hint="default"/>
                <w:sz w:val="18"/>
                <w:szCs w:val="18"/>
              </w:rPr>
              <w:t>基因测序仪（</w:t>
            </w:r>
            <w:r>
              <w:rPr>
                <w:rFonts w:ascii="Times New Roman" w:hAnsi="Times New Roman" w:cs="Times New Roman" w:eastAsia="Times New Roman" w:hint="default"/>
                <w:sz w:val="18"/>
                <w:szCs w:val="18"/>
              </w:rPr>
              <w:t>BGISEQ-</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500</w:t>
            </w:r>
            <w:r>
              <w:rPr>
                <w:rFonts w:ascii="宋体" w:hAnsi="宋体" w:cs="宋体" w:eastAsia="宋体" w:hint="default"/>
                <w:sz w:val="18"/>
                <w:szCs w:val="18"/>
              </w:rPr>
              <w:t>）</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130"/>
              <w:ind w:left="96" w:right="192"/>
              <w:jc w:val="left"/>
              <w:rPr>
                <w:rFonts w:ascii="宋体" w:hAnsi="宋体" w:cs="宋体" w:eastAsia="宋体" w:hint="default"/>
                <w:sz w:val="18"/>
                <w:szCs w:val="18"/>
              </w:rPr>
            </w:pPr>
            <w:r>
              <w:rPr>
                <w:rFonts w:ascii="宋体" w:hAnsi="宋体" w:cs="宋体" w:eastAsia="宋体" w:hint="default"/>
                <w:sz w:val="18"/>
                <w:szCs w:val="18"/>
              </w:rPr>
              <w:t>该产品采用联合探针锚定聚合测序技 术，在临床上用于对来源于人体样本的 脱氧核糖核酸（</w:t>
            </w:r>
            <w:r>
              <w:rPr>
                <w:rFonts w:ascii="Times New Roman" w:hAnsi="Times New Roman" w:cs="Times New Roman" w:eastAsia="Times New Roman" w:hint="default"/>
                <w:sz w:val="18"/>
                <w:szCs w:val="18"/>
              </w:rPr>
              <w:t>DNA</w:t>
            </w:r>
            <w:r>
              <w:rPr>
                <w:rFonts w:ascii="宋体" w:hAnsi="宋体" w:cs="宋体" w:eastAsia="宋体" w:hint="default"/>
                <w:sz w:val="18"/>
                <w:szCs w:val="18"/>
              </w:rPr>
              <w:t>）进行测序，以检 测基因变化，这些基因变化可能导致存 在疾病或易感性。该仪器在临床上仅限 于与国家食品药品监督管理总局批准的 体外诊断试剂以及仪器配套随机软件配</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Times New Roman" w:hAnsi="Times New Roman" w:cs="Times New Roman" w:eastAsia="Times New Roman" w:hint="default"/>
                <w:sz w:val="18"/>
                <w:szCs w:val="18"/>
              </w:rPr>
            </w:pPr>
            <w:r>
              <w:rPr>
                <w:rFonts w:ascii="Times New Roman"/>
                <w:spacing w:val="-1"/>
                <w:sz w:val="18"/>
              </w:rPr>
              <w:t>2021/10/26</w:t>
            </w:r>
          </w:p>
        </w:tc>
        <w:tc>
          <w:tcPr>
            <w:tcW w:w="1289"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543"/>
        <w:gridCol w:w="2269"/>
        <w:gridCol w:w="710"/>
        <w:gridCol w:w="3401"/>
        <w:gridCol w:w="1381"/>
        <w:gridCol w:w="1289"/>
      </w:tblGrid>
      <w:tr>
        <w:trPr>
          <w:trHeight w:val="88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70" w:right="17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63" w:right="161"/>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89"/>
                <w:sz w:val="18"/>
                <w:szCs w:val="18"/>
              </w:rPr>
              <w:t> </w:t>
            </w:r>
            <w:r>
              <w:rPr>
                <w:rFonts w:ascii="宋体" w:hAnsi="宋体" w:cs="宋体" w:eastAsia="宋体" w:hint="default"/>
                <w:b/>
                <w:bCs/>
                <w:sz w:val="18"/>
                <w:szCs w:val="18"/>
              </w:rPr>
              <w:t>分类</w:t>
            </w:r>
            <w:r>
              <w:rPr>
                <w:rFonts w:ascii="宋体" w:hAnsi="宋体" w:cs="宋体" w:eastAsia="宋体" w:hint="default"/>
                <w:sz w:val="18"/>
                <w:szCs w:val="18"/>
              </w:rPr>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注册证有效期</w:t>
            </w:r>
            <w:r>
              <w:rPr>
                <w:rFonts w:ascii="宋体" w:hAnsi="宋体" w:cs="宋体" w:eastAsia="宋体" w:hint="default"/>
                <w:sz w:val="18"/>
                <w:szCs w:val="18"/>
              </w:rPr>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766" w:hRule="exact"/>
        </w:trPr>
        <w:tc>
          <w:tcPr>
            <w:tcW w:w="543" w:type="dxa"/>
            <w:tcBorders>
              <w:top w:val="single" w:sz="8" w:space="0" w:color="000000"/>
              <w:left w:val="single" w:sz="8" w:space="0" w:color="000000"/>
              <w:bottom w:val="single" w:sz="8" w:space="0" w:color="000000"/>
              <w:right w:val="single" w:sz="8" w:space="0" w:color="000000"/>
            </w:tcBorders>
          </w:tcPr>
          <w:p>
            <w:pPr/>
          </w:p>
        </w:tc>
        <w:tc>
          <w:tcPr>
            <w:tcW w:w="2269" w:type="dxa"/>
            <w:tcBorders>
              <w:top w:val="single" w:sz="8" w:space="0" w:color="000000"/>
              <w:left w:val="single" w:sz="8" w:space="0" w:color="000000"/>
              <w:bottom w:val="single" w:sz="8" w:space="0" w:color="000000"/>
              <w:right w:val="single" w:sz="8" w:space="0" w:color="000000"/>
            </w:tcBorders>
          </w:tcPr>
          <w:p>
            <w:pPr/>
          </w:p>
        </w:tc>
        <w:tc>
          <w:tcPr>
            <w:tcW w:w="710" w:type="dxa"/>
            <w:tcBorders>
              <w:top w:val="single" w:sz="8" w:space="0" w:color="000000"/>
              <w:left w:val="single" w:sz="8" w:space="0" w:color="000000"/>
              <w:bottom w:val="single" w:sz="8" w:space="0" w:color="000000"/>
              <w:right w:val="single" w:sz="8" w:space="0" w:color="000000"/>
            </w:tcBorders>
          </w:tcPr>
          <w:p>
            <w:pP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
              <w:ind w:left="96" w:right="225"/>
              <w:jc w:val="left"/>
              <w:rPr>
                <w:rFonts w:ascii="宋体" w:hAnsi="宋体" w:cs="宋体" w:eastAsia="宋体" w:hint="default"/>
                <w:sz w:val="18"/>
                <w:szCs w:val="18"/>
              </w:rPr>
            </w:pPr>
            <w:r>
              <w:rPr>
                <w:rFonts w:ascii="宋体" w:hAnsi="宋体" w:cs="宋体" w:eastAsia="宋体" w:hint="default"/>
                <w:sz w:val="18"/>
                <w:szCs w:val="18"/>
              </w:rPr>
              <w:t>合使用，且不用于人类全基因组的测序 或从头测序。</w:t>
            </w:r>
          </w:p>
        </w:tc>
        <w:tc>
          <w:tcPr>
            <w:tcW w:w="1381" w:type="dxa"/>
            <w:tcBorders>
              <w:top w:val="single" w:sz="8" w:space="0" w:color="000000"/>
              <w:left w:val="single" w:sz="8" w:space="0" w:color="000000"/>
              <w:bottom w:val="single" w:sz="8" w:space="0" w:color="000000"/>
              <w:right w:val="single" w:sz="8" w:space="0" w:color="000000"/>
            </w:tcBorders>
          </w:tcPr>
          <w:p>
            <w:pPr/>
          </w:p>
        </w:tc>
        <w:tc>
          <w:tcPr>
            <w:tcW w:w="1289" w:type="dxa"/>
            <w:tcBorders>
              <w:top w:val="single" w:sz="8" w:space="0" w:color="000000"/>
              <w:left w:val="single" w:sz="8" w:space="0" w:color="000000"/>
              <w:bottom w:val="single" w:sz="8" w:space="0" w:color="000000"/>
              <w:right w:val="single" w:sz="8" w:space="0" w:color="000000"/>
            </w:tcBorders>
          </w:tcPr>
          <w:p>
            <w:pPr/>
          </w:p>
        </w:tc>
      </w:tr>
      <w:tr>
        <w:trPr>
          <w:trHeight w:val="3692"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z w:val="18"/>
              </w:rPr>
              <w:t>102</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98" w:right="168"/>
              <w:jc w:val="left"/>
              <w:rPr>
                <w:rFonts w:ascii="宋体" w:hAnsi="宋体" w:cs="宋体" w:eastAsia="宋体" w:hint="default"/>
                <w:sz w:val="18"/>
                <w:szCs w:val="18"/>
              </w:rPr>
            </w:pPr>
            <w:r>
              <w:rPr>
                <w:rFonts w:ascii="宋体" w:hAnsi="宋体" w:cs="宋体" w:eastAsia="宋体" w:hint="default"/>
                <w:sz w:val="18"/>
                <w:szCs w:val="18"/>
              </w:rPr>
              <w:t>胎儿染色体非整倍体基因 检测软件</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30"/>
              <w:ind w:left="96" w:right="163"/>
              <w:jc w:val="both"/>
              <w:rPr>
                <w:rFonts w:ascii="宋体" w:hAnsi="宋体" w:cs="宋体" w:eastAsia="宋体" w:hint="default"/>
                <w:sz w:val="18"/>
                <w:szCs w:val="18"/>
              </w:rPr>
            </w:pPr>
            <w:r>
              <w:rPr>
                <w:rFonts w:ascii="宋体" w:hAnsi="宋体" w:cs="宋体" w:eastAsia="宋体" w:hint="default"/>
                <w:sz w:val="18"/>
                <w:szCs w:val="18"/>
              </w:rPr>
              <w:t>本软件针对基因测序仪上获得的基因组 </w:t>
            </w:r>
            <w:r>
              <w:rPr>
                <w:rFonts w:ascii="Times New Roman" w:hAnsi="Times New Roman" w:cs="Times New Roman" w:eastAsia="Times New Roman" w:hint="default"/>
                <w:sz w:val="18"/>
                <w:szCs w:val="18"/>
              </w:rPr>
              <w:t>DNA</w:t>
            </w:r>
            <w:r>
              <w:rPr>
                <w:rFonts w:ascii="宋体" w:hAnsi="宋体" w:cs="宋体" w:eastAsia="宋体" w:hint="default"/>
                <w:sz w:val="18"/>
                <w:szCs w:val="18"/>
              </w:rPr>
              <w:t>序列数据进行计算，获得分别与之 对应的参考序列比对结果，并根据阈值 进行统计和筛选达到对</w:t>
            </w:r>
            <w:r>
              <w:rPr>
                <w:rFonts w:ascii="Times New Roman" w:hAnsi="Times New Roman" w:cs="Times New Roman" w:eastAsia="Times New Roman" w:hint="default"/>
                <w:sz w:val="18"/>
                <w:szCs w:val="18"/>
              </w:rPr>
              <w:t>T13</w:t>
            </w:r>
            <w:r>
              <w:rPr>
                <w:rFonts w:ascii="宋体" w:hAnsi="宋体" w:cs="宋体" w:eastAsia="宋体" w:hint="default"/>
                <w:sz w:val="18"/>
                <w:szCs w:val="18"/>
              </w:rPr>
              <w:t>、</w:t>
            </w:r>
            <w:r>
              <w:rPr>
                <w:rFonts w:ascii="Times New Roman" w:hAnsi="Times New Roman" w:cs="Times New Roman" w:eastAsia="Times New Roman" w:hint="default"/>
                <w:sz w:val="18"/>
                <w:szCs w:val="18"/>
              </w:rPr>
              <w:t>T18</w:t>
            </w:r>
            <w:r>
              <w:rPr>
                <w:rFonts w:ascii="宋体" w:hAnsi="宋体" w:cs="宋体" w:eastAsia="宋体" w:hint="default"/>
                <w:sz w:val="18"/>
                <w:szCs w:val="18"/>
              </w:rPr>
              <w:t>、</w:t>
            </w:r>
            <w:r>
              <w:rPr>
                <w:rFonts w:ascii="Times New Roman" w:hAnsi="Times New Roman" w:cs="Times New Roman" w:eastAsia="Times New Roman" w:hint="default"/>
                <w:sz w:val="18"/>
                <w:szCs w:val="18"/>
              </w:rPr>
              <w:t>T21 </w:t>
            </w:r>
            <w:r>
              <w:rPr>
                <w:rFonts w:ascii="宋体" w:hAnsi="宋体" w:cs="宋体" w:eastAsia="宋体" w:hint="default"/>
                <w:sz w:val="18"/>
                <w:szCs w:val="18"/>
              </w:rPr>
              <w:t>的检出目的，确定样本检测结果为阳性 或阴性，可用于</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r>
              <w:rPr>
                <w:rFonts w:ascii="宋体" w:hAnsi="宋体" w:cs="宋体" w:eastAsia="宋体" w:hint="default"/>
                <w:sz w:val="18"/>
                <w:szCs w:val="18"/>
              </w:rPr>
              <w:t>常染色体的 非整倍体基因检测数据分析，从而对胎 儿染色体非整数倍体疾病</w:t>
            </w:r>
            <w:r>
              <w:rPr>
                <w:rFonts w:ascii="Times New Roman" w:hAnsi="Times New Roman" w:cs="Times New Roman" w:eastAsia="Times New Roman" w:hint="default"/>
                <w:sz w:val="18"/>
                <w:szCs w:val="18"/>
              </w:rPr>
              <w:t>21-</w:t>
            </w:r>
            <w:r>
              <w:rPr>
                <w:rFonts w:ascii="宋体" w:hAnsi="宋体" w:cs="宋体" w:eastAsia="宋体" w:hint="default"/>
                <w:sz w:val="18"/>
                <w:szCs w:val="18"/>
              </w:rPr>
              <w:t>三体综合征</w:t>
            </w:r>
          </w:p>
          <w:p>
            <w:pPr>
              <w:pStyle w:val="TableParagraph"/>
              <w:spacing w:line="300" w:lineRule="auto" w:before="5"/>
              <w:ind w:left="96" w:right="163"/>
              <w:jc w:val="both"/>
              <w:rPr>
                <w:rFonts w:ascii="宋体" w:hAnsi="宋体" w:cs="宋体" w:eastAsia="宋体" w:hint="default"/>
                <w:sz w:val="18"/>
                <w:szCs w:val="18"/>
              </w:rPr>
            </w:pPr>
            <w:r>
              <w:rPr>
                <w:rFonts w:ascii="宋体" w:hAnsi="宋体" w:cs="宋体" w:eastAsia="宋体" w:hint="default"/>
                <w:sz w:val="18"/>
                <w:szCs w:val="18"/>
              </w:rPr>
              <w:t>（唐氏综合征）、</w:t>
            </w:r>
            <w:r>
              <w:rPr>
                <w:rFonts w:ascii="Times New Roman" w:hAnsi="Times New Roman" w:cs="Times New Roman" w:eastAsia="Times New Roman" w:hint="default"/>
                <w:sz w:val="18"/>
                <w:szCs w:val="18"/>
              </w:rPr>
              <w:t>18-</w:t>
            </w:r>
            <w:r>
              <w:rPr>
                <w:rFonts w:ascii="宋体" w:hAnsi="宋体" w:cs="宋体" w:eastAsia="宋体" w:hint="default"/>
                <w:sz w:val="18"/>
                <w:szCs w:val="18"/>
              </w:rPr>
              <w:t>三体综合征（爱德 华氏综合征）或</w:t>
            </w:r>
            <w:r>
              <w:rPr>
                <w:rFonts w:ascii="Times New Roman" w:hAnsi="Times New Roman" w:cs="Times New Roman" w:eastAsia="Times New Roman" w:hint="default"/>
                <w:sz w:val="18"/>
                <w:szCs w:val="18"/>
              </w:rPr>
              <w:t>13-</w:t>
            </w:r>
            <w:r>
              <w:rPr>
                <w:rFonts w:ascii="宋体" w:hAnsi="宋体" w:cs="宋体" w:eastAsia="宋体" w:hint="default"/>
                <w:sz w:val="18"/>
                <w:szCs w:val="18"/>
              </w:rPr>
              <w:t>三体综合征（帕特氏 综合征）进行产前辅助判断。</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2022/3/19</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新注册</w:t>
            </w:r>
          </w:p>
        </w:tc>
      </w:tr>
      <w:tr>
        <w:trPr>
          <w:trHeight w:val="2132"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22"/>
              <w:jc w:val="right"/>
              <w:rPr>
                <w:rFonts w:ascii="Times New Roman" w:hAnsi="Times New Roman" w:cs="Times New Roman" w:eastAsia="Times New Roman" w:hint="default"/>
                <w:sz w:val="18"/>
                <w:szCs w:val="18"/>
              </w:rPr>
            </w:pPr>
            <w:r>
              <w:rPr>
                <w:rFonts w:ascii="Times New Roman"/>
                <w:sz w:val="18"/>
              </w:rPr>
              <w:t>103</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3"/>
              <w:ind w:left="98" w:right="168"/>
              <w:jc w:val="left"/>
              <w:rPr>
                <w:rFonts w:ascii="宋体" w:hAnsi="宋体" w:cs="宋体" w:eastAsia="宋体" w:hint="default"/>
                <w:sz w:val="18"/>
                <w:szCs w:val="18"/>
              </w:rPr>
            </w:pPr>
            <w:r>
              <w:rPr>
                <w:rFonts w:ascii="宋体" w:hAnsi="宋体" w:cs="宋体" w:eastAsia="宋体" w:hint="default"/>
                <w:sz w:val="18"/>
                <w:szCs w:val="18"/>
              </w:rPr>
              <w:t>测序反应通用试剂盒（测 序法）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7" w:lineRule="auto" w:before="130"/>
              <w:ind w:left="96" w:right="197"/>
              <w:jc w:val="left"/>
              <w:rPr>
                <w:rFonts w:ascii="宋体" w:hAnsi="宋体" w:cs="宋体" w:eastAsia="宋体" w:hint="default"/>
                <w:sz w:val="18"/>
                <w:szCs w:val="18"/>
              </w:rPr>
            </w:pPr>
            <w:r>
              <w:rPr>
                <w:rFonts w:ascii="宋体" w:hAnsi="宋体" w:cs="宋体" w:eastAsia="宋体" w:hint="default"/>
                <w:sz w:val="18"/>
                <w:szCs w:val="18"/>
              </w:rPr>
              <w:t>本试剂盒为检测人类基因组</w:t>
            </w:r>
            <w:r>
              <w:rPr>
                <w:rFonts w:ascii="Times New Roman" w:hAnsi="Times New Roman" w:cs="Times New Roman" w:eastAsia="Times New Roman" w:hint="default"/>
                <w:sz w:val="18"/>
                <w:szCs w:val="18"/>
              </w:rPr>
              <w:t>DNA</w:t>
            </w:r>
            <w:r>
              <w:rPr>
                <w:rFonts w:ascii="宋体" w:hAnsi="宋体" w:cs="宋体" w:eastAsia="宋体" w:hint="default"/>
                <w:sz w:val="18"/>
                <w:szCs w:val="18"/>
              </w:rPr>
              <w:t>文库的 一组常用试剂和耗材，基于联合探针锚 定连接技术</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cPAL)</w:t>
            </w:r>
            <w:r>
              <w:rPr>
                <w:rFonts w:ascii="宋体" w:hAnsi="宋体" w:cs="宋体" w:eastAsia="宋体" w:hint="default"/>
                <w:sz w:val="18"/>
                <w:szCs w:val="18"/>
              </w:rPr>
              <w:t>的测序原理，与 </w:t>
            </w:r>
            <w:r>
              <w:rPr>
                <w:rFonts w:ascii="Times New Roman" w:hAnsi="Times New Roman" w:cs="Times New Roman" w:eastAsia="Times New Roman" w:hint="default"/>
                <w:sz w:val="18"/>
                <w:szCs w:val="18"/>
              </w:rPr>
              <w:t>BGISEQ-1000</w:t>
            </w:r>
            <w:r>
              <w:rPr>
                <w:rFonts w:ascii="宋体" w:hAnsi="宋体" w:cs="宋体" w:eastAsia="宋体" w:hint="default"/>
                <w:sz w:val="18"/>
                <w:szCs w:val="18"/>
              </w:rPr>
              <w:t>基因测序仪配合使用，完</w:t>
            </w:r>
            <w:r>
              <w:rPr>
                <w:rFonts w:ascii="宋体" w:hAnsi="宋体" w:cs="宋体" w:eastAsia="宋体" w:hint="default"/>
                <w:w w:val="99"/>
                <w:sz w:val="18"/>
                <w:szCs w:val="18"/>
              </w:rPr>
              <w:t> </w:t>
            </w:r>
            <w:r>
              <w:rPr>
                <w:rFonts w:ascii="宋体" w:hAnsi="宋体" w:cs="宋体" w:eastAsia="宋体" w:hint="default"/>
                <w:sz w:val="18"/>
                <w:szCs w:val="18"/>
              </w:rPr>
              <w:t>成高通量测序过程并获取样本序列信</w:t>
            </w:r>
            <w:r>
              <w:rPr>
                <w:rFonts w:ascii="宋体" w:hAnsi="宋体" w:cs="宋体" w:eastAsia="宋体" w:hint="default"/>
                <w:w w:val="99"/>
                <w:sz w:val="18"/>
                <w:szCs w:val="18"/>
              </w:rPr>
              <w:t> </w:t>
            </w:r>
            <w:r>
              <w:rPr>
                <w:rFonts w:ascii="宋体" w:hAnsi="宋体" w:cs="宋体" w:eastAsia="宋体" w:hint="default"/>
                <w:sz w:val="18"/>
                <w:szCs w:val="18"/>
              </w:rPr>
              <w:t>息，是改测序反应系统的通用试剂。</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
              <w:jc w:val="center"/>
              <w:rPr>
                <w:rFonts w:ascii="Times New Roman" w:hAnsi="Times New Roman" w:cs="Times New Roman" w:eastAsia="Times New Roman" w:hint="default"/>
                <w:sz w:val="18"/>
                <w:szCs w:val="18"/>
              </w:rPr>
            </w:pPr>
            <w:r>
              <w:rPr>
                <w:rFonts w:ascii="Times New Roman"/>
                <w:sz w:val="18"/>
              </w:rPr>
              <w:t>2018/1/23</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19" w:lineRule="auto"/>
              <w:ind w:left="182" w:right="185"/>
              <w:jc w:val="both"/>
              <w:rPr>
                <w:rFonts w:ascii="宋体" w:hAnsi="宋体" w:cs="宋体" w:eastAsia="宋体" w:hint="default"/>
                <w:sz w:val="18"/>
                <w:szCs w:val="18"/>
              </w:rPr>
            </w:pPr>
            <w:r>
              <w:rPr>
                <w:rFonts w:ascii="宋体" w:hAnsi="宋体" w:cs="宋体" w:eastAsia="宋体" w:hint="default"/>
                <w:sz w:val="18"/>
                <w:szCs w:val="18"/>
              </w:rPr>
              <w:t>因产品升级 换代，到期 后不续证</w:t>
            </w:r>
          </w:p>
        </w:tc>
      </w:tr>
      <w:tr>
        <w:trPr>
          <w:trHeight w:val="1198"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z w:val="18"/>
              </w:rPr>
              <w:t>104</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核酸（</w:t>
            </w:r>
            <w:r>
              <w:rPr>
                <w:rFonts w:ascii="Times New Roman" w:hAnsi="Times New Roman" w:cs="Times New Roman" w:eastAsia="Times New Roman" w:hint="default"/>
                <w:sz w:val="18"/>
                <w:szCs w:val="18"/>
              </w:rPr>
              <w:t>DNA</w:t>
            </w:r>
            <w:r>
              <w:rPr>
                <w:rFonts w:ascii="宋体" w:hAnsi="宋体" w:cs="宋体" w:eastAsia="宋体" w:hint="default"/>
                <w:sz w:val="18"/>
                <w:szCs w:val="18"/>
              </w:rPr>
              <w:t>）提取试剂盒</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（离心柱法）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3"/>
              <w:ind w:left="96" w:right="113"/>
              <w:jc w:val="left"/>
              <w:rPr>
                <w:rFonts w:ascii="宋体" w:hAnsi="宋体" w:cs="宋体" w:eastAsia="宋体" w:hint="default"/>
                <w:sz w:val="18"/>
                <w:szCs w:val="18"/>
              </w:rPr>
            </w:pPr>
            <w:r>
              <w:rPr>
                <w:rFonts w:ascii="宋体" w:hAnsi="宋体" w:cs="宋体" w:eastAsia="宋体" w:hint="default"/>
                <w:sz w:val="18"/>
                <w:szCs w:val="18"/>
              </w:rPr>
              <w:t>用于人外周血液样本基因组</w:t>
            </w:r>
            <w:r>
              <w:rPr>
                <w:rFonts w:ascii="Times New Roman" w:hAnsi="Times New Roman" w:cs="Times New Roman" w:eastAsia="Times New Roman" w:hint="default"/>
                <w:sz w:val="18"/>
                <w:szCs w:val="18"/>
              </w:rPr>
              <w:t>DNA</w:t>
            </w:r>
            <w:r>
              <w:rPr>
                <w:rFonts w:ascii="宋体" w:hAnsi="宋体" w:cs="宋体" w:eastAsia="宋体" w:hint="default"/>
                <w:sz w:val="18"/>
                <w:szCs w:val="18"/>
              </w:rPr>
              <w:t>及血浆 循环</w:t>
            </w:r>
            <w:r>
              <w:rPr>
                <w:rFonts w:ascii="Times New Roman" w:hAnsi="Times New Roman" w:cs="Times New Roman" w:eastAsia="Times New Roman" w:hint="default"/>
                <w:sz w:val="18"/>
                <w:szCs w:val="18"/>
              </w:rPr>
              <w:t>DNA/</w:t>
            </w:r>
            <w:r>
              <w:rPr>
                <w:rFonts w:ascii="宋体" w:hAnsi="宋体" w:cs="宋体" w:eastAsia="宋体" w:hint="default"/>
                <w:sz w:val="18"/>
                <w:szCs w:val="18"/>
              </w:rPr>
              <w:t>游离</w:t>
            </w:r>
            <w:r>
              <w:rPr>
                <w:rFonts w:ascii="Times New Roman" w:hAnsi="Times New Roman" w:cs="Times New Roman" w:eastAsia="Times New Roman" w:hint="default"/>
                <w:sz w:val="18"/>
                <w:szCs w:val="18"/>
              </w:rPr>
              <w:t>DNA</w:t>
            </w:r>
            <w:r>
              <w:rPr>
                <w:rFonts w:ascii="宋体" w:hAnsi="宋体" w:cs="宋体" w:eastAsia="宋体" w:hint="default"/>
                <w:sz w:val="18"/>
                <w:szCs w:val="18"/>
              </w:rPr>
              <w:t>的提取和纯化。提取 纯化的</w:t>
            </w:r>
            <w:r>
              <w:rPr>
                <w:rFonts w:ascii="Times New Roman" w:hAnsi="Times New Roman" w:cs="Times New Roman" w:eastAsia="Times New Roman" w:hint="default"/>
                <w:sz w:val="18"/>
                <w:szCs w:val="18"/>
              </w:rPr>
              <w:t>DNA</w:t>
            </w:r>
            <w:r>
              <w:rPr>
                <w:rFonts w:ascii="宋体" w:hAnsi="宋体" w:cs="宋体" w:eastAsia="宋体" w:hint="default"/>
                <w:sz w:val="18"/>
                <w:szCs w:val="18"/>
              </w:rPr>
              <w:t>可用于临床体外检测使用。</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2018/3/30</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3"/>
              <w:ind w:left="182" w:right="185"/>
              <w:jc w:val="both"/>
              <w:rPr>
                <w:rFonts w:ascii="宋体" w:hAnsi="宋体" w:cs="宋体" w:eastAsia="宋体" w:hint="default"/>
                <w:sz w:val="18"/>
                <w:szCs w:val="18"/>
              </w:rPr>
            </w:pPr>
            <w:r>
              <w:rPr>
                <w:rFonts w:ascii="宋体" w:hAnsi="宋体" w:cs="宋体" w:eastAsia="宋体" w:hint="default"/>
                <w:sz w:val="18"/>
                <w:szCs w:val="18"/>
              </w:rPr>
              <w:t>因产品升级 换代，到期 后不续证</w:t>
            </w:r>
          </w:p>
        </w:tc>
      </w:tr>
      <w:tr>
        <w:trPr>
          <w:trHeight w:val="1195"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z w:val="18"/>
              </w:rPr>
              <w:t>105</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核酸（</w:t>
            </w:r>
            <w:r>
              <w:rPr>
                <w:rFonts w:ascii="Times New Roman" w:hAnsi="Times New Roman" w:cs="Times New Roman" w:eastAsia="Times New Roman" w:hint="default"/>
                <w:sz w:val="18"/>
                <w:szCs w:val="18"/>
              </w:rPr>
              <w:t>DNA</w:t>
            </w:r>
            <w:r>
              <w:rPr>
                <w:rFonts w:ascii="宋体" w:hAnsi="宋体" w:cs="宋体" w:eastAsia="宋体" w:hint="default"/>
                <w:sz w:val="18"/>
                <w:szCs w:val="18"/>
              </w:rPr>
              <w:t>）提取试剂盒</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（磁珠法）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30"/>
              <w:ind w:left="96" w:right="192"/>
              <w:jc w:val="both"/>
              <w:rPr>
                <w:rFonts w:ascii="宋体" w:hAnsi="宋体" w:cs="宋体" w:eastAsia="宋体" w:hint="default"/>
                <w:sz w:val="18"/>
                <w:szCs w:val="18"/>
              </w:rPr>
            </w:pPr>
            <w:r>
              <w:rPr>
                <w:rFonts w:ascii="宋体" w:hAnsi="宋体" w:cs="宋体" w:eastAsia="宋体" w:hint="default"/>
                <w:sz w:val="18"/>
                <w:szCs w:val="18"/>
              </w:rPr>
              <w:t>用于人外周血循环血浆样本</w:t>
            </w:r>
            <w:r>
              <w:rPr>
                <w:rFonts w:ascii="Times New Roman" w:hAnsi="Times New Roman" w:cs="Times New Roman" w:eastAsia="Times New Roman" w:hint="default"/>
                <w:sz w:val="18"/>
                <w:szCs w:val="18"/>
              </w:rPr>
              <w:t>DNA</w:t>
            </w:r>
            <w:r>
              <w:rPr>
                <w:rFonts w:ascii="宋体" w:hAnsi="宋体" w:cs="宋体" w:eastAsia="宋体" w:hint="default"/>
                <w:sz w:val="18"/>
                <w:szCs w:val="18"/>
              </w:rPr>
              <w:t>的提取 和纯化。提取纯化的</w:t>
            </w:r>
            <w:r>
              <w:rPr>
                <w:rFonts w:ascii="Times New Roman" w:hAnsi="Times New Roman" w:cs="Times New Roman" w:eastAsia="Times New Roman" w:hint="default"/>
                <w:sz w:val="18"/>
                <w:szCs w:val="18"/>
              </w:rPr>
              <w:t>DNA</w:t>
            </w:r>
            <w:r>
              <w:rPr>
                <w:rFonts w:ascii="宋体" w:hAnsi="宋体" w:cs="宋体" w:eastAsia="宋体" w:hint="default"/>
                <w:sz w:val="18"/>
                <w:szCs w:val="18"/>
              </w:rPr>
              <w:t>可用临床体外 检测使用</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2018/3/30</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0"/>
              <w:ind w:left="182" w:right="185"/>
              <w:jc w:val="both"/>
              <w:rPr>
                <w:rFonts w:ascii="宋体" w:hAnsi="宋体" w:cs="宋体" w:eastAsia="宋体" w:hint="default"/>
                <w:sz w:val="18"/>
                <w:szCs w:val="18"/>
              </w:rPr>
            </w:pPr>
            <w:r>
              <w:rPr>
                <w:rFonts w:ascii="宋体" w:hAnsi="宋体" w:cs="宋体" w:eastAsia="宋体" w:hint="default"/>
                <w:sz w:val="18"/>
                <w:szCs w:val="18"/>
              </w:rPr>
              <w:t>因产品升级 换代，到期 后不续证</w:t>
            </w:r>
          </w:p>
        </w:tc>
      </w:tr>
      <w:tr>
        <w:trPr>
          <w:trHeight w:val="2132"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22"/>
              <w:jc w:val="right"/>
              <w:rPr>
                <w:rFonts w:ascii="Times New Roman" w:hAnsi="Times New Roman" w:cs="Times New Roman" w:eastAsia="Times New Roman" w:hint="default"/>
                <w:sz w:val="18"/>
                <w:szCs w:val="18"/>
              </w:rPr>
            </w:pPr>
            <w:r>
              <w:rPr>
                <w:rFonts w:ascii="Times New Roman"/>
                <w:sz w:val="18"/>
              </w:rPr>
              <w:t>106</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07" w:lineRule="auto"/>
              <w:ind w:left="98" w:right="110"/>
              <w:jc w:val="left"/>
              <w:rPr>
                <w:rFonts w:ascii="Times New Roman" w:hAnsi="Times New Roman" w:cs="Times New Roman" w:eastAsia="Times New Roman" w:hint="default"/>
                <w:sz w:val="18"/>
                <w:szCs w:val="18"/>
              </w:rPr>
            </w:pPr>
            <w:r>
              <w:rPr>
                <w:rFonts w:ascii="宋体" w:hAnsi="宋体" w:cs="宋体" w:eastAsia="宋体" w:hint="default"/>
                <w:sz w:val="18"/>
                <w:szCs w:val="18"/>
              </w:rPr>
              <w:t>胎儿染色体非整倍体 </w:t>
            </w:r>
            <w:r>
              <w:rPr>
                <w:rFonts w:ascii="Times New Roman" w:hAnsi="Times New Roman" w:cs="Times New Roman" w:eastAsia="Times New Roman" w:hint="default"/>
                <w:sz w:val="18"/>
                <w:szCs w:val="18"/>
              </w:rPr>
              <w:t>(T21</w:t>
            </w:r>
            <w:r>
              <w:rPr>
                <w:rFonts w:ascii="宋体" w:hAnsi="宋体" w:cs="宋体" w:eastAsia="宋体" w:hint="default"/>
                <w:sz w:val="18"/>
                <w:szCs w:val="18"/>
              </w:rPr>
              <w:t>、</w:t>
            </w:r>
            <w:r>
              <w:rPr>
                <w:rFonts w:ascii="Times New Roman" w:hAnsi="Times New Roman" w:cs="Times New Roman" w:eastAsia="Times New Roman" w:hint="default"/>
                <w:sz w:val="18"/>
                <w:szCs w:val="18"/>
              </w:rPr>
              <w:t>T18</w:t>
            </w:r>
            <w:r>
              <w:rPr>
                <w:rFonts w:ascii="宋体" w:hAnsi="宋体" w:cs="宋体" w:eastAsia="宋体" w:hint="default"/>
                <w:sz w:val="18"/>
                <w:szCs w:val="18"/>
              </w:rPr>
              <w:t>、</w:t>
            </w:r>
            <w:r>
              <w:rPr>
                <w:rFonts w:ascii="Times New Roman" w:hAnsi="Times New Roman" w:cs="Times New Roman" w:eastAsia="Times New Roman" w:hint="default"/>
                <w:sz w:val="18"/>
                <w:szCs w:val="18"/>
              </w:rPr>
              <w:t>T13)</w:t>
            </w:r>
            <w:r>
              <w:rPr>
                <w:rFonts w:ascii="宋体" w:hAnsi="宋体" w:cs="宋体" w:eastAsia="宋体" w:hint="default"/>
                <w:sz w:val="18"/>
                <w:szCs w:val="18"/>
              </w:rPr>
              <w:t>检测试 剂盒</w:t>
            </w:r>
            <w:r>
              <w:rPr>
                <w:rFonts w:ascii="Times New Roman" w:hAnsi="Times New Roman" w:cs="Times New Roman" w:eastAsia="Times New Roman" w:hint="default"/>
                <w:sz w:val="18"/>
                <w:szCs w:val="18"/>
              </w:rPr>
              <w:t>(</w:t>
            </w:r>
            <w:r>
              <w:rPr>
                <w:rFonts w:ascii="宋体" w:hAnsi="宋体" w:cs="宋体" w:eastAsia="宋体" w:hint="default"/>
                <w:sz w:val="18"/>
                <w:szCs w:val="18"/>
              </w:rPr>
              <w:t>联合探针锚定连接测 序法</w:t>
            </w:r>
            <w:r>
              <w:rPr>
                <w:rFonts w:ascii="Times New Roman" w:hAnsi="Times New Roman" w:cs="Times New Roman" w:eastAsia="Times New Roman" w:hint="default"/>
                <w:sz w:val="18"/>
                <w:szCs w:val="18"/>
              </w:rPr>
              <w:t>)</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131"/>
              <w:ind w:left="96" w:right="103"/>
              <w:jc w:val="left"/>
              <w:rPr>
                <w:rFonts w:ascii="宋体" w:hAnsi="宋体" w:cs="宋体" w:eastAsia="宋体" w:hint="default"/>
                <w:sz w:val="18"/>
                <w:szCs w:val="18"/>
              </w:rPr>
            </w:pPr>
            <w:r>
              <w:rPr>
                <w:rFonts w:ascii="宋体" w:hAnsi="宋体" w:cs="宋体" w:eastAsia="宋体" w:hint="default"/>
                <w:sz w:val="18"/>
                <w:szCs w:val="18"/>
              </w:rPr>
              <w:t>该产品用于检测孕周</w:t>
            </w:r>
            <w:r>
              <w:rPr>
                <w:rFonts w:ascii="Times New Roman" w:hAnsi="Times New Roman" w:cs="Times New Roman" w:eastAsia="Times New Roman" w:hint="default"/>
                <w:sz w:val="18"/>
                <w:szCs w:val="18"/>
              </w:rPr>
              <w:t>12</w:t>
            </w:r>
            <w:r>
              <w:rPr>
                <w:rFonts w:ascii="宋体" w:hAnsi="宋体" w:cs="宋体" w:eastAsia="宋体" w:hint="default"/>
                <w:sz w:val="18"/>
                <w:szCs w:val="18"/>
              </w:rPr>
              <w:t>周以上的高危孕 妇外周血血浆中的游离</w:t>
            </w:r>
            <w:r>
              <w:rPr>
                <w:rFonts w:ascii="Times New Roman" w:hAnsi="Times New Roman" w:cs="Times New Roman" w:eastAsia="Times New Roman" w:hint="default"/>
                <w:sz w:val="18"/>
                <w:szCs w:val="18"/>
              </w:rPr>
              <w:t>DNA</w:t>
            </w:r>
            <w:r>
              <w:rPr>
                <w:rFonts w:ascii="宋体" w:hAnsi="宋体" w:cs="宋体" w:eastAsia="宋体" w:hint="default"/>
                <w:sz w:val="18"/>
                <w:szCs w:val="18"/>
              </w:rPr>
              <w:t>，通过分析 样本中胎儿游离</w:t>
            </w:r>
            <w:r>
              <w:rPr>
                <w:rFonts w:ascii="Times New Roman" w:hAnsi="Times New Roman" w:cs="Times New Roman" w:eastAsia="Times New Roman" w:hint="default"/>
                <w:sz w:val="18"/>
                <w:szCs w:val="18"/>
              </w:rPr>
              <w:t>DNA</w:t>
            </w:r>
            <w:r>
              <w:rPr>
                <w:rFonts w:ascii="宋体" w:hAnsi="宋体" w:cs="宋体" w:eastAsia="宋体" w:hint="default"/>
                <w:sz w:val="18"/>
                <w:szCs w:val="18"/>
              </w:rPr>
              <w:t>的</w:t>
            </w:r>
            <w:r>
              <w:rPr>
                <w:rFonts w:ascii="Times New Roman" w:hAnsi="Times New Roman" w:cs="Times New Roman" w:eastAsia="Times New Roman" w:hint="default"/>
                <w:sz w:val="18"/>
                <w:szCs w:val="18"/>
              </w:rPr>
              <w:t>21</w:t>
            </w:r>
            <w:r>
              <w:rPr>
                <w:rFonts w:ascii="宋体" w:hAnsi="宋体" w:cs="宋体" w:eastAsia="宋体" w:hint="default"/>
                <w:sz w:val="18"/>
                <w:szCs w:val="18"/>
              </w:rPr>
              <w:t>号、</w:t>
            </w:r>
            <w:r>
              <w:rPr>
                <w:rFonts w:ascii="Times New Roman" w:hAnsi="Times New Roman" w:cs="Times New Roman" w:eastAsia="Times New Roman" w:hint="default"/>
                <w:sz w:val="18"/>
                <w:szCs w:val="18"/>
              </w:rPr>
              <w:t>18</w:t>
            </w:r>
            <w:r>
              <w:rPr>
                <w:rFonts w:ascii="宋体" w:hAnsi="宋体" w:cs="宋体" w:eastAsia="宋体" w:hint="default"/>
                <w:sz w:val="18"/>
                <w:szCs w:val="18"/>
              </w:rPr>
              <w:t>号及</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号染色体数量的差异，对胎儿染色体非 整倍体疾病</w:t>
            </w:r>
            <w:r>
              <w:rPr>
                <w:rFonts w:ascii="Times New Roman" w:hAnsi="Times New Roman" w:cs="Times New Roman" w:eastAsia="Times New Roman" w:hint="default"/>
                <w:sz w:val="18"/>
                <w:szCs w:val="18"/>
              </w:rPr>
              <w:t>21-</w:t>
            </w:r>
            <w:r>
              <w:rPr>
                <w:rFonts w:ascii="宋体" w:hAnsi="宋体" w:cs="宋体" w:eastAsia="宋体" w:hint="default"/>
                <w:sz w:val="18"/>
                <w:szCs w:val="18"/>
              </w:rPr>
              <w:t>三体综合征、</w:t>
            </w:r>
            <w:r>
              <w:rPr>
                <w:rFonts w:ascii="Times New Roman" w:hAnsi="Times New Roman" w:cs="Times New Roman" w:eastAsia="Times New Roman" w:hint="default"/>
                <w:sz w:val="18"/>
                <w:szCs w:val="18"/>
              </w:rPr>
              <w:t>18-</w:t>
            </w:r>
            <w:r>
              <w:rPr>
                <w:rFonts w:ascii="宋体" w:hAnsi="宋体" w:cs="宋体" w:eastAsia="宋体" w:hint="default"/>
                <w:sz w:val="18"/>
                <w:szCs w:val="18"/>
              </w:rPr>
              <w:t>三体综合 征和</w:t>
            </w:r>
            <w:r>
              <w:rPr>
                <w:rFonts w:ascii="Times New Roman" w:hAnsi="Times New Roman" w:cs="Times New Roman" w:eastAsia="Times New Roman" w:hint="default"/>
                <w:sz w:val="18"/>
                <w:szCs w:val="18"/>
              </w:rPr>
              <w:t>13-</w:t>
            </w:r>
            <w:r>
              <w:rPr>
                <w:rFonts w:ascii="宋体" w:hAnsi="宋体" w:cs="宋体" w:eastAsia="宋体" w:hint="default"/>
                <w:sz w:val="18"/>
                <w:szCs w:val="18"/>
              </w:rPr>
              <w:t>三体综合征进行产前辅助判断。</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2019/6/29</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131"/>
              <w:ind w:left="136" w:right="138" w:hanging="2"/>
              <w:jc w:val="center"/>
              <w:rPr>
                <w:rFonts w:ascii="宋体" w:hAnsi="宋体" w:cs="宋体" w:eastAsia="宋体" w:hint="default"/>
                <w:sz w:val="18"/>
                <w:szCs w:val="18"/>
              </w:rPr>
            </w:pPr>
            <w:r>
              <w:rPr>
                <w:rFonts w:ascii="宋体" w:hAnsi="宋体" w:cs="宋体" w:eastAsia="宋体" w:hint="default"/>
                <w:sz w:val="18"/>
                <w:szCs w:val="18"/>
              </w:rPr>
              <w:t>因测序平台 升级，产品 已于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 </w:t>
            </w:r>
            <w:r>
              <w:rPr>
                <w:rFonts w:ascii="宋体" w:hAnsi="宋体" w:cs="宋体" w:eastAsia="宋体" w:hint="default"/>
                <w:sz w:val="18"/>
                <w:szCs w:val="18"/>
              </w:rPr>
              <w:t>月按规定办 理自行注销 完毕</w:t>
            </w:r>
          </w:p>
        </w:tc>
      </w:tr>
      <w:tr>
        <w:trPr>
          <w:trHeight w:val="1702"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22"/>
              <w:jc w:val="right"/>
              <w:rPr>
                <w:rFonts w:ascii="Times New Roman" w:hAnsi="Times New Roman" w:cs="Times New Roman" w:eastAsia="Times New Roman" w:hint="default"/>
                <w:sz w:val="18"/>
                <w:szCs w:val="18"/>
              </w:rPr>
            </w:pPr>
            <w:r>
              <w:rPr>
                <w:rFonts w:ascii="Times New Roman"/>
                <w:sz w:val="18"/>
              </w:rPr>
              <w:t>107</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胎儿染色体非整倍体</w:t>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T21,T18,T13)</w:t>
            </w:r>
            <w:r>
              <w:rPr>
                <w:rFonts w:ascii="宋体" w:hAnsi="宋体" w:cs="宋体" w:eastAsia="宋体" w:hint="default"/>
                <w:sz w:val="18"/>
                <w:szCs w:val="18"/>
              </w:rPr>
              <w:t>检测试剂</w:t>
            </w:r>
          </w:p>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盒（半导体测序法）</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133"/>
              <w:ind w:left="96" w:right="103"/>
              <w:jc w:val="left"/>
              <w:rPr>
                <w:rFonts w:ascii="宋体" w:hAnsi="宋体" w:cs="宋体" w:eastAsia="宋体" w:hint="default"/>
                <w:sz w:val="18"/>
                <w:szCs w:val="18"/>
              </w:rPr>
            </w:pPr>
            <w:r>
              <w:rPr>
                <w:rFonts w:ascii="宋体" w:hAnsi="宋体" w:cs="宋体" w:eastAsia="宋体" w:hint="default"/>
                <w:sz w:val="18"/>
                <w:szCs w:val="18"/>
              </w:rPr>
              <w:t>该产品用于检测孕周</w:t>
            </w:r>
            <w:r>
              <w:rPr>
                <w:rFonts w:ascii="Times New Roman" w:hAnsi="Times New Roman" w:cs="Times New Roman" w:eastAsia="Times New Roman" w:hint="default"/>
                <w:sz w:val="18"/>
                <w:szCs w:val="18"/>
              </w:rPr>
              <w:t>12</w:t>
            </w:r>
            <w:r>
              <w:rPr>
                <w:rFonts w:ascii="宋体" w:hAnsi="宋体" w:cs="宋体" w:eastAsia="宋体" w:hint="default"/>
                <w:sz w:val="18"/>
                <w:szCs w:val="18"/>
              </w:rPr>
              <w:t>周以上的高危孕 妇外周血血浆中的游离</w:t>
            </w:r>
            <w:r>
              <w:rPr>
                <w:rFonts w:ascii="Times New Roman" w:hAnsi="Times New Roman" w:cs="Times New Roman" w:eastAsia="Times New Roman" w:hint="default"/>
                <w:sz w:val="18"/>
                <w:szCs w:val="18"/>
              </w:rPr>
              <w:t>DNA</w:t>
            </w:r>
            <w:r>
              <w:rPr>
                <w:rFonts w:ascii="宋体" w:hAnsi="宋体" w:cs="宋体" w:eastAsia="宋体" w:hint="default"/>
                <w:sz w:val="18"/>
                <w:szCs w:val="18"/>
              </w:rPr>
              <w:t>，通过分析 样本中胎儿游离</w:t>
            </w:r>
            <w:r>
              <w:rPr>
                <w:rFonts w:ascii="Times New Roman" w:hAnsi="Times New Roman" w:cs="Times New Roman" w:eastAsia="Times New Roman" w:hint="default"/>
                <w:sz w:val="18"/>
                <w:szCs w:val="18"/>
              </w:rPr>
              <w:t>DNA</w:t>
            </w:r>
            <w:r>
              <w:rPr>
                <w:rFonts w:ascii="宋体" w:hAnsi="宋体" w:cs="宋体" w:eastAsia="宋体" w:hint="default"/>
                <w:sz w:val="18"/>
                <w:szCs w:val="18"/>
              </w:rPr>
              <w:t>的</w:t>
            </w:r>
            <w:r>
              <w:rPr>
                <w:rFonts w:ascii="Times New Roman" w:hAnsi="Times New Roman" w:cs="Times New Roman" w:eastAsia="Times New Roman" w:hint="default"/>
                <w:sz w:val="18"/>
                <w:szCs w:val="18"/>
              </w:rPr>
              <w:t>21</w:t>
            </w:r>
            <w:r>
              <w:rPr>
                <w:rFonts w:ascii="宋体" w:hAnsi="宋体" w:cs="宋体" w:eastAsia="宋体" w:hint="default"/>
                <w:sz w:val="18"/>
                <w:szCs w:val="18"/>
              </w:rPr>
              <w:t>号、</w:t>
            </w:r>
            <w:r>
              <w:rPr>
                <w:rFonts w:ascii="Times New Roman" w:hAnsi="Times New Roman" w:cs="Times New Roman" w:eastAsia="Times New Roman" w:hint="default"/>
                <w:sz w:val="18"/>
                <w:szCs w:val="18"/>
              </w:rPr>
              <w:t>18</w:t>
            </w:r>
            <w:r>
              <w:rPr>
                <w:rFonts w:ascii="宋体" w:hAnsi="宋体" w:cs="宋体" w:eastAsia="宋体" w:hint="default"/>
                <w:sz w:val="18"/>
                <w:szCs w:val="18"/>
              </w:rPr>
              <w:t>号及</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号染色体数量的差异，对胎儿染色体非 整倍体疾病</w:t>
            </w:r>
            <w:r>
              <w:rPr>
                <w:rFonts w:ascii="Times New Roman" w:hAnsi="Times New Roman" w:cs="Times New Roman" w:eastAsia="Times New Roman" w:hint="default"/>
                <w:sz w:val="18"/>
                <w:szCs w:val="18"/>
              </w:rPr>
              <w:t>21-</w:t>
            </w:r>
            <w:r>
              <w:rPr>
                <w:rFonts w:ascii="宋体" w:hAnsi="宋体" w:cs="宋体" w:eastAsia="宋体" w:hint="default"/>
                <w:sz w:val="18"/>
                <w:szCs w:val="18"/>
              </w:rPr>
              <w:t>三体综合征、</w:t>
            </w:r>
            <w:r>
              <w:rPr>
                <w:rFonts w:ascii="Times New Roman" w:hAnsi="Times New Roman" w:cs="Times New Roman" w:eastAsia="Times New Roman" w:hint="default"/>
                <w:sz w:val="18"/>
                <w:szCs w:val="18"/>
              </w:rPr>
              <w:t>18-</w:t>
            </w:r>
            <w:r>
              <w:rPr>
                <w:rFonts w:ascii="宋体" w:hAnsi="宋体" w:cs="宋体" w:eastAsia="宋体" w:hint="default"/>
                <w:sz w:val="18"/>
                <w:szCs w:val="18"/>
              </w:rPr>
              <w:t>三体综合</w:t>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2019/6/29</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133"/>
              <w:ind w:left="136" w:right="138" w:firstLine="45"/>
              <w:jc w:val="both"/>
              <w:rPr>
                <w:rFonts w:ascii="宋体" w:hAnsi="宋体" w:cs="宋体" w:eastAsia="宋体" w:hint="default"/>
                <w:sz w:val="18"/>
                <w:szCs w:val="18"/>
              </w:rPr>
            </w:pPr>
            <w:r>
              <w:rPr>
                <w:rFonts w:ascii="宋体" w:hAnsi="宋体" w:cs="宋体" w:eastAsia="宋体" w:hint="default"/>
                <w:sz w:val="18"/>
                <w:szCs w:val="18"/>
              </w:rPr>
              <w:t>因测序平台 升级，产品 已于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 </w:t>
            </w:r>
            <w:r>
              <w:rPr>
                <w:rFonts w:ascii="宋体" w:hAnsi="宋体" w:cs="宋体" w:eastAsia="宋体" w:hint="default"/>
                <w:sz w:val="18"/>
                <w:szCs w:val="18"/>
              </w:rPr>
              <w:t>月按规定办 理自行注销</w:t>
            </w:r>
          </w:p>
        </w:tc>
      </w:tr>
    </w:tbl>
    <w:p>
      <w:pPr>
        <w:spacing w:after="0" w:line="314" w:lineRule="auto"/>
        <w:jc w:val="both"/>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543"/>
        <w:gridCol w:w="2269"/>
        <w:gridCol w:w="710"/>
        <w:gridCol w:w="3401"/>
        <w:gridCol w:w="1381"/>
        <w:gridCol w:w="1289"/>
      </w:tblGrid>
      <w:tr>
        <w:trPr>
          <w:trHeight w:val="884" w:hRule="exact"/>
        </w:trPr>
        <w:tc>
          <w:tcPr>
            <w:tcW w:w="54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70" w:right="17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1"/>
              <w:ind w:left="163" w:right="161"/>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89"/>
                <w:sz w:val="18"/>
                <w:szCs w:val="18"/>
              </w:rPr>
              <w:t> </w:t>
            </w:r>
            <w:r>
              <w:rPr>
                <w:rFonts w:ascii="宋体" w:hAnsi="宋体" w:cs="宋体" w:eastAsia="宋体" w:hint="default"/>
                <w:b/>
                <w:bCs/>
                <w:sz w:val="18"/>
                <w:szCs w:val="18"/>
              </w:rPr>
              <w:t>分类</w:t>
            </w:r>
            <w:r>
              <w:rPr>
                <w:rFonts w:ascii="宋体" w:hAnsi="宋体" w:cs="宋体" w:eastAsia="宋体" w:hint="default"/>
                <w:sz w:val="18"/>
                <w:szCs w:val="18"/>
              </w:rPr>
            </w: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sz w:val="18"/>
                <w:szCs w:val="18"/>
              </w:rPr>
              <w:t>注册证有效期</w:t>
            </w:r>
            <w:r>
              <w:rPr>
                <w:rFonts w:ascii="宋体" w:hAnsi="宋体" w:cs="宋体" w:eastAsia="宋体" w:hint="default"/>
                <w:sz w:val="18"/>
                <w:szCs w:val="18"/>
              </w:rPr>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451"/>
              <w:jc w:val="righ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54" w:hRule="exact"/>
        </w:trPr>
        <w:tc>
          <w:tcPr>
            <w:tcW w:w="543" w:type="dxa"/>
            <w:tcBorders>
              <w:top w:val="single" w:sz="8" w:space="0" w:color="000000"/>
              <w:left w:val="single" w:sz="8" w:space="0" w:color="000000"/>
              <w:bottom w:val="single" w:sz="8" w:space="0" w:color="000000"/>
              <w:right w:val="single" w:sz="8" w:space="0" w:color="000000"/>
            </w:tcBorders>
          </w:tcPr>
          <w:p>
            <w:pPr/>
          </w:p>
        </w:tc>
        <w:tc>
          <w:tcPr>
            <w:tcW w:w="2269" w:type="dxa"/>
            <w:tcBorders>
              <w:top w:val="single" w:sz="8" w:space="0" w:color="000000"/>
              <w:left w:val="single" w:sz="8" w:space="0" w:color="000000"/>
              <w:bottom w:val="single" w:sz="8" w:space="0" w:color="000000"/>
              <w:right w:val="single" w:sz="8" w:space="0" w:color="000000"/>
            </w:tcBorders>
          </w:tcPr>
          <w:p>
            <w:pPr/>
          </w:p>
        </w:tc>
        <w:tc>
          <w:tcPr>
            <w:tcW w:w="710" w:type="dxa"/>
            <w:tcBorders>
              <w:top w:val="single" w:sz="8" w:space="0" w:color="000000"/>
              <w:left w:val="single" w:sz="8" w:space="0" w:color="000000"/>
              <w:bottom w:val="single" w:sz="8" w:space="0" w:color="000000"/>
              <w:right w:val="single" w:sz="8" w:space="0" w:color="000000"/>
            </w:tcBorders>
          </w:tcPr>
          <w:p>
            <w:pPr/>
          </w:p>
        </w:tc>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67"/>
              <w:jc w:val="center"/>
              <w:rPr>
                <w:rFonts w:ascii="宋体" w:hAnsi="宋体" w:cs="宋体" w:eastAsia="宋体" w:hint="default"/>
                <w:sz w:val="18"/>
                <w:szCs w:val="18"/>
              </w:rPr>
            </w:pPr>
            <w:r>
              <w:rPr>
                <w:rFonts w:ascii="宋体" w:hAnsi="宋体" w:cs="宋体" w:eastAsia="宋体" w:hint="default"/>
                <w:sz w:val="18"/>
                <w:szCs w:val="18"/>
              </w:rPr>
              <w:t>征和</w:t>
            </w:r>
            <w:r>
              <w:rPr>
                <w:rFonts w:ascii="Times New Roman" w:hAnsi="Times New Roman" w:cs="Times New Roman" w:eastAsia="Times New Roman" w:hint="default"/>
                <w:sz w:val="18"/>
                <w:szCs w:val="18"/>
              </w:rPr>
              <w:t>13-</w:t>
            </w:r>
            <w:r>
              <w:rPr>
                <w:rFonts w:ascii="宋体" w:hAnsi="宋体" w:cs="宋体" w:eastAsia="宋体" w:hint="default"/>
                <w:sz w:val="18"/>
                <w:szCs w:val="18"/>
              </w:rPr>
              <w:t>三体综合征进行产前辅助判断。</w:t>
            </w:r>
          </w:p>
        </w:tc>
        <w:tc>
          <w:tcPr>
            <w:tcW w:w="1381" w:type="dxa"/>
            <w:tcBorders>
              <w:top w:val="single" w:sz="8" w:space="0" w:color="000000"/>
              <w:left w:val="single" w:sz="8" w:space="0" w:color="000000"/>
              <w:bottom w:val="single" w:sz="8" w:space="0" w:color="000000"/>
              <w:right w:val="single" w:sz="8" w:space="0" w:color="000000"/>
            </w:tcBorders>
          </w:tcPr>
          <w:p>
            <w:pP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456"/>
              <w:jc w:val="right"/>
              <w:rPr>
                <w:rFonts w:ascii="宋体" w:hAnsi="宋体" w:cs="宋体" w:eastAsia="宋体" w:hint="default"/>
                <w:sz w:val="18"/>
                <w:szCs w:val="18"/>
              </w:rPr>
            </w:pPr>
            <w:r>
              <w:rPr>
                <w:rFonts w:ascii="宋体" w:hAnsi="宋体" w:cs="宋体" w:eastAsia="宋体" w:hint="default"/>
                <w:sz w:val="18"/>
                <w:szCs w:val="18"/>
              </w:rPr>
              <w:t>完毕</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p>
      <w:pPr>
        <w:pStyle w:val="Heading4"/>
        <w:spacing w:line="300" w:lineRule="auto"/>
        <w:ind w:right="141"/>
        <w:jc w:val="left"/>
        <w:rPr>
          <w:b w:val="0"/>
          <w:bCs w:val="0"/>
        </w:rPr>
      </w:pPr>
      <w:r>
        <w:rPr>
          <w:rFonts w:ascii="Times New Roman" w:hAnsi="Times New Roman" w:cs="Times New Roman" w:eastAsia="Times New Roman" w:hint="default"/>
          <w:w w:val="95"/>
        </w:rPr>
        <w:t>3</w:t>
      </w:r>
      <w:r>
        <w:rPr>
          <w:w w:val="95"/>
        </w:rPr>
        <w:t>、本报告期末（</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日）及上年同期期末（</w:t>
      </w: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日）的医疗器械注册证的数量，以及报告期内的新增与  </w:t>
      </w:r>
      <w:r>
        <w:rPr>
          <w:spacing w:val="17"/>
          <w:w w:val="95"/>
        </w:rPr>
        <w:t> </w:t>
      </w:r>
      <w:r>
        <w:rPr>
          <w:spacing w:val="17"/>
          <w:w w:val="95"/>
        </w:rPr>
      </w:r>
      <w:r>
        <w:rPr/>
        <w:t>失效数量</w:t>
      </w:r>
      <w:r>
        <w:rPr>
          <w:b w:val="0"/>
          <w:bCs w:val="0"/>
        </w:rPr>
      </w:r>
    </w:p>
    <w:p>
      <w:pPr>
        <w:spacing w:line="240" w:lineRule="auto" w:before="5"/>
        <w:rPr>
          <w:rFonts w:ascii="宋体" w:hAnsi="宋体" w:cs="宋体" w:eastAsia="宋体" w:hint="default"/>
          <w:b/>
          <w:bCs/>
          <w:sz w:val="6"/>
          <w:szCs w:val="6"/>
        </w:rPr>
      </w:pPr>
    </w:p>
    <w:tbl>
      <w:tblPr>
        <w:tblW w:w="0" w:type="auto"/>
        <w:jc w:val="left"/>
        <w:tblInd w:w="174" w:type="dxa"/>
        <w:tblLayout w:type="fixed"/>
        <w:tblCellMar>
          <w:top w:w="0" w:type="dxa"/>
          <w:left w:w="0" w:type="dxa"/>
          <w:bottom w:w="0" w:type="dxa"/>
          <w:right w:w="0" w:type="dxa"/>
        </w:tblCellMar>
        <w:tblLook w:val="01E0"/>
      </w:tblPr>
      <w:tblGrid>
        <w:gridCol w:w="567"/>
        <w:gridCol w:w="3121"/>
        <w:gridCol w:w="1832"/>
        <w:gridCol w:w="1985"/>
        <w:gridCol w:w="992"/>
        <w:gridCol w:w="1135"/>
      </w:tblGrid>
      <w:tr>
        <w:trPr>
          <w:trHeight w:val="905" w:hRule="exact"/>
        </w:trPr>
        <w:tc>
          <w:tcPr>
            <w:tcW w:w="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83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2"/>
              <w:ind w:left="67" w:right="1" w:hanging="65"/>
              <w:jc w:val="left"/>
              <w:rPr>
                <w:rFonts w:ascii="宋体" w:hAnsi="宋体" w:cs="宋体" w:eastAsia="宋体" w:hint="default"/>
                <w:sz w:val="18"/>
                <w:szCs w:val="18"/>
              </w:rPr>
            </w:pPr>
            <w:r>
              <w:rPr>
                <w:rFonts w:ascii="宋体" w:hAnsi="宋体" w:cs="宋体" w:eastAsia="宋体" w:hint="default"/>
                <w:b/>
                <w:bCs/>
                <w:sz w:val="18"/>
                <w:szCs w:val="18"/>
              </w:rPr>
              <w:t>本报告期末医疗器械注</w:t>
            </w:r>
            <w:r>
              <w:rPr>
                <w:rFonts w:ascii="宋体" w:hAnsi="宋体" w:cs="宋体" w:eastAsia="宋体" w:hint="default"/>
                <w:b/>
                <w:bCs/>
                <w:w w:val="99"/>
                <w:sz w:val="18"/>
                <w:szCs w:val="18"/>
              </w:rPr>
              <w:t> </w:t>
            </w:r>
            <w:r>
              <w:rPr>
                <w:rFonts w:ascii="宋体" w:hAnsi="宋体" w:cs="宋体" w:eastAsia="宋体" w:hint="default"/>
                <w:b/>
                <w:bCs/>
                <w:sz w:val="18"/>
                <w:szCs w:val="18"/>
              </w:rPr>
              <w:t>册证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备案凭证的数量</w:t>
            </w:r>
            <w:r>
              <w:rPr>
                <w:rFonts w:ascii="宋体" w:hAnsi="宋体" w:cs="宋体" w:eastAsia="宋体" w:hint="default"/>
                <w:sz w:val="18"/>
                <w:szCs w:val="18"/>
              </w:rPr>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2"/>
              <w:ind w:left="144" w:right="77" w:hanging="65"/>
              <w:jc w:val="left"/>
              <w:rPr>
                <w:rFonts w:ascii="宋体" w:hAnsi="宋体" w:cs="宋体" w:eastAsia="宋体" w:hint="default"/>
                <w:sz w:val="18"/>
                <w:szCs w:val="18"/>
              </w:rPr>
            </w:pPr>
            <w:r>
              <w:rPr>
                <w:rFonts w:ascii="宋体" w:hAnsi="宋体" w:cs="宋体" w:eastAsia="宋体" w:hint="default"/>
                <w:b/>
                <w:bCs/>
                <w:sz w:val="18"/>
                <w:szCs w:val="18"/>
              </w:rPr>
              <w:t>上年同期的医疗器械注</w:t>
            </w:r>
            <w:r>
              <w:rPr>
                <w:rFonts w:ascii="宋体" w:hAnsi="宋体" w:cs="宋体" w:eastAsia="宋体" w:hint="default"/>
                <w:b/>
                <w:bCs/>
                <w:w w:val="99"/>
                <w:sz w:val="18"/>
                <w:szCs w:val="18"/>
              </w:rPr>
              <w:t> </w:t>
            </w:r>
            <w:r>
              <w:rPr>
                <w:rFonts w:ascii="宋体" w:hAnsi="宋体" w:cs="宋体" w:eastAsia="宋体" w:hint="default"/>
                <w:b/>
                <w:bCs/>
                <w:sz w:val="18"/>
                <w:szCs w:val="18"/>
              </w:rPr>
              <w:t>册证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备案凭证的数量</w:t>
            </w:r>
            <w:r>
              <w:rPr>
                <w:rFonts w:ascii="宋体" w:hAnsi="宋体" w:cs="宋体" w:eastAsia="宋体" w:hint="default"/>
                <w:sz w:val="18"/>
                <w:szCs w:val="18"/>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2"/>
              <w:ind w:left="124" w:right="34" w:hanging="92"/>
              <w:jc w:val="left"/>
              <w:rPr>
                <w:rFonts w:ascii="宋体" w:hAnsi="宋体" w:cs="宋体" w:eastAsia="宋体" w:hint="default"/>
                <w:sz w:val="18"/>
                <w:szCs w:val="18"/>
              </w:rPr>
            </w:pPr>
            <w:r>
              <w:rPr>
                <w:rFonts w:ascii="宋体" w:hAnsi="宋体" w:cs="宋体" w:eastAsia="宋体" w:hint="default"/>
                <w:b/>
                <w:bCs/>
                <w:sz w:val="18"/>
                <w:szCs w:val="18"/>
              </w:rPr>
              <w:t>报告期内的</w:t>
            </w:r>
            <w:r>
              <w:rPr>
                <w:rFonts w:ascii="宋体" w:hAnsi="宋体" w:cs="宋体" w:eastAsia="宋体" w:hint="default"/>
                <w:b/>
                <w:bCs/>
                <w:w w:val="99"/>
                <w:sz w:val="18"/>
                <w:szCs w:val="18"/>
              </w:rPr>
              <w:t> </w:t>
            </w:r>
            <w:r>
              <w:rPr>
                <w:rFonts w:ascii="宋体" w:hAnsi="宋体" w:cs="宋体" w:eastAsia="宋体" w:hint="default"/>
                <w:b/>
                <w:bCs/>
                <w:sz w:val="18"/>
                <w:szCs w:val="18"/>
              </w:rPr>
              <w:t>新增数量</w:t>
            </w:r>
            <w:r>
              <w:rPr>
                <w:rFonts w:ascii="宋体" w:hAnsi="宋体" w:cs="宋体" w:eastAsia="宋体" w:hint="default"/>
                <w:sz w:val="18"/>
                <w:szCs w:val="18"/>
              </w:rPr>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2"/>
              <w:ind w:left="288" w:right="12" w:hanging="272"/>
              <w:jc w:val="left"/>
              <w:rPr>
                <w:rFonts w:ascii="宋体" w:hAnsi="宋体" w:cs="宋体" w:eastAsia="宋体" w:hint="default"/>
                <w:sz w:val="18"/>
                <w:szCs w:val="18"/>
              </w:rPr>
            </w:pPr>
            <w:r>
              <w:rPr>
                <w:rFonts w:ascii="宋体" w:hAnsi="宋体" w:cs="宋体" w:eastAsia="宋体" w:hint="default"/>
                <w:b/>
                <w:bCs/>
                <w:sz w:val="18"/>
                <w:szCs w:val="18"/>
              </w:rPr>
              <w:t>报告期内的失</w:t>
            </w:r>
            <w:r>
              <w:rPr>
                <w:rFonts w:ascii="宋体" w:hAnsi="宋体" w:cs="宋体" w:eastAsia="宋体" w:hint="default"/>
                <w:b/>
                <w:bCs/>
                <w:w w:val="99"/>
                <w:sz w:val="18"/>
                <w:szCs w:val="18"/>
              </w:rPr>
              <w:t> </w:t>
            </w:r>
            <w:r>
              <w:rPr>
                <w:rFonts w:ascii="宋体" w:hAnsi="宋体" w:cs="宋体" w:eastAsia="宋体" w:hint="default"/>
                <w:b/>
                <w:bCs/>
                <w:sz w:val="18"/>
                <w:szCs w:val="18"/>
              </w:rPr>
              <w:t>效数量</w:t>
            </w:r>
            <w:r>
              <w:rPr>
                <w:rFonts w:ascii="宋体" w:hAnsi="宋体" w:cs="宋体" w:eastAsia="宋体" w:hint="default"/>
                <w:sz w:val="18"/>
                <w:szCs w:val="18"/>
              </w:rPr>
            </w:r>
          </w:p>
        </w:tc>
      </w:tr>
      <w:tr>
        <w:trPr>
          <w:trHeight w:val="593" w:hRule="exact"/>
        </w:trPr>
        <w:tc>
          <w:tcPr>
            <w:tcW w:w="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华大基因生物科技（深圳）有限公司</w:t>
            </w:r>
          </w:p>
        </w:tc>
        <w:tc>
          <w:tcPr>
            <w:tcW w:w="18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861"/>
              <w:jc w:val="right"/>
              <w:rPr>
                <w:rFonts w:ascii="Times New Roman" w:hAnsi="Times New Roman" w:cs="Times New Roman" w:eastAsia="Times New Roman" w:hint="default"/>
                <w:sz w:val="18"/>
                <w:szCs w:val="18"/>
              </w:rPr>
            </w:pPr>
            <w:r>
              <w:rPr>
                <w:rFonts w:ascii="Times New Roman"/>
                <w:sz w:val="18"/>
              </w:rPr>
              <w:t>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1</w:t>
            </w:r>
          </w:p>
        </w:tc>
      </w:tr>
      <w:tr>
        <w:trPr>
          <w:trHeight w:val="590" w:hRule="exact"/>
        </w:trPr>
        <w:tc>
          <w:tcPr>
            <w:tcW w:w="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深圳华大基因生物医学工程有限公司</w:t>
            </w:r>
          </w:p>
        </w:tc>
        <w:tc>
          <w:tcPr>
            <w:tcW w:w="18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861"/>
              <w:jc w:val="right"/>
              <w:rPr>
                <w:rFonts w:ascii="Times New Roman" w:hAnsi="Times New Roman" w:cs="Times New Roman" w:eastAsia="Times New Roman" w:hint="default"/>
                <w:sz w:val="18"/>
                <w:szCs w:val="18"/>
              </w:rPr>
            </w:pPr>
            <w:r>
              <w:rPr>
                <w:rFonts w:ascii="Times New Roman"/>
                <w:sz w:val="18"/>
              </w:rPr>
              <w:t>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0</w:t>
            </w:r>
          </w:p>
        </w:tc>
      </w:tr>
      <w:tr>
        <w:trPr>
          <w:trHeight w:val="593" w:hRule="exact"/>
        </w:trPr>
        <w:tc>
          <w:tcPr>
            <w:tcW w:w="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华大生物科技（武汉）有限公司</w:t>
            </w:r>
          </w:p>
        </w:tc>
        <w:tc>
          <w:tcPr>
            <w:tcW w:w="18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813"/>
              <w:jc w:val="right"/>
              <w:rPr>
                <w:rFonts w:ascii="Times New Roman" w:hAnsi="Times New Roman" w:cs="Times New Roman" w:eastAsia="Times New Roman" w:hint="default"/>
                <w:sz w:val="18"/>
                <w:szCs w:val="18"/>
              </w:rPr>
            </w:pPr>
            <w:r>
              <w:rPr>
                <w:rFonts w:ascii="Times New Roman"/>
                <w:sz w:val="18"/>
              </w:rPr>
              <w:t>18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3</w:t>
            </w:r>
          </w:p>
        </w:tc>
      </w:tr>
      <w:tr>
        <w:trPr>
          <w:trHeight w:val="593" w:hRule="exact"/>
        </w:trPr>
        <w:tc>
          <w:tcPr>
            <w:tcW w:w="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武汉华大基因生物医学工程有限公司</w:t>
            </w:r>
          </w:p>
        </w:tc>
        <w:tc>
          <w:tcPr>
            <w:tcW w:w="18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861"/>
              <w:jc w:val="right"/>
              <w:rPr>
                <w:rFonts w:ascii="Times New Roman" w:hAnsi="Times New Roman" w:cs="Times New Roman" w:eastAsia="Times New Roman" w:hint="default"/>
                <w:sz w:val="18"/>
                <w:szCs w:val="18"/>
              </w:rPr>
            </w:pPr>
            <w:r>
              <w:rPr>
                <w:rFonts w:ascii="Times New Roman"/>
                <w:sz w:val="18"/>
              </w:rPr>
              <w:t>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0</w:t>
            </w:r>
          </w:p>
        </w:tc>
      </w:tr>
      <w:tr>
        <w:trPr>
          <w:trHeight w:val="593" w:hRule="exact"/>
        </w:trPr>
        <w:tc>
          <w:tcPr>
            <w:tcW w:w="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北京华大吉比爱生物技术有限公司</w:t>
            </w:r>
          </w:p>
        </w:tc>
        <w:tc>
          <w:tcPr>
            <w:tcW w:w="18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813"/>
              <w:jc w:val="right"/>
              <w:rPr>
                <w:rFonts w:ascii="Times New Roman" w:hAnsi="Times New Roman" w:cs="Times New Roman" w:eastAsia="Times New Roman" w:hint="default"/>
                <w:sz w:val="18"/>
                <w:szCs w:val="18"/>
              </w:rPr>
            </w:pPr>
            <w:r>
              <w:rPr>
                <w:rFonts w:ascii="Times New Roman"/>
                <w:sz w:val="18"/>
              </w:rPr>
              <w:t>79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74</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41"/>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1,928,006,606.58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1,634,064,014.35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17.99%</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1,701,435,758.60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1,399,990,390.18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21.53%</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226,570,847.98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234,073,624.17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5,770,890,852.75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4,624,260,674.75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24.80%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6,163,657,457.78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4,546,156,674.88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35.58%</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-392,766,605.03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78,103,999.87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-602.88%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502,195,200.00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16,639.84%</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129,646,289.75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96,271,668.40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34.67%</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372,548,910.25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-93,271,668.40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-499.42%</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198,001,778.14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232,038,535.66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-14.67%</w:t>
            </w:r>
          </w:p>
        </w:tc>
      </w:tr>
    </w:tbl>
    <w:p>
      <w:pPr>
        <w:pStyle w:val="BodyText"/>
        <w:spacing w:line="240" w:lineRule="auto" w:before="51"/>
        <w:ind w:right="141"/>
        <w:jc w:val="left"/>
      </w:pPr>
      <w:r>
        <w:rPr/>
        <w:t>相关数据同比发生重大变动的主要影响因素说明</w:t>
      </w:r>
    </w:p>
    <w:p>
      <w:pPr>
        <w:spacing w:after="0" w:line="240" w:lineRule="auto"/>
        <w:jc w:val="left"/>
        <w:sectPr>
          <w:pgSz w:w="11910" w:h="16840"/>
          <w:pgMar w:header="880" w:footer="974" w:top="1100" w:bottom="1160" w:left="980" w:right="980"/>
        </w:sectPr>
      </w:pPr>
    </w:p>
    <w:p>
      <w:pPr>
        <w:spacing w:line="240" w:lineRule="auto" w:before="0"/>
        <w:rPr>
          <w:rFonts w:ascii="宋体" w:hAnsi="宋体" w:cs="宋体" w:eastAsia="宋体" w:hint="default"/>
          <w:sz w:val="22"/>
          <w:szCs w:val="22"/>
        </w:rPr>
      </w:pPr>
    </w:p>
    <w:p>
      <w:pPr>
        <w:pStyle w:val="BodyText"/>
        <w:spacing w:line="240" w:lineRule="auto" w:before="44"/>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left="693" w:right="217" w:hanging="269"/>
        <w:jc w:val="left"/>
      </w:pPr>
      <w:r>
        <w:rPr>
          <w:rFonts w:ascii="Times New Roman" w:hAnsi="Times New Roman" w:cs="Times New Roman" w:eastAsia="Times New Roman" w:hint="default"/>
        </w:rPr>
        <w:t>1</w:t>
      </w:r>
      <w:r>
        <w:rPr/>
        <w:t>、投资活动现金流出较上年同期增加</w:t>
      </w:r>
      <w:r>
        <w:rPr>
          <w:rFonts w:ascii="Times New Roman" w:hAnsi="Times New Roman" w:cs="Times New Roman" w:eastAsia="Times New Roman" w:hint="default"/>
        </w:rPr>
        <w:t>1,617,500,782.90</w:t>
      </w:r>
      <w:r>
        <w:rPr/>
        <w:t>元，增幅为</w:t>
      </w:r>
      <w:r>
        <w:rPr>
          <w:rFonts w:ascii="Times New Roman" w:hAnsi="Times New Roman" w:cs="Times New Roman" w:eastAsia="Times New Roman" w:hint="default"/>
        </w:rPr>
        <w:t>35.58%</w:t>
      </w:r>
      <w:r>
        <w:rPr/>
        <w:t>，主要系报告期投资理财产品增加致现金流出 增加。</w:t>
      </w:r>
    </w:p>
    <w:p>
      <w:pPr>
        <w:pStyle w:val="BodyText"/>
        <w:spacing w:line="300" w:lineRule="auto" w:before="31"/>
        <w:ind w:left="693" w:right="217" w:hanging="269"/>
        <w:jc w:val="left"/>
      </w:pPr>
      <w:r>
        <w:rPr>
          <w:rFonts w:ascii="Times New Roman" w:hAnsi="Times New Roman" w:cs="Times New Roman" w:eastAsia="Times New Roman" w:hint="default"/>
        </w:rPr>
        <w:t>2</w:t>
      </w:r>
      <w:r>
        <w:rPr/>
        <w:t>、筹资活动现金流入较上年同期增加</w:t>
      </w:r>
      <w:r>
        <w:rPr>
          <w:rFonts w:ascii="Times New Roman" w:hAnsi="Times New Roman" w:cs="Times New Roman" w:eastAsia="Times New Roman" w:hint="default"/>
        </w:rPr>
        <w:t>499,195,200.00</w:t>
      </w:r>
      <w:r>
        <w:rPr/>
        <w:t>元，增幅为</w:t>
      </w:r>
      <w:r>
        <w:rPr>
          <w:rFonts w:ascii="Times New Roman" w:hAnsi="Times New Roman" w:cs="Times New Roman" w:eastAsia="Times New Roman" w:hint="default"/>
        </w:rPr>
        <w:t>16,639.84%</w:t>
      </w:r>
      <w:r>
        <w:rPr/>
        <w:t>，主要系报告期首次公开发行股票募集资金 到位。</w:t>
      </w:r>
    </w:p>
    <w:p>
      <w:pPr>
        <w:pStyle w:val="BodyText"/>
        <w:spacing w:line="300" w:lineRule="auto" w:before="31"/>
        <w:ind w:left="693" w:right="262" w:hanging="269"/>
        <w:jc w:val="left"/>
      </w:pPr>
      <w:r>
        <w:rPr>
          <w:rFonts w:ascii="Times New Roman" w:hAnsi="Times New Roman" w:cs="Times New Roman" w:eastAsia="Times New Roman" w:hint="default"/>
        </w:rPr>
        <w:t>3</w:t>
      </w:r>
      <w:r>
        <w:rPr/>
        <w:t>、筹资活动现金流出较上年同期增加</w:t>
      </w:r>
      <w:r>
        <w:rPr>
          <w:rFonts w:ascii="Times New Roman" w:hAnsi="Times New Roman" w:cs="Times New Roman" w:eastAsia="Times New Roman" w:hint="default"/>
        </w:rPr>
        <w:t>33,374,621.35</w:t>
      </w:r>
      <w:r>
        <w:rPr/>
        <w:t>元，增幅为</w:t>
      </w:r>
      <w:r>
        <w:rPr>
          <w:rFonts w:ascii="Times New Roman" w:hAnsi="Times New Roman" w:cs="Times New Roman" w:eastAsia="Times New Roman" w:hint="default"/>
        </w:rPr>
        <w:t>34.67%</w:t>
      </w:r>
      <w:r>
        <w:rPr/>
        <w:t>，主要系报告期分配股利较上年同期增加以及报 告期新增发行上市费用及相关税费。</w:t>
      </w:r>
    </w:p>
    <w:p>
      <w:pPr>
        <w:pStyle w:val="BodyText"/>
        <w:spacing w:line="240" w:lineRule="auto" w:before="72"/>
        <w:ind w:right="141"/>
        <w:jc w:val="left"/>
      </w:pPr>
      <w:r>
        <w:rPr/>
        <w:t>报告期内公司经营活动产生的现金净流量与本年度净利润存在重大差异的原因说明</w:t>
      </w:r>
    </w:p>
    <w:p>
      <w:pPr>
        <w:pStyle w:val="BodyText"/>
        <w:spacing w:line="321" w:lineRule="auto" w:before="115"/>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本报告期经营活动产生的现金净流量为</w:t>
      </w:r>
      <w:r>
        <w:rPr>
          <w:rFonts w:ascii="Times New Roman" w:hAnsi="Times New Roman" w:cs="Times New Roman" w:eastAsia="Times New Roman" w:hint="default"/>
        </w:rPr>
        <w:t>226,570,847.98</w:t>
      </w:r>
      <w:r>
        <w:rPr/>
        <w:t>元，净利润为</w:t>
      </w:r>
      <w:r>
        <w:rPr>
          <w:rFonts w:ascii="Times New Roman" w:hAnsi="Times New Roman" w:cs="Times New Roman" w:eastAsia="Times New Roman" w:hint="default"/>
        </w:rPr>
        <w:t>423,686,096.17</w:t>
      </w:r>
      <w:r>
        <w:rPr/>
        <w:t>元，差异原因详见“第十一节财务报告现 金流量表补充资料</w:t>
      </w:r>
      <w:r>
        <w:rPr>
          <w:rFonts w:ascii="Times New Roman" w:hAnsi="Times New Roman" w:cs="Times New Roman" w:eastAsia="Times New Roman" w:hint="default"/>
        </w:rPr>
        <w:t>”</w:t>
      </w:r>
      <w:r>
        <w:rPr/>
        <w:t>附注。</w:t>
      </w:r>
    </w:p>
    <w:p>
      <w:pPr>
        <w:spacing w:line="240" w:lineRule="auto" w:before="0"/>
        <w:rPr>
          <w:rFonts w:ascii="宋体" w:hAnsi="宋体" w:cs="宋体" w:eastAsia="宋体" w:hint="default"/>
          <w:sz w:val="19"/>
          <w:szCs w:val="19"/>
        </w:rPr>
      </w:pPr>
    </w:p>
    <w:p>
      <w:pPr>
        <w:pStyle w:val="Heading2"/>
        <w:spacing w:line="240" w:lineRule="auto"/>
        <w:ind w:right="141"/>
        <w:jc w:val="left"/>
        <w:rPr>
          <w:b w:val="0"/>
          <w:bCs w:val="0"/>
        </w:rPr>
      </w:pPr>
      <w:r>
        <w:rPr/>
        <w:t>三、非主营业务情况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22"/>
        <w:gridCol w:w="1918"/>
        <w:gridCol w:w="1622"/>
        <w:gridCol w:w="2165"/>
        <w:gridCol w:w="2341"/>
      </w:tblGrid>
      <w:tr>
        <w:trPr>
          <w:trHeight w:val="40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8"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66,342,432.57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13.37%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主要系理财产品利息收入</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44,841,072.81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计提应收账款等科目资产 减值准备所致</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5,739,154.13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主要系政府补助款</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13,113,472.41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29"/>
              <w:jc w:val="left"/>
              <w:rPr>
                <w:rFonts w:ascii="宋体" w:hAnsi="宋体" w:cs="宋体" w:eastAsia="宋体" w:hint="default"/>
                <w:sz w:val="18"/>
                <w:szCs w:val="18"/>
              </w:rPr>
            </w:pPr>
            <w:r>
              <w:rPr>
                <w:rFonts w:ascii="宋体" w:hAnsi="宋体" w:cs="宋体" w:eastAsia="宋体" w:hint="default"/>
                <w:sz w:val="18"/>
                <w:szCs w:val="18"/>
              </w:rPr>
              <w:t>主要系长期资产处置损 失、和解费用</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28,128,061.08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政府补助款</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8"/>
          <w:szCs w:val="18"/>
        </w:rPr>
      </w:pPr>
    </w:p>
    <w:p>
      <w:pPr>
        <w:pStyle w:val="Heading2"/>
        <w:spacing w:line="240" w:lineRule="auto" w:before="26"/>
        <w:ind w:right="141"/>
        <w:jc w:val="left"/>
        <w:rPr>
          <w:b w:val="0"/>
          <w:bCs w:val="0"/>
        </w:rPr>
      </w:pPr>
      <w:r>
        <w:rPr/>
        <w:t>四、资产及负债状况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、资产负债构成重大变动情况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368"/>
        <w:gridCol w:w="1359"/>
        <w:gridCol w:w="1358"/>
        <w:gridCol w:w="1361"/>
        <w:gridCol w:w="1358"/>
        <w:gridCol w:w="1275"/>
        <w:gridCol w:w="1490"/>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7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5" w:type="dxa"/>
            <w:vMerge/>
            <w:tcBorders>
              <w:left w:val="single" w:sz="4" w:space="0" w:color="000000"/>
              <w:bottom w:val="single" w:sz="4" w:space="0" w:color="000000"/>
              <w:right w:val="single" w:sz="4" w:space="0" w:color="000000"/>
            </w:tcBorders>
            <w:shd w:val="clear" w:color="auto" w:fill="D2D2D2"/>
          </w:tcPr>
          <w:p>
            <w:pPr/>
          </w:p>
        </w:tc>
        <w:tc>
          <w:tcPr>
            <w:tcW w:w="149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946,644,902.62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18.52%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748,643,124.48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17.70%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0.82%</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811,563,548.75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15.88%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612,286,270.17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14.47%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1.41%</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138,582,155.50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2.71%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73,594,057.59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1.74%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0.97%</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11,357,993.68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13,696,029.81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-0.10%</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724,701,471.93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14.18%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554,010,115.17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13.10%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1.08%</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14,737,276.69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2,629,698.43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0.23%</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0.16%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0.09%</w:t>
            </w:r>
          </w:p>
        </w:tc>
        <w:tc>
          <w:tcPr>
            <w:tcW w:w="14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368"/>
        <w:gridCol w:w="1359"/>
        <w:gridCol w:w="1358"/>
        <w:gridCol w:w="1361"/>
        <w:gridCol w:w="1358"/>
        <w:gridCol w:w="1275"/>
        <w:gridCol w:w="149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47,410,365.24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0.93%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30,154,027.55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0.71%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0.22%</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14,869,394.16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0.29%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11,766,395.88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0.01%</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1,856,459,579.61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36.32%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1,725,897,627.85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-4.48%</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37,369,521.61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0.73%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86,667,451.74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2.05%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-1.32%</w:t>
            </w:r>
          </w:p>
        </w:tc>
        <w:tc>
          <w:tcPr>
            <w:tcW w:w="14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486"/>
        <w:gridCol w:w="1155"/>
        <w:gridCol w:w="1047"/>
        <w:gridCol w:w="1262"/>
        <w:gridCol w:w="1006"/>
        <w:gridCol w:w="1303"/>
        <w:gridCol w:w="965"/>
        <w:gridCol w:w="1342"/>
      </w:tblGrid>
      <w:tr>
        <w:trPr>
          <w:trHeight w:val="1028"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7" w:right="67"/>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 w:right="84"/>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17" w:right="46"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8" w:right="26"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956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5"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0"/>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5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40,574,354.02</w:t>
            </w:r>
          </w:p>
        </w:tc>
        <w:tc>
          <w:tcPr>
            <w:tcW w:w="1006"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34,244,071.46</w:t>
            </w: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74,818,425.48</w:t>
            </w:r>
          </w:p>
        </w:tc>
      </w:tr>
      <w:tr>
        <w:trPr>
          <w:trHeight w:val="401"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5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40,574,354.02</w:t>
            </w:r>
          </w:p>
        </w:tc>
        <w:tc>
          <w:tcPr>
            <w:tcW w:w="1006"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34,244,071.46</w:t>
            </w: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74,818,425.48</w:t>
            </w:r>
          </w:p>
        </w:tc>
      </w:tr>
      <w:tr>
        <w:trPr>
          <w:trHeight w:val="403"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5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41"/>
        <w:jc w:val="left"/>
      </w:pPr>
      <w:r>
        <w:rPr/>
        <w:t>报告期内公司主要资产计量属性是否发生重大变化</w:t>
      </w:r>
    </w:p>
    <w:p>
      <w:pPr>
        <w:pStyle w:val="BodyText"/>
        <w:spacing w:line="240" w:lineRule="auto" w:before="115"/>
        <w:ind w:right="1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
        <w:rPr>
          <w:rFonts w:ascii="宋体" w:hAnsi="宋体" w:cs="宋体" w:eastAsia="宋体" w:hint="default"/>
          <w:b/>
          <w:bCs/>
          <w:sz w:val="26"/>
          <w:szCs w:val="26"/>
        </w:rPr>
      </w:pPr>
    </w:p>
    <w:tbl>
      <w:tblPr>
        <w:tblW w:w="0" w:type="auto"/>
        <w:jc w:val="left"/>
        <w:tblInd w:w="215" w:type="dxa"/>
        <w:tblLayout w:type="fixed"/>
        <w:tblCellMar>
          <w:top w:w="0" w:type="dxa"/>
          <w:left w:w="0" w:type="dxa"/>
          <w:bottom w:w="0" w:type="dxa"/>
          <w:right w:w="0" w:type="dxa"/>
        </w:tblCellMar>
        <w:tblLook w:val="01E0"/>
      </w:tblPr>
      <w:tblGrid>
        <w:gridCol w:w="2376"/>
        <w:gridCol w:w="3536"/>
        <w:gridCol w:w="3536"/>
      </w:tblGrid>
      <w:tr>
        <w:trPr>
          <w:trHeight w:val="341" w:hRule="exact"/>
        </w:trPr>
        <w:tc>
          <w:tcPr>
            <w:tcW w:w="23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5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35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194,700.00</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194,700.00</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预付设备购买款（</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28,750,480.00</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62,433,000.00</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28,945,180.00</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62,627,700.00</w:t>
            </w:r>
          </w:p>
        </w:tc>
      </w:tr>
    </w:tbl>
    <w:p>
      <w:pPr>
        <w:spacing w:line="240" w:lineRule="auto" w:before="4"/>
        <w:rPr>
          <w:rFonts w:ascii="宋体" w:hAnsi="宋体" w:cs="宋体" w:eastAsia="宋体" w:hint="default"/>
          <w:b/>
          <w:bCs/>
          <w:sz w:val="9"/>
          <w:szCs w:val="9"/>
        </w:rPr>
      </w:pPr>
    </w:p>
    <w:p>
      <w:pPr>
        <w:pStyle w:val="BodyText"/>
        <w:spacing w:line="240" w:lineRule="auto" w:before="44"/>
        <w:ind w:right="0"/>
        <w:jc w:val="both"/>
      </w:pPr>
      <w:r>
        <w:rPr/>
        <w:t>（</w:t>
      </w:r>
      <w:r>
        <w:rPr>
          <w:rFonts w:ascii="Times New Roman" w:hAnsi="Times New Roman" w:cs="Times New Roman" w:eastAsia="Times New Roman" w:hint="default"/>
        </w:rPr>
        <w:t>1</w:t>
      </w:r>
      <w:r>
        <w:rPr/>
        <w:t>）公司以人民币</w:t>
      </w:r>
      <w:r>
        <w:rPr>
          <w:rFonts w:ascii="Times New Roman" w:hAnsi="Times New Roman" w:cs="Times New Roman" w:eastAsia="Times New Roman" w:hint="default"/>
        </w:rPr>
        <w:t>194,700.00</w:t>
      </w:r>
      <w:r>
        <w:rPr/>
        <w:t>作为支付履约保函的保证金。</w:t>
      </w:r>
    </w:p>
    <w:p>
      <w:pPr>
        <w:spacing w:line="240" w:lineRule="auto" w:before="10"/>
        <w:rPr>
          <w:rFonts w:ascii="宋体" w:hAnsi="宋体" w:cs="宋体" w:eastAsia="宋体" w:hint="default"/>
          <w:sz w:val="16"/>
          <w:szCs w:val="16"/>
        </w:rPr>
      </w:pPr>
    </w:p>
    <w:p>
      <w:pPr>
        <w:pStyle w:val="BodyText"/>
        <w:spacing w:line="300" w:lineRule="auto"/>
        <w:ind w:right="151"/>
        <w:jc w:val="both"/>
      </w:pPr>
      <w:r>
        <w:rPr/>
        <w:t>（</w:t>
      </w:r>
      <w:r>
        <w:rPr>
          <w:rFonts w:ascii="Times New Roman" w:hAnsi="Times New Roman" w:cs="Times New Roman" w:eastAsia="Times New Roman" w:hint="default"/>
        </w:rPr>
        <w:t>2</w:t>
      </w:r>
      <w:r>
        <w:rPr/>
        <w:t>）华大科技预付</w:t>
      </w:r>
      <w:r>
        <w:rPr>
          <w:rFonts w:ascii="Times New Roman" w:hAnsi="Times New Roman" w:cs="Times New Roman" w:eastAsia="Times New Roman" w:hint="default"/>
        </w:rPr>
        <w:t>Complete Genomics,</w:t>
      </w:r>
      <w:r>
        <w:rPr>
          <w:rFonts w:ascii="Times New Roman" w:hAnsi="Times New Roman" w:cs="Times New Roman" w:eastAsia="Times New Roman" w:hint="default"/>
          <w:spacing w:val="27"/>
        </w:rPr>
        <w:t> </w:t>
      </w:r>
      <w:r>
        <w:rPr>
          <w:rFonts w:ascii="Times New Roman" w:hAnsi="Times New Roman" w:cs="Times New Roman" w:eastAsia="Times New Roman" w:hint="default"/>
        </w:rPr>
        <w:t>Inc</w:t>
      </w:r>
      <w:r>
        <w:rPr/>
        <w:t>公司的设备购买款，按照国家外汇管总局（以下简称</w:t>
      </w:r>
      <w:r>
        <w:rPr>
          <w:rFonts w:ascii="Times New Roman" w:hAnsi="Times New Roman" w:cs="Times New Roman" w:eastAsia="Times New Roman" w:hint="default"/>
        </w:rPr>
        <w:t>“</w:t>
      </w:r>
      <w:r>
        <w:rPr/>
        <w:t>外汇管理局</w:t>
      </w:r>
      <w:r>
        <w:rPr>
          <w:rFonts w:ascii="Times New Roman" w:hAnsi="Times New Roman" w:cs="Times New Roman" w:eastAsia="Times New Roman" w:hint="default"/>
        </w:rPr>
        <w:t>”</w:t>
      </w:r>
      <w:r>
        <w:rPr/>
        <w:t>）规定，接受 </w:t>
      </w:r>
      <w:r>
        <w:rPr>
          <w:spacing w:val="-2"/>
        </w:rPr>
        <w:t>境外资产流入需提交相关资料至外汇管理局，由于华大科技尚未提交完整的资料至外汇管理局，于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日和</w:t>
      </w:r>
      <w:r>
        <w:rPr>
          <w:rFonts w:ascii="Times New Roman" w:hAnsi="Times New Roman" w:cs="Times New Roman" w:eastAsia="Times New Roman" w:hint="default"/>
          <w:spacing w:val="-2"/>
        </w:rPr>
        <w:t>2016</w:t>
      </w:r>
      <w:r>
        <w:rPr>
          <w:spacing w:val="-2"/>
        </w:rPr>
        <w:t>年</w:t>
      </w:r>
      <w:r>
        <w:rPr>
          <w:spacing w:val="-56"/>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日尚无法结汇至华大科技，该资金被暂时冻结。华大科技已分别于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月收到该两笔款项。</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18"/>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0" w:right="0"/>
              <w:jc w:val="left"/>
              <w:rPr>
                <w:rFonts w:ascii="Times New Roman" w:hAnsi="Times New Roman" w:cs="Times New Roman" w:eastAsia="Times New Roman" w:hint="default"/>
                <w:sz w:val="18"/>
                <w:szCs w:val="18"/>
              </w:rPr>
            </w:pPr>
            <w:r>
              <w:rPr>
                <w:rFonts w:ascii="Times New Roman"/>
                <w:sz w:val="18"/>
              </w:rPr>
              <w:t>266,969,369.16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86,917,840.00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207.15%</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41"/>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694"/>
        <w:gridCol w:w="694"/>
        <w:gridCol w:w="662"/>
        <w:gridCol w:w="1352"/>
        <w:gridCol w:w="569"/>
        <w:gridCol w:w="283"/>
        <w:gridCol w:w="439"/>
        <w:gridCol w:w="656"/>
        <w:gridCol w:w="658"/>
        <w:gridCol w:w="629"/>
        <w:gridCol w:w="739"/>
        <w:gridCol w:w="1133"/>
        <w:gridCol w:w="336"/>
        <w:gridCol w:w="722"/>
      </w:tblGrid>
      <w:tr>
        <w:trPr>
          <w:trHeight w:val="258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72"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8" w:right="9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7" w:right="43"/>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24" w:right="31" w:hanging="89"/>
              <w:jc w:val="left"/>
              <w:rPr>
                <w:rFonts w:ascii="宋体" w:hAnsi="宋体" w:cs="宋体" w:eastAsia="宋体" w:hint="default"/>
                <w:sz w:val="18"/>
                <w:szCs w:val="18"/>
              </w:rPr>
            </w:pPr>
            <w:r>
              <w:rPr>
                <w:rFonts w:ascii="宋体" w:hAnsi="宋体" w:cs="宋体" w:eastAsia="宋体" w:hint="default"/>
                <w:sz w:val="18"/>
                <w:szCs w:val="18"/>
              </w:rPr>
              <w:t>合作 方</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2" w:right="5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5" w:right="50"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是否涉诉</w:t>
            </w:r>
          </w:p>
        </w:tc>
        <w:tc>
          <w:tcPr>
            <w:tcW w:w="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4" w:right="71"/>
              <w:jc w:val="both"/>
              <w:rPr>
                <w:rFonts w:ascii="宋体" w:hAnsi="宋体" w:cs="宋体" w:eastAsia="宋体" w:hint="default"/>
                <w:sz w:val="18"/>
                <w:szCs w:val="18"/>
              </w:rPr>
            </w:pPr>
            <w:r>
              <w:rPr>
                <w:rFonts w:ascii="宋体" w:hAnsi="宋体" w:cs="宋体" w:eastAsia="宋体" w:hint="default"/>
                <w:sz w:val="18"/>
                <w:szCs w:val="18"/>
              </w:rPr>
              <w:t>披 露 日 期</w:t>
            </w:r>
          </w:p>
          <w:p>
            <w:pPr>
              <w:pStyle w:val="TableParagraph"/>
              <w:spacing w:line="316" w:lineRule="auto" w:before="19"/>
              <w:ind w:left="74" w:right="71"/>
              <w:jc w:val="both"/>
              <w:rPr>
                <w:rFonts w:ascii="宋体" w:hAnsi="宋体" w:cs="宋体" w:eastAsia="宋体" w:hint="default"/>
                <w:sz w:val="18"/>
                <w:szCs w:val="18"/>
              </w:rPr>
            </w:pPr>
            <w:r>
              <w:rPr>
                <w:rFonts w:ascii="宋体" w:hAnsi="宋体" w:cs="宋体" w:eastAsia="宋体" w:hint="default"/>
                <w:sz w:val="18"/>
                <w:szCs w:val="18"/>
              </w:rPr>
              <w:t>（ 如 有</w:t>
            </w:r>
          </w:p>
          <w:p>
            <w:pPr>
              <w:pStyle w:val="TableParagraph"/>
              <w:spacing w:line="240" w:lineRule="auto" w:before="19"/>
              <w:ind w:left="74" w:right="0"/>
              <w:jc w:val="both"/>
              <w:rPr>
                <w:rFonts w:ascii="宋体" w:hAnsi="宋体" w:cs="宋体" w:eastAsia="宋体" w:hint="default"/>
                <w:sz w:val="18"/>
                <w:szCs w:val="18"/>
              </w:rPr>
            </w:pPr>
            <w:r>
              <w:rPr>
                <w:rFonts w:ascii="宋体" w:hAnsi="宋体" w:cs="宋体" w:eastAsia="宋体"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5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9"/>
              <w:jc w:val="both"/>
              <w:rPr>
                <w:rFonts w:ascii="宋体" w:hAnsi="宋体" w:cs="宋体" w:eastAsia="宋体" w:hint="default"/>
                <w:sz w:val="18"/>
                <w:szCs w:val="18"/>
              </w:rPr>
            </w:pPr>
            <w:r>
              <w:rPr>
                <w:rFonts w:ascii="宋体" w:hAnsi="宋体" w:cs="宋体" w:eastAsia="宋体" w:hint="default"/>
                <w:sz w:val="18"/>
                <w:szCs w:val="18"/>
              </w:rPr>
              <w:t>辽宁何 氏眼科 医院股 份有限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4" w:lineRule="auto"/>
              <w:ind w:left="23" w:right="117"/>
              <w:jc w:val="left"/>
              <w:rPr>
                <w:rFonts w:ascii="宋体" w:hAnsi="宋体" w:cs="宋体" w:eastAsia="宋体" w:hint="default"/>
                <w:sz w:val="18"/>
                <w:szCs w:val="18"/>
              </w:rPr>
            </w:pPr>
            <w:r>
              <w:rPr>
                <w:rFonts w:ascii="宋体" w:hAnsi="宋体" w:cs="宋体" w:eastAsia="宋体" w:hint="default"/>
                <w:sz w:val="18"/>
                <w:szCs w:val="18"/>
              </w:rPr>
              <w:t>眼科诊 疗</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其他</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20,000,000.00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0.91%</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 w:right="67"/>
              <w:jc w:val="both"/>
              <w:rPr>
                <w:rFonts w:ascii="宋体" w:hAnsi="宋体" w:cs="宋体" w:eastAsia="宋体" w:hint="default"/>
                <w:sz w:val="18"/>
                <w:szCs w:val="18"/>
              </w:rPr>
            </w:pPr>
            <w:r>
              <w:rPr>
                <w:rFonts w:ascii="宋体" w:hAnsi="宋体" w:cs="宋体" w:eastAsia="宋体" w:hint="default"/>
                <w:sz w:val="18"/>
                <w:szCs w:val="18"/>
              </w:rPr>
              <w:t>自 用 资 金</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4" w:lineRule="auto"/>
              <w:ind w:left="23" w:right="4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36"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64"/>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20,000,000.00</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w:t>
            </w:r>
          </w:p>
        </w:tc>
        <w:tc>
          <w:tcPr>
            <w:tcW w:w="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63"/>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36"/>
        <w:ind w:right="141"/>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88"/>
        <w:gridCol w:w="1164"/>
        <w:gridCol w:w="819"/>
        <w:gridCol w:w="1181"/>
        <w:gridCol w:w="1193"/>
        <w:gridCol w:w="955"/>
        <w:gridCol w:w="814"/>
        <w:gridCol w:w="1100"/>
        <w:gridCol w:w="955"/>
      </w:tblGrid>
      <w:tr>
        <w:trPr>
          <w:trHeight w:val="102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宋体" w:hAnsi="宋体" w:cs="宋体" w:eastAsia="宋体" w:hint="default"/>
                <w:sz w:val="18"/>
                <w:szCs w:val="18"/>
              </w:rPr>
            </w:pPr>
            <w:r>
              <w:rPr>
                <w:rFonts w:ascii="宋体" w:hAnsi="宋体" w:cs="宋体" w:eastAsia="宋体" w:hint="default"/>
                <w:sz w:val="18"/>
                <w:szCs w:val="18"/>
              </w:rPr>
              <w:t>初始投资成本</w:t>
            </w:r>
          </w:p>
        </w:tc>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1"/>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3"/>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04" w:right="19"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3" w:right="38" w:hanging="180"/>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34,244,071.46</w:t>
            </w:r>
          </w:p>
        </w:tc>
        <w:tc>
          <w:tcPr>
            <w:tcW w:w="8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40,574,354.02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34,244,071.46</w:t>
            </w:r>
          </w:p>
        </w:tc>
        <w:tc>
          <w:tcPr>
            <w:tcW w:w="95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74,818,425.48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34,244,071.46</w:t>
            </w:r>
          </w:p>
        </w:tc>
        <w:tc>
          <w:tcPr>
            <w:tcW w:w="8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40,574,354.02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34,244,071.46</w:t>
            </w:r>
          </w:p>
        </w:tc>
        <w:tc>
          <w:tcPr>
            <w:tcW w:w="95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74,818,425.48</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p>
    <w:p>
      <w:pPr>
        <w:pStyle w:val="Heading4"/>
        <w:spacing w:line="240" w:lineRule="auto" w:before="127"/>
        <w:ind w:right="141"/>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after="0" w:line="240" w:lineRule="auto"/>
        <w:jc w:val="right"/>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864"/>
        <w:gridCol w:w="871"/>
        <w:gridCol w:w="869"/>
        <w:gridCol w:w="872"/>
        <w:gridCol w:w="869"/>
        <w:gridCol w:w="869"/>
        <w:gridCol w:w="871"/>
        <w:gridCol w:w="869"/>
        <w:gridCol w:w="872"/>
        <w:gridCol w:w="869"/>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71"/>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71"/>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70"/>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5"/>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48,386.13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18,764.17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18,764.17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29,621.96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13"/>
              <w:jc w:val="left"/>
              <w:rPr>
                <w:rFonts w:ascii="宋体" w:hAnsi="宋体" w:cs="宋体" w:eastAsia="宋体" w:hint="default"/>
                <w:sz w:val="18"/>
                <w:szCs w:val="18"/>
              </w:rPr>
            </w:pPr>
            <w:r>
              <w:rPr>
                <w:rFonts w:ascii="宋体" w:hAnsi="宋体" w:cs="宋体" w:eastAsia="宋体" w:hint="default"/>
                <w:sz w:val="18"/>
                <w:szCs w:val="18"/>
              </w:rPr>
              <w:t>募集资金 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48,386.13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18,764.17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18,764.17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29,621.96</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2"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月，公司首次公开发行股票募集资金总额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546,964,000.00 </w:t>
            </w:r>
            <w:r>
              <w:rPr>
                <w:rFonts w:ascii="宋体" w:hAnsi="宋体" w:cs="宋体" w:eastAsia="宋体" w:hint="default"/>
                <w:sz w:val="18"/>
                <w:szCs w:val="18"/>
              </w:rPr>
              <w:t>元，扣除发行费用后，实际募集资金净额为</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483,861,339.62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年使用募集资金人民币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187,641,675.92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元，累计使用募集资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金总额人民币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75</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2 </w:t>
            </w:r>
            <w:r>
              <w:rPr>
                <w:rFonts w:ascii="宋体" w:hAnsi="宋体" w:cs="宋体" w:eastAsia="宋体" w:hint="default"/>
                <w:sz w:val="18"/>
                <w:szCs w:val="18"/>
              </w:rPr>
              <w:t>元，尚未使用的募集资金总额为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元（不含</w:t>
            </w:r>
            <w:r>
              <w:rPr>
                <w:rFonts w:ascii="宋体" w:hAnsi="宋体" w:cs="宋体" w:eastAsia="宋体" w:hint="default"/>
                <w:spacing w:val="-3"/>
                <w:sz w:val="18"/>
                <w:szCs w:val="18"/>
              </w:rPr>
              <w:t>银</w:t>
            </w:r>
            <w:r>
              <w:rPr>
                <w:rFonts w:ascii="宋体" w:hAnsi="宋体" w:cs="宋体" w:eastAsia="宋体" w:hint="default"/>
                <w:sz w:val="18"/>
                <w:szCs w:val="18"/>
              </w:rPr>
              <w:t>行利息</w:t>
            </w:r>
            <w:r>
              <w:rPr>
                <w:rFonts w:ascii="宋体" w:hAnsi="宋体" w:cs="宋体" w:eastAsia="宋体" w:hint="default"/>
                <w:spacing w:val="-92"/>
                <w:sz w:val="18"/>
                <w:szCs w:val="18"/>
              </w:rPr>
              <w:t>）</w:t>
            </w:r>
            <w:r>
              <w:rPr>
                <w:rFonts w:ascii="宋体" w:hAnsi="宋体" w:cs="宋体" w:eastAsia="宋体" w:hint="default"/>
                <w:sz w:val="18"/>
                <w:szCs w:val="18"/>
              </w:rPr>
              <w:t>，其中，使用部分闲置</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募集资金购买理财产品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107,000,000.00 </w:t>
            </w:r>
            <w:r>
              <w:rPr>
                <w:rFonts w:ascii="宋体" w:hAnsi="宋体" w:cs="宋体" w:eastAsia="宋体" w:hint="default"/>
                <w:sz w:val="18"/>
                <w:szCs w:val="18"/>
              </w:rPr>
              <w:t>元，购买定期存款</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元，尚未使用募集资金余额人民币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164,219,663.70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元以及收到的银行利息收入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1,091,881.17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元（扣除手续费）合计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165,311,544.87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元存放于募集资金专户中。</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769"/>
        <w:gridCol w:w="780"/>
        <w:gridCol w:w="781"/>
        <w:gridCol w:w="780"/>
        <w:gridCol w:w="778"/>
        <w:gridCol w:w="780"/>
        <w:gridCol w:w="780"/>
        <w:gridCol w:w="780"/>
        <w:gridCol w:w="781"/>
        <w:gridCol w:w="780"/>
        <w:gridCol w:w="780"/>
      </w:tblGrid>
      <w:tr>
        <w:trPr>
          <w:trHeight w:val="1337"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1" w:right="6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8"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1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 w:right="19"/>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 w:right="19"/>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3"/>
              <w:jc w:val="left"/>
              <w:rPr>
                <w:rFonts w:ascii="宋体" w:hAnsi="宋体" w:cs="宋体" w:eastAsia="宋体" w:hint="default"/>
                <w:sz w:val="18"/>
                <w:szCs w:val="18"/>
              </w:rPr>
            </w:pPr>
            <w:r>
              <w:rPr>
                <w:rFonts w:ascii="宋体" w:hAnsi="宋体" w:cs="宋体" w:eastAsia="宋体" w:hint="default"/>
                <w:sz w:val="18"/>
                <w:szCs w:val="18"/>
              </w:rPr>
              <w:t>医学检验解决方案平 台升级项目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21,648.48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21,648.48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12,877.81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12,877.81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59.49%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基因组学研究中心建 设项目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10,741.35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10,741.35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5,405.89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5,405.89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信息系统建设项目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15,996.30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15,996.30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480.47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4"/>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48,386.13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48,386.13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18,764.17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18,764.17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19"/>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4"/>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48,386.13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48,386.13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18,764.17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18,764.17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19"/>
              <w:jc w:val="right"/>
              <w:rPr>
                <w:rFonts w:ascii="Times New Roman" w:hAnsi="Times New Roman" w:cs="Times New Roman" w:eastAsia="Times New Roman" w:hint="default"/>
                <w:sz w:val="18"/>
                <w:szCs w:val="18"/>
              </w:rPr>
            </w:pPr>
            <w:r>
              <w:rPr>
                <w:rFonts w:ascii="Times New Roman"/>
                <w:sz w:val="18"/>
              </w:rPr>
              <w:t>--</w:t>
            </w:r>
          </w:p>
        </w:tc>
      </w:tr>
      <w:tr>
        <w:trPr>
          <w:trHeight w:val="1028"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769"/>
        <w:gridCol w:w="7799"/>
      </w:tblGrid>
      <w:tr>
        <w:trPr>
          <w:trHeight w:val="713"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项目可行性未发生重大变化。</w:t>
            </w:r>
          </w:p>
        </w:tc>
      </w:tr>
      <w:tr>
        <w:trPr>
          <w:trHeight w:val="715"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13"/>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8"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公司以自筹资金预先投入医学检验解决方案平台升级项目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8,605.60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基因组学研究中心建设项</w:t>
            </w:r>
          </w:p>
          <w:p>
            <w:pPr>
              <w:pStyle w:val="TableParagraph"/>
              <w:spacing w:line="307" w:lineRule="auto" w:before="60"/>
              <w:ind w:left="24" w:right="23"/>
              <w:jc w:val="left"/>
              <w:rPr>
                <w:rFonts w:ascii="宋体" w:hAnsi="宋体" w:cs="宋体" w:eastAsia="宋体" w:hint="default"/>
                <w:sz w:val="18"/>
                <w:szCs w:val="18"/>
              </w:rPr>
            </w:pPr>
            <w:r>
              <w:rPr>
                <w:rFonts w:ascii="宋体" w:hAnsi="宋体" w:cs="宋体" w:eastAsia="宋体" w:hint="default"/>
                <w:sz w:val="18"/>
                <w:szCs w:val="18"/>
              </w:rPr>
              <w:t>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4,694.92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信息系统建设项目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207.39 </w:t>
            </w:r>
            <w:r>
              <w:rPr>
                <w:rFonts w:ascii="宋体" w:hAnsi="宋体" w:cs="宋体" w:eastAsia="宋体" w:hint="default"/>
                <w:sz w:val="18"/>
                <w:szCs w:val="18"/>
              </w:rPr>
              <w:t>万元。安永华明会计师事务所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对公司以 自筹资金预先投入募投项目情况进行了专项审核，并出具了《深圳华大基因股份有限公司募集资金 </w:t>
            </w:r>
            <w:r>
              <w:rPr>
                <w:rFonts w:ascii="宋体" w:hAnsi="宋体" w:cs="宋体" w:eastAsia="宋体" w:hint="default"/>
                <w:spacing w:val="-4"/>
                <w:sz w:val="18"/>
                <w:szCs w:val="18"/>
              </w:rPr>
              <w:t>置换专项鉴证报告》（安永华明</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专字第</w:t>
            </w:r>
            <w:r>
              <w:rPr>
                <w:rFonts w:ascii="宋体" w:hAnsi="宋体" w:cs="宋体" w:eastAsia="宋体" w:hint="default"/>
                <w:spacing w:val="-44"/>
                <w:sz w:val="18"/>
                <w:szCs w:val="18"/>
              </w:rPr>
              <w:t> </w:t>
            </w:r>
            <w:r>
              <w:rPr>
                <w:rFonts w:ascii="Times New Roman" w:hAnsi="Times New Roman" w:cs="Times New Roman" w:eastAsia="Times New Roman" w:hint="default"/>
                <w:spacing w:val="-1"/>
                <w:w w:val="99"/>
                <w:sz w:val="18"/>
                <w:szCs w:val="18"/>
              </w:rPr>
              <w:t>61098952_H08</w:t>
            </w:r>
            <w:r>
              <w:rPr>
                <w:rFonts w:ascii="Times New Roman" w:hAnsi="Times New Roman" w:cs="Times New Roman" w:eastAsia="Times New Roman" w:hint="default"/>
                <w:spacing w:val="6"/>
                <w:w w:val="99"/>
                <w:sz w:val="18"/>
                <w:szCs w:val="18"/>
              </w:rPr>
              <w:t> </w:t>
            </w:r>
            <w:r>
              <w:rPr>
                <w:rFonts w:ascii="宋体" w:hAnsi="宋体" w:cs="宋体" w:eastAsia="宋体" w:hint="default"/>
                <w:spacing w:val="-6"/>
                <w:sz w:val="18"/>
                <w:szCs w:val="18"/>
              </w:rPr>
              <w:t>号），对募集资金投资项目预先投入自</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筹资金的情况进行了核验和确认。</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日，公司第一届董事会第十四次会议审议通过了</w:t>
            </w:r>
          </w:p>
          <w:p>
            <w:pPr>
              <w:pStyle w:val="TableParagraph"/>
              <w:spacing w:line="309" w:lineRule="auto" w:before="7"/>
              <w:ind w:left="24" w:right="20"/>
              <w:jc w:val="left"/>
              <w:rPr>
                <w:rFonts w:ascii="宋体" w:hAnsi="宋体" w:cs="宋体" w:eastAsia="宋体" w:hint="default"/>
                <w:sz w:val="18"/>
                <w:szCs w:val="18"/>
              </w:rPr>
            </w:pPr>
            <w:r>
              <w:rPr>
                <w:rFonts w:ascii="宋体" w:hAnsi="宋体" w:cs="宋体" w:eastAsia="宋体" w:hint="default"/>
                <w:spacing w:val="-3"/>
                <w:sz w:val="18"/>
                <w:szCs w:val="18"/>
              </w:rPr>
              <w:t>《关于使用募集资金置换预先已投入募投项目自筹资金的议案》。同意公司以募集资金置换预先投</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入的自筹资金总额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135,079,068.28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日，公司已完成置换预先投入的自筹 资金。公司监事会、独立董事及保荐机构均对该事项发表了明确同意意见。</w:t>
            </w:r>
          </w:p>
        </w:tc>
      </w:tr>
      <w:tr>
        <w:trPr>
          <w:trHeight w:val="713"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113"/>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26"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日第一届董事会第十三次会议决议，审议通过了《关于使用暂时闲置募集资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金进行现金管理的的议案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公</w:t>
            </w:r>
            <w:r>
              <w:rPr>
                <w:rFonts w:ascii="宋体" w:hAnsi="宋体" w:cs="宋体" w:eastAsia="宋体" w:hint="default"/>
                <w:sz w:val="18"/>
                <w:szCs w:val="18"/>
              </w:rPr>
              <w:t>司董事会决定使用额度不超过人民币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亿元的暂时闲置募</w:t>
            </w:r>
            <w:r>
              <w:rPr>
                <w:rFonts w:ascii="宋体" w:hAnsi="宋体" w:cs="宋体" w:eastAsia="宋体" w:hint="default"/>
                <w:spacing w:val="-3"/>
                <w:sz w:val="18"/>
                <w:szCs w:val="18"/>
              </w:rPr>
              <w:t>集</w:t>
            </w:r>
            <w:r>
              <w:rPr>
                <w:rFonts w:ascii="宋体" w:hAnsi="宋体" w:cs="宋体" w:eastAsia="宋体" w:hint="default"/>
                <w:sz w:val="18"/>
                <w:szCs w:val="18"/>
              </w:rPr>
              <w:t>资金进</w:t>
            </w:r>
          </w:p>
          <w:p>
            <w:pPr>
              <w:pStyle w:val="TableParagraph"/>
              <w:spacing w:line="300" w:lineRule="auto" w:before="63"/>
              <w:ind w:left="24" w:right="111"/>
              <w:jc w:val="left"/>
              <w:rPr>
                <w:rFonts w:ascii="宋体" w:hAnsi="宋体" w:cs="宋体" w:eastAsia="宋体" w:hint="default"/>
                <w:sz w:val="18"/>
                <w:szCs w:val="18"/>
              </w:rPr>
            </w:pPr>
            <w:r>
              <w:rPr>
                <w:rFonts w:ascii="宋体" w:hAnsi="宋体" w:cs="宋体" w:eastAsia="宋体" w:hint="default"/>
                <w:sz w:val="18"/>
                <w:szCs w:val="18"/>
              </w:rPr>
              <w:t>行现金管理。购买安全性高的银行保本型理财产品，使用期限不超过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个月，在上述额度有效期 内，可循环滚动使用。公司监事会、独立董事及保荐机构均对该事项发表了明确同意意见。</w:t>
            </w:r>
          </w:p>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日，尚</w:t>
            </w:r>
            <w:r>
              <w:rPr>
                <w:rFonts w:ascii="宋体" w:hAnsi="宋体" w:cs="宋体" w:eastAsia="宋体" w:hint="default"/>
                <w:spacing w:val="-3"/>
                <w:sz w:val="18"/>
                <w:szCs w:val="18"/>
              </w:rPr>
              <w:t>未</w:t>
            </w:r>
            <w:r>
              <w:rPr>
                <w:rFonts w:ascii="宋体" w:hAnsi="宋体" w:cs="宋体" w:eastAsia="宋体" w:hint="default"/>
                <w:sz w:val="18"/>
                <w:szCs w:val="18"/>
              </w:rPr>
              <w:t>使用的募集资金总额为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元（不含银行利息</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其中，</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使用部分闲置募集资金购买理财产品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107,000,000.00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元，购买定期存款</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元，尚未使用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募集资金余额人民币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164,219,663.70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元以及收到的银行利息收入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1,091,881.17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元（扣除手续费）合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165,311,544.87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元存放于募集资金专户中。</w:t>
            </w:r>
          </w:p>
        </w:tc>
      </w:tr>
      <w:tr>
        <w:trPr>
          <w:trHeight w:val="1028"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13"/>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0"/>
        <w:rPr>
          <w:rFonts w:ascii="宋体" w:hAnsi="宋体" w:cs="宋体" w:eastAsia="宋体" w:hint="default"/>
          <w:b/>
          <w:bCs/>
          <w:sz w:val="18"/>
          <w:szCs w:val="18"/>
        </w:rPr>
      </w:pPr>
    </w:p>
    <w:p>
      <w:pPr>
        <w:pStyle w:val="BodyText"/>
        <w:spacing w:line="340" w:lineRule="auto" w:before="125"/>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after="0" w:line="340" w:lineRule="auto"/>
        <w:jc w:val="left"/>
        <w:sectPr>
          <w:pgSz w:w="11910" w:h="16840"/>
          <w:pgMar w:header="880" w:footer="974" w:top="1100" w:bottom="1160" w:left="980" w:right="980"/>
        </w:sectPr>
      </w:pPr>
    </w:p>
    <w:p>
      <w:pPr>
        <w:spacing w:line="240" w:lineRule="auto" w:before="12"/>
        <w:rPr>
          <w:rFonts w:ascii="宋体" w:hAnsi="宋体" w:cs="宋体" w:eastAsia="宋体" w:hint="default"/>
          <w:sz w:val="19"/>
          <w:szCs w:val="19"/>
        </w:rPr>
      </w:pPr>
    </w:p>
    <w:p>
      <w:pPr>
        <w:pStyle w:val="Heading2"/>
        <w:spacing w:line="240" w:lineRule="auto" w:before="26"/>
        <w:ind w:right="141"/>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141"/>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0" w:footer="974" w:top="1100" w:bottom="1160" w:left="980" w:right="980"/>
        </w:sectPr>
      </w:pPr>
    </w:p>
    <w:p>
      <w:pPr>
        <w:pStyle w:val="Heading2"/>
        <w:spacing w:line="240" w:lineRule="auto" w:before="28"/>
        <w:ind w:left="140" w:right="7418"/>
        <w:jc w:val="left"/>
        <w:rPr>
          <w:b w:val="0"/>
          <w:bCs w:val="0"/>
        </w:rPr>
      </w:pPr>
      <w:r>
        <w:rPr/>
        <w:pict>
          <v:group style="position:absolute;margin-left:70.559998pt;margin-top:2.075608pt;width:700.95pt;height:.1pt;mso-position-horizontal-relative:page;mso-position-vertical-relative:paragraph;z-index:-1276336" coordorigin="1411,42" coordsize="14019,2">
            <v:shape style="position:absolute;left:1411;top:42;width:14019;height:2" coordorigin="1411,42" coordsize="14019,0" path="m1411,42l15430,42e" filled="false" stroked="true" strokeweight=".72pt" strokecolor="#000000">
              <v:path arrowok="t"/>
            </v:shape>
            <w10:wrap type="none"/>
          </v:group>
        </w:pict>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28"/>
          <w:footerReference w:type="default" r:id="rId29"/>
          <w:pgSz w:w="16840" w:h="11910" w:orient="landscape"/>
          <w:pgMar w:header="870" w:footer="975" w:top="1060" w:bottom="1160" w:left="1300" w:right="1300"/>
          <w:pgNumType w:start="57"/>
        </w:sectPr>
      </w:pPr>
    </w:p>
    <w:p>
      <w:pPr>
        <w:pStyle w:val="BodyText"/>
        <w:spacing w:line="240" w:lineRule="auto" w:before="44"/>
        <w:ind w:left="140"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140"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40" w:right="0"/>
        <w:jc w:val="left"/>
      </w:pPr>
      <w:r>
        <w:rPr/>
        <w:t>单位：元</w:t>
      </w:r>
    </w:p>
    <w:p>
      <w:pPr>
        <w:spacing w:after="0" w:line="240" w:lineRule="auto"/>
        <w:jc w:val="left"/>
        <w:sectPr>
          <w:type w:val="continuous"/>
          <w:pgSz w:w="16840" w:h="11910" w:orient="landscape"/>
          <w:pgMar w:top="1060" w:bottom="1160" w:left="1300" w:right="1300"/>
          <w:cols w:num="2" w:equalWidth="0">
            <w:col w:w="4838" w:space="8403"/>
            <w:col w:w="999"/>
          </w:cols>
        </w:sectPr>
      </w:pPr>
    </w:p>
    <w:p>
      <w:pPr>
        <w:spacing w:line="240" w:lineRule="auto" w:before="2"/>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1683"/>
        <w:gridCol w:w="317"/>
        <w:gridCol w:w="5300"/>
        <w:gridCol w:w="588"/>
        <w:gridCol w:w="1315"/>
        <w:gridCol w:w="1181"/>
        <w:gridCol w:w="1181"/>
        <w:gridCol w:w="1181"/>
        <w:gridCol w:w="1176"/>
      </w:tblGrid>
      <w:tr>
        <w:trPr>
          <w:trHeight w:val="1340"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2" w:right="62"/>
              <w:jc w:val="both"/>
              <w:rPr>
                <w:rFonts w:ascii="宋体" w:hAnsi="宋体" w:cs="宋体" w:eastAsia="宋体" w:hint="default"/>
                <w:sz w:val="18"/>
                <w:szCs w:val="18"/>
              </w:rPr>
            </w:pPr>
            <w:r>
              <w:rPr>
                <w:rFonts w:ascii="宋体" w:hAnsi="宋体" w:cs="宋体" w:eastAsia="宋体" w:hint="default"/>
                <w:sz w:val="18"/>
                <w:szCs w:val="18"/>
              </w:rPr>
              <w:t>公 司 类 型</w:t>
            </w:r>
          </w:p>
        </w:tc>
        <w:tc>
          <w:tcPr>
            <w:tcW w:w="5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7" w:right="108"/>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961"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1" w:right="29"/>
              <w:jc w:val="left"/>
              <w:rPr>
                <w:rFonts w:ascii="宋体" w:hAnsi="宋体" w:cs="宋体" w:eastAsia="宋体" w:hint="default"/>
                <w:sz w:val="18"/>
                <w:szCs w:val="18"/>
              </w:rPr>
            </w:pPr>
            <w:r>
              <w:rPr>
                <w:rFonts w:ascii="宋体" w:hAnsi="宋体" w:cs="宋体" w:eastAsia="宋体" w:hint="default"/>
                <w:sz w:val="18"/>
                <w:szCs w:val="18"/>
              </w:rPr>
              <w:t>深圳华大临床检验中 心</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 w:right="103"/>
              <w:jc w:val="both"/>
              <w:rPr>
                <w:rFonts w:ascii="宋体" w:hAnsi="宋体" w:cs="宋体" w:eastAsia="宋体" w:hint="default"/>
                <w:sz w:val="18"/>
                <w:szCs w:val="18"/>
              </w:rPr>
            </w:pPr>
            <w:r>
              <w:rPr>
                <w:rFonts w:ascii="宋体" w:hAnsi="宋体" w:cs="宋体" w:eastAsia="宋体" w:hint="default"/>
                <w:sz w:val="18"/>
                <w:szCs w:val="18"/>
              </w:rPr>
              <w:t>子 公 司</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一般经营项目：生物技术研发、生物技术服务、技术转让与技术咨 </w:t>
            </w:r>
            <w:r>
              <w:rPr>
                <w:rFonts w:ascii="宋体" w:hAnsi="宋体" w:cs="宋体" w:eastAsia="宋体" w:hint="default"/>
                <w:spacing w:val="-4"/>
                <w:sz w:val="18"/>
                <w:szCs w:val="18"/>
              </w:rPr>
              <w:t>询（不含外商投资限制、禁止类目录）；经营货物及技术进出口业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务（不含进口分销、国家专营专控商品）；试剂的购买与销售（科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技服务类）；计算机软件、信息系统软件的开发和软件信息服务；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贸易经纪与代理。许可经营项目：医疗用品及器械批发、零售；医 学研究和试验发展；临床检验服务</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833,604,194.03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308,318,502.24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619,031,809.60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132,137,461.03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112,940,246.10</w:t>
            </w:r>
          </w:p>
        </w:tc>
      </w:tr>
      <w:tr>
        <w:trPr>
          <w:trHeight w:val="3836"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1" w:right="29"/>
              <w:jc w:val="left"/>
              <w:rPr>
                <w:rFonts w:ascii="宋体" w:hAnsi="宋体" w:cs="宋体" w:eastAsia="宋体" w:hint="default"/>
                <w:sz w:val="18"/>
                <w:szCs w:val="18"/>
              </w:rPr>
            </w:pPr>
            <w:r>
              <w:rPr>
                <w:rFonts w:ascii="宋体" w:hAnsi="宋体" w:cs="宋体" w:eastAsia="宋体" w:hint="default"/>
                <w:sz w:val="18"/>
                <w:szCs w:val="18"/>
              </w:rPr>
              <w:t>武汉华大医学检验所 有限公司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1" w:right="103"/>
              <w:jc w:val="both"/>
              <w:rPr>
                <w:rFonts w:ascii="宋体" w:hAnsi="宋体" w:cs="宋体" w:eastAsia="宋体" w:hint="default"/>
                <w:sz w:val="18"/>
                <w:szCs w:val="18"/>
              </w:rPr>
            </w:pPr>
            <w:r>
              <w:rPr>
                <w:rFonts w:ascii="宋体" w:hAnsi="宋体" w:cs="宋体" w:eastAsia="宋体" w:hint="default"/>
                <w:sz w:val="18"/>
                <w:szCs w:val="18"/>
              </w:rPr>
              <w:t>子 公 司</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42"/>
              <w:jc w:val="left"/>
              <w:rPr>
                <w:rFonts w:ascii="宋体" w:hAnsi="宋体" w:cs="宋体" w:eastAsia="宋体" w:hint="default"/>
                <w:sz w:val="18"/>
                <w:szCs w:val="18"/>
              </w:rPr>
            </w:pPr>
            <w:r>
              <w:rPr>
                <w:rFonts w:ascii="宋体" w:hAnsi="宋体" w:cs="宋体" w:eastAsia="宋体" w:hint="default"/>
                <w:sz w:val="18"/>
                <w:szCs w:val="18"/>
              </w:rPr>
              <w:t>（共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个一级诊疗科目）医学检验科（临床免疫、血清学专业，临 </w:t>
            </w:r>
            <w:r>
              <w:rPr>
                <w:rFonts w:ascii="宋体" w:hAnsi="宋体" w:cs="宋体" w:eastAsia="宋体" w:hint="default"/>
                <w:spacing w:val="-7"/>
                <w:sz w:val="18"/>
                <w:szCs w:val="18"/>
              </w:rPr>
              <w:t>床细胞分子遗传学专业）；经营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III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类：医疗器械</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6840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临床检验分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析仪器（含体外诊断试剂）（凭许可证在核定期限内经营）。房屋租</w:t>
            </w:r>
            <w:r>
              <w:rPr>
                <w:rFonts w:ascii="宋体" w:hAnsi="宋体" w:cs="宋体" w:eastAsia="宋体" w:hint="default"/>
                <w:sz w:val="18"/>
                <w:szCs w:val="18"/>
              </w:rPr>
              <w:t> 赁、设备租赁；货物进出口、代理进出口、技术进出口（不含国家 </w:t>
            </w:r>
            <w:r>
              <w:rPr>
                <w:rFonts w:ascii="宋体" w:hAnsi="宋体" w:cs="宋体" w:eastAsia="宋体" w:hint="default"/>
                <w:spacing w:val="-3"/>
                <w:sz w:val="18"/>
                <w:szCs w:val="18"/>
              </w:rPr>
              <w:t>禁止进出口的货物及技术）；二类医疗器械：</w:t>
            </w:r>
            <w:r>
              <w:rPr>
                <w:rFonts w:ascii="Times New Roman" w:hAnsi="Times New Roman" w:cs="Times New Roman" w:eastAsia="Times New Roman" w:hint="default"/>
                <w:spacing w:val="-3"/>
                <w:sz w:val="18"/>
                <w:szCs w:val="18"/>
              </w:rPr>
              <w:t>6801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6802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6803</w:t>
            </w:r>
            <w:r>
              <w:rPr>
                <w:rFonts w:ascii="宋体" w:hAnsi="宋体" w:cs="宋体" w:eastAsia="宋体" w:hint="default"/>
                <w:spacing w:val="-3"/>
                <w:sz w:val="18"/>
                <w:szCs w:val="18"/>
              </w:rPr>
              <w:t>、</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6804</w:t>
            </w:r>
            <w:r>
              <w:rPr>
                <w:rFonts w:ascii="宋体" w:hAnsi="宋体" w:cs="宋体" w:eastAsia="宋体" w:hint="default"/>
                <w:sz w:val="18"/>
                <w:szCs w:val="18"/>
              </w:rPr>
              <w:t>、</w:t>
            </w:r>
            <w:r>
              <w:rPr>
                <w:rFonts w:ascii="Times New Roman" w:hAnsi="Times New Roman" w:cs="Times New Roman" w:eastAsia="Times New Roman" w:hint="default"/>
                <w:sz w:val="18"/>
                <w:szCs w:val="18"/>
              </w:rPr>
              <w:t>6805</w:t>
            </w:r>
            <w:r>
              <w:rPr>
                <w:rFonts w:ascii="宋体" w:hAnsi="宋体" w:cs="宋体" w:eastAsia="宋体" w:hint="default"/>
                <w:sz w:val="18"/>
                <w:szCs w:val="18"/>
              </w:rPr>
              <w:t>、</w:t>
            </w:r>
            <w:r>
              <w:rPr>
                <w:rFonts w:ascii="Times New Roman" w:hAnsi="Times New Roman" w:cs="Times New Roman" w:eastAsia="Times New Roman" w:hint="default"/>
                <w:sz w:val="18"/>
                <w:szCs w:val="18"/>
              </w:rPr>
              <w:t>6806</w:t>
            </w:r>
            <w:r>
              <w:rPr>
                <w:rFonts w:ascii="宋体" w:hAnsi="宋体" w:cs="宋体" w:eastAsia="宋体" w:hint="default"/>
                <w:sz w:val="18"/>
                <w:szCs w:val="18"/>
              </w:rPr>
              <w:t>、</w:t>
            </w:r>
            <w:r>
              <w:rPr>
                <w:rFonts w:ascii="Times New Roman" w:hAnsi="Times New Roman" w:cs="Times New Roman" w:eastAsia="Times New Roman" w:hint="default"/>
                <w:sz w:val="18"/>
                <w:szCs w:val="18"/>
              </w:rPr>
              <w:t>6807</w:t>
            </w:r>
            <w:r>
              <w:rPr>
                <w:rFonts w:ascii="宋体" w:hAnsi="宋体" w:cs="宋体" w:eastAsia="宋体" w:hint="default"/>
                <w:sz w:val="18"/>
                <w:szCs w:val="18"/>
              </w:rPr>
              <w:t>、</w:t>
            </w:r>
            <w:r>
              <w:rPr>
                <w:rFonts w:ascii="Times New Roman" w:hAnsi="Times New Roman" w:cs="Times New Roman" w:eastAsia="Times New Roman" w:hint="default"/>
                <w:sz w:val="18"/>
                <w:szCs w:val="18"/>
              </w:rPr>
              <w:t>6808</w:t>
            </w:r>
            <w:r>
              <w:rPr>
                <w:rFonts w:ascii="宋体" w:hAnsi="宋体" w:cs="宋体" w:eastAsia="宋体" w:hint="default"/>
                <w:sz w:val="18"/>
                <w:szCs w:val="18"/>
              </w:rPr>
              <w:t>、</w:t>
            </w:r>
            <w:r>
              <w:rPr>
                <w:rFonts w:ascii="Times New Roman" w:hAnsi="Times New Roman" w:cs="Times New Roman" w:eastAsia="Times New Roman" w:hint="default"/>
                <w:sz w:val="18"/>
                <w:szCs w:val="18"/>
              </w:rPr>
              <w:t>6809</w:t>
            </w:r>
            <w:r>
              <w:rPr>
                <w:rFonts w:ascii="宋体" w:hAnsi="宋体" w:cs="宋体" w:eastAsia="宋体" w:hint="default"/>
                <w:sz w:val="18"/>
                <w:szCs w:val="18"/>
              </w:rPr>
              <w:t>、</w:t>
            </w:r>
            <w:r>
              <w:rPr>
                <w:rFonts w:ascii="Times New Roman" w:hAnsi="Times New Roman" w:cs="Times New Roman" w:eastAsia="Times New Roman" w:hint="default"/>
                <w:sz w:val="18"/>
                <w:szCs w:val="18"/>
              </w:rPr>
              <w:t>6810</w:t>
            </w:r>
            <w:r>
              <w:rPr>
                <w:rFonts w:ascii="宋体" w:hAnsi="宋体" w:cs="宋体" w:eastAsia="宋体" w:hint="default"/>
                <w:sz w:val="18"/>
                <w:szCs w:val="18"/>
              </w:rPr>
              <w:t>、</w:t>
            </w:r>
            <w:r>
              <w:rPr>
                <w:rFonts w:ascii="Times New Roman" w:hAnsi="Times New Roman" w:cs="Times New Roman" w:eastAsia="Times New Roman" w:hint="default"/>
                <w:sz w:val="18"/>
                <w:szCs w:val="18"/>
              </w:rPr>
              <w:t>6812</w:t>
            </w:r>
            <w:r>
              <w:rPr>
                <w:rFonts w:ascii="宋体" w:hAnsi="宋体" w:cs="宋体" w:eastAsia="宋体" w:hint="default"/>
                <w:sz w:val="18"/>
                <w:szCs w:val="18"/>
              </w:rPr>
              <w:t>、</w:t>
            </w:r>
            <w:r>
              <w:rPr>
                <w:rFonts w:ascii="Times New Roman" w:hAnsi="Times New Roman" w:cs="Times New Roman" w:eastAsia="Times New Roman" w:hint="default"/>
                <w:sz w:val="18"/>
                <w:szCs w:val="18"/>
              </w:rPr>
              <w:t>6813</w:t>
            </w:r>
            <w:r>
              <w:rPr>
                <w:rFonts w:ascii="宋体" w:hAnsi="宋体" w:cs="宋体" w:eastAsia="宋体" w:hint="default"/>
                <w:sz w:val="18"/>
                <w:szCs w:val="18"/>
              </w:rPr>
              <w:t>、</w:t>
            </w:r>
          </w:p>
          <w:p>
            <w:pPr>
              <w:pStyle w:val="TableParagraph"/>
              <w:spacing w:line="240" w:lineRule="auto" w:before="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6815</w:t>
            </w:r>
            <w:r>
              <w:rPr>
                <w:rFonts w:ascii="宋体" w:hAnsi="宋体" w:cs="宋体" w:eastAsia="宋体" w:hint="default"/>
                <w:sz w:val="18"/>
                <w:szCs w:val="18"/>
              </w:rPr>
              <w:t>、</w:t>
            </w:r>
            <w:r>
              <w:rPr>
                <w:rFonts w:ascii="Times New Roman" w:hAnsi="Times New Roman" w:cs="Times New Roman" w:eastAsia="Times New Roman" w:hint="default"/>
                <w:sz w:val="18"/>
                <w:szCs w:val="18"/>
              </w:rPr>
              <w:t>6816</w:t>
            </w:r>
            <w:r>
              <w:rPr>
                <w:rFonts w:ascii="宋体" w:hAnsi="宋体" w:cs="宋体" w:eastAsia="宋体" w:hint="default"/>
                <w:sz w:val="18"/>
                <w:szCs w:val="18"/>
              </w:rPr>
              <w:t>、</w:t>
            </w:r>
            <w:r>
              <w:rPr>
                <w:rFonts w:ascii="Times New Roman" w:hAnsi="Times New Roman" w:cs="Times New Roman" w:eastAsia="Times New Roman" w:hint="default"/>
                <w:sz w:val="18"/>
                <w:szCs w:val="18"/>
              </w:rPr>
              <w:t>6820</w:t>
            </w:r>
            <w:r>
              <w:rPr>
                <w:rFonts w:ascii="宋体" w:hAnsi="宋体" w:cs="宋体" w:eastAsia="宋体" w:hint="default"/>
                <w:sz w:val="18"/>
                <w:szCs w:val="18"/>
              </w:rPr>
              <w:t>、</w:t>
            </w:r>
            <w:r>
              <w:rPr>
                <w:rFonts w:ascii="Times New Roman" w:hAnsi="Times New Roman" w:cs="Times New Roman" w:eastAsia="Times New Roman" w:hint="default"/>
                <w:sz w:val="18"/>
                <w:szCs w:val="18"/>
              </w:rPr>
              <w:t>6821</w:t>
            </w:r>
            <w:r>
              <w:rPr>
                <w:rFonts w:ascii="宋体" w:hAnsi="宋体" w:cs="宋体" w:eastAsia="宋体" w:hint="default"/>
                <w:sz w:val="18"/>
                <w:szCs w:val="18"/>
              </w:rPr>
              <w:t>、</w:t>
            </w:r>
            <w:r>
              <w:rPr>
                <w:rFonts w:ascii="Times New Roman" w:hAnsi="Times New Roman" w:cs="Times New Roman" w:eastAsia="Times New Roman" w:hint="default"/>
                <w:sz w:val="18"/>
                <w:szCs w:val="18"/>
              </w:rPr>
              <w:t>6822</w:t>
            </w:r>
            <w:r>
              <w:rPr>
                <w:rFonts w:ascii="宋体" w:hAnsi="宋体" w:cs="宋体" w:eastAsia="宋体" w:hint="default"/>
                <w:sz w:val="18"/>
                <w:szCs w:val="18"/>
              </w:rPr>
              <w:t>、</w:t>
            </w:r>
            <w:r>
              <w:rPr>
                <w:rFonts w:ascii="Times New Roman" w:hAnsi="Times New Roman" w:cs="Times New Roman" w:eastAsia="Times New Roman" w:hint="default"/>
                <w:sz w:val="18"/>
                <w:szCs w:val="18"/>
              </w:rPr>
              <w:t>6823</w:t>
            </w:r>
            <w:r>
              <w:rPr>
                <w:rFonts w:ascii="宋体" w:hAnsi="宋体" w:cs="宋体" w:eastAsia="宋体" w:hint="default"/>
                <w:sz w:val="18"/>
                <w:szCs w:val="18"/>
              </w:rPr>
              <w:t>、</w:t>
            </w:r>
            <w:r>
              <w:rPr>
                <w:rFonts w:ascii="Times New Roman" w:hAnsi="Times New Roman" w:cs="Times New Roman" w:eastAsia="Times New Roman" w:hint="default"/>
                <w:sz w:val="18"/>
                <w:szCs w:val="18"/>
              </w:rPr>
              <w:t>6824</w:t>
            </w:r>
            <w:r>
              <w:rPr>
                <w:rFonts w:ascii="宋体" w:hAnsi="宋体" w:cs="宋体" w:eastAsia="宋体" w:hint="default"/>
                <w:sz w:val="18"/>
                <w:szCs w:val="18"/>
              </w:rPr>
              <w:t>、</w:t>
            </w:r>
            <w:r>
              <w:rPr>
                <w:rFonts w:ascii="Times New Roman" w:hAnsi="Times New Roman" w:cs="Times New Roman" w:eastAsia="Times New Roman" w:hint="default"/>
                <w:sz w:val="18"/>
                <w:szCs w:val="18"/>
              </w:rPr>
              <w:t>6825</w:t>
            </w:r>
            <w:r>
              <w:rPr>
                <w:rFonts w:ascii="宋体" w:hAnsi="宋体" w:cs="宋体" w:eastAsia="宋体" w:hint="default"/>
                <w:sz w:val="18"/>
                <w:szCs w:val="18"/>
              </w:rPr>
              <w:t>、</w:t>
            </w:r>
            <w:r>
              <w:rPr>
                <w:rFonts w:ascii="Times New Roman" w:hAnsi="Times New Roman" w:cs="Times New Roman" w:eastAsia="Times New Roman" w:hint="default"/>
                <w:sz w:val="18"/>
                <w:szCs w:val="18"/>
              </w:rPr>
              <w:t>6826</w:t>
            </w:r>
            <w:r>
              <w:rPr>
                <w:rFonts w:ascii="宋体" w:hAnsi="宋体" w:cs="宋体" w:eastAsia="宋体"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6827</w:t>
            </w:r>
            <w:r>
              <w:rPr>
                <w:rFonts w:ascii="宋体" w:hAnsi="宋体" w:cs="宋体" w:eastAsia="宋体" w:hint="default"/>
                <w:sz w:val="18"/>
                <w:szCs w:val="18"/>
              </w:rPr>
              <w:t>、</w:t>
            </w:r>
            <w:r>
              <w:rPr>
                <w:rFonts w:ascii="Times New Roman" w:hAnsi="Times New Roman" w:cs="Times New Roman" w:eastAsia="Times New Roman" w:hint="default"/>
                <w:sz w:val="18"/>
                <w:szCs w:val="18"/>
              </w:rPr>
              <w:t>6828</w:t>
            </w:r>
            <w:r>
              <w:rPr>
                <w:rFonts w:ascii="宋体" w:hAnsi="宋体" w:cs="宋体" w:eastAsia="宋体" w:hint="default"/>
                <w:sz w:val="18"/>
                <w:szCs w:val="18"/>
              </w:rPr>
              <w:t>、</w:t>
            </w:r>
            <w:r>
              <w:rPr>
                <w:rFonts w:ascii="Times New Roman" w:hAnsi="Times New Roman" w:cs="Times New Roman" w:eastAsia="Times New Roman" w:hint="default"/>
                <w:sz w:val="18"/>
                <w:szCs w:val="18"/>
              </w:rPr>
              <w:t>6830</w:t>
            </w:r>
            <w:r>
              <w:rPr>
                <w:rFonts w:ascii="宋体" w:hAnsi="宋体" w:cs="宋体" w:eastAsia="宋体" w:hint="default"/>
                <w:sz w:val="18"/>
                <w:szCs w:val="18"/>
              </w:rPr>
              <w:t>、</w:t>
            </w:r>
            <w:r>
              <w:rPr>
                <w:rFonts w:ascii="Times New Roman" w:hAnsi="Times New Roman" w:cs="Times New Roman" w:eastAsia="Times New Roman" w:hint="default"/>
                <w:sz w:val="18"/>
                <w:szCs w:val="18"/>
              </w:rPr>
              <w:t>6831</w:t>
            </w:r>
            <w:r>
              <w:rPr>
                <w:rFonts w:ascii="宋体" w:hAnsi="宋体" w:cs="宋体" w:eastAsia="宋体" w:hint="default"/>
                <w:sz w:val="18"/>
                <w:szCs w:val="18"/>
              </w:rPr>
              <w:t>、</w:t>
            </w:r>
            <w:r>
              <w:rPr>
                <w:rFonts w:ascii="Times New Roman" w:hAnsi="Times New Roman" w:cs="Times New Roman" w:eastAsia="Times New Roman" w:hint="default"/>
                <w:sz w:val="18"/>
                <w:szCs w:val="18"/>
              </w:rPr>
              <w:t>6832</w:t>
            </w:r>
            <w:r>
              <w:rPr>
                <w:rFonts w:ascii="宋体" w:hAnsi="宋体" w:cs="宋体" w:eastAsia="宋体" w:hint="default"/>
                <w:sz w:val="18"/>
                <w:szCs w:val="18"/>
              </w:rPr>
              <w:t>、</w:t>
            </w:r>
            <w:r>
              <w:rPr>
                <w:rFonts w:ascii="Times New Roman" w:hAnsi="Times New Roman" w:cs="Times New Roman" w:eastAsia="Times New Roman" w:hint="default"/>
                <w:sz w:val="18"/>
                <w:szCs w:val="18"/>
              </w:rPr>
              <w:t>6833</w:t>
            </w:r>
            <w:r>
              <w:rPr>
                <w:rFonts w:ascii="宋体" w:hAnsi="宋体" w:cs="宋体" w:eastAsia="宋体" w:hint="default"/>
                <w:sz w:val="18"/>
                <w:szCs w:val="18"/>
              </w:rPr>
              <w:t>、</w:t>
            </w:r>
            <w:r>
              <w:rPr>
                <w:rFonts w:ascii="Times New Roman" w:hAnsi="Times New Roman" w:cs="Times New Roman" w:eastAsia="Times New Roman" w:hint="default"/>
                <w:sz w:val="18"/>
                <w:szCs w:val="18"/>
              </w:rPr>
              <w:t>6834</w:t>
            </w:r>
            <w:r>
              <w:rPr>
                <w:rFonts w:ascii="宋体" w:hAnsi="宋体" w:cs="宋体" w:eastAsia="宋体" w:hint="default"/>
                <w:sz w:val="18"/>
                <w:szCs w:val="18"/>
              </w:rPr>
              <w:t>、</w:t>
            </w:r>
            <w:r>
              <w:rPr>
                <w:rFonts w:ascii="Times New Roman" w:hAnsi="Times New Roman" w:cs="Times New Roman" w:eastAsia="Times New Roman" w:hint="default"/>
                <w:sz w:val="18"/>
                <w:szCs w:val="18"/>
              </w:rPr>
              <w:t>6840</w:t>
            </w:r>
            <w:r>
              <w:rPr>
                <w:rFonts w:ascii="宋体" w:hAnsi="宋体" w:cs="宋体" w:eastAsia="宋体" w:hint="default"/>
                <w:sz w:val="18"/>
                <w:szCs w:val="18"/>
              </w:rPr>
              <w:t>、</w:t>
            </w:r>
            <w:r>
              <w:rPr>
                <w:rFonts w:ascii="Times New Roman" w:hAnsi="Times New Roman" w:cs="Times New Roman" w:eastAsia="Times New Roman" w:hint="default"/>
                <w:sz w:val="18"/>
                <w:szCs w:val="18"/>
              </w:rPr>
              <w:t>6841</w:t>
            </w:r>
            <w:r>
              <w:rPr>
                <w:rFonts w:ascii="宋体" w:hAnsi="宋体" w:cs="宋体" w:eastAsia="宋体"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6845</w:t>
            </w:r>
            <w:r>
              <w:rPr>
                <w:rFonts w:ascii="宋体" w:hAnsi="宋体" w:cs="宋体" w:eastAsia="宋体" w:hint="default"/>
                <w:sz w:val="18"/>
                <w:szCs w:val="18"/>
              </w:rPr>
              <w:t>、</w:t>
            </w:r>
            <w:r>
              <w:rPr>
                <w:rFonts w:ascii="Times New Roman" w:hAnsi="Times New Roman" w:cs="Times New Roman" w:eastAsia="Times New Roman" w:hint="default"/>
                <w:sz w:val="18"/>
                <w:szCs w:val="18"/>
              </w:rPr>
              <w:t>6846</w:t>
            </w:r>
            <w:r>
              <w:rPr>
                <w:rFonts w:ascii="宋体" w:hAnsi="宋体" w:cs="宋体" w:eastAsia="宋体" w:hint="default"/>
                <w:sz w:val="18"/>
                <w:szCs w:val="18"/>
              </w:rPr>
              <w:t>、</w:t>
            </w:r>
            <w:r>
              <w:rPr>
                <w:rFonts w:ascii="Times New Roman" w:hAnsi="Times New Roman" w:cs="Times New Roman" w:eastAsia="Times New Roman" w:hint="default"/>
                <w:sz w:val="18"/>
                <w:szCs w:val="18"/>
              </w:rPr>
              <w:t>6854</w:t>
            </w:r>
            <w:r>
              <w:rPr>
                <w:rFonts w:ascii="宋体" w:hAnsi="宋体" w:cs="宋体" w:eastAsia="宋体" w:hint="default"/>
                <w:sz w:val="18"/>
                <w:szCs w:val="18"/>
              </w:rPr>
              <w:t>、</w:t>
            </w:r>
            <w:r>
              <w:rPr>
                <w:rFonts w:ascii="Times New Roman" w:hAnsi="Times New Roman" w:cs="Times New Roman" w:eastAsia="Times New Roman" w:hint="default"/>
                <w:sz w:val="18"/>
                <w:szCs w:val="18"/>
              </w:rPr>
              <w:t>6855</w:t>
            </w:r>
            <w:r>
              <w:rPr>
                <w:rFonts w:ascii="宋体" w:hAnsi="宋体" w:cs="宋体" w:eastAsia="宋体" w:hint="default"/>
                <w:sz w:val="18"/>
                <w:szCs w:val="18"/>
              </w:rPr>
              <w:t>、</w:t>
            </w:r>
            <w:r>
              <w:rPr>
                <w:rFonts w:ascii="Times New Roman" w:hAnsi="Times New Roman" w:cs="Times New Roman" w:eastAsia="Times New Roman" w:hint="default"/>
                <w:sz w:val="18"/>
                <w:szCs w:val="18"/>
              </w:rPr>
              <w:t>6856</w:t>
            </w:r>
            <w:r>
              <w:rPr>
                <w:rFonts w:ascii="宋体" w:hAnsi="宋体" w:cs="宋体" w:eastAsia="宋体" w:hint="default"/>
                <w:sz w:val="18"/>
                <w:szCs w:val="18"/>
              </w:rPr>
              <w:t>、</w:t>
            </w:r>
            <w:r>
              <w:rPr>
                <w:rFonts w:ascii="Times New Roman" w:hAnsi="Times New Roman" w:cs="Times New Roman" w:eastAsia="Times New Roman" w:hint="default"/>
                <w:sz w:val="18"/>
                <w:szCs w:val="18"/>
              </w:rPr>
              <w:t>6857</w:t>
            </w:r>
            <w:r>
              <w:rPr>
                <w:rFonts w:ascii="宋体" w:hAnsi="宋体" w:cs="宋体" w:eastAsia="宋体" w:hint="default"/>
                <w:sz w:val="18"/>
                <w:szCs w:val="18"/>
              </w:rPr>
              <w:t>、</w:t>
            </w:r>
            <w:r>
              <w:rPr>
                <w:rFonts w:ascii="Times New Roman" w:hAnsi="Times New Roman" w:cs="Times New Roman" w:eastAsia="Times New Roman" w:hint="default"/>
                <w:sz w:val="18"/>
                <w:szCs w:val="18"/>
              </w:rPr>
              <w:t>6858</w:t>
            </w:r>
            <w:r>
              <w:rPr>
                <w:rFonts w:ascii="宋体" w:hAnsi="宋体" w:cs="宋体" w:eastAsia="宋体" w:hint="default"/>
                <w:sz w:val="18"/>
                <w:szCs w:val="18"/>
              </w:rPr>
              <w:t>、</w:t>
            </w:r>
            <w:r>
              <w:rPr>
                <w:rFonts w:ascii="Times New Roman" w:hAnsi="Times New Roman" w:cs="Times New Roman" w:eastAsia="Times New Roman" w:hint="default"/>
                <w:sz w:val="18"/>
                <w:szCs w:val="18"/>
              </w:rPr>
              <w:t>6863</w:t>
            </w:r>
            <w:r>
              <w:rPr>
                <w:rFonts w:ascii="宋体" w:hAnsi="宋体" w:cs="宋体" w:eastAsia="宋体" w:hint="default"/>
                <w:sz w:val="18"/>
                <w:szCs w:val="18"/>
              </w:rPr>
              <w:t>、</w:t>
            </w:r>
            <w:r>
              <w:rPr>
                <w:rFonts w:ascii="Times New Roman" w:hAnsi="Times New Roman" w:cs="Times New Roman" w:eastAsia="Times New Roman" w:hint="default"/>
                <w:sz w:val="18"/>
                <w:szCs w:val="18"/>
              </w:rPr>
              <w:t>6864</w:t>
            </w:r>
            <w:r>
              <w:rPr>
                <w:rFonts w:ascii="宋体" w:hAnsi="宋体" w:cs="宋体" w:eastAsia="宋体" w:hint="default"/>
                <w:sz w:val="18"/>
                <w:szCs w:val="18"/>
              </w:rPr>
              <w:t>、</w:t>
            </w:r>
          </w:p>
          <w:p>
            <w:pPr>
              <w:pStyle w:val="TableParagraph"/>
              <w:spacing w:line="309" w:lineRule="auto" w:before="63"/>
              <w:ind w:left="23" w:right="133"/>
              <w:jc w:val="both"/>
              <w:rPr>
                <w:rFonts w:ascii="宋体" w:hAnsi="宋体" w:cs="宋体" w:eastAsia="宋体" w:hint="default"/>
                <w:sz w:val="18"/>
                <w:szCs w:val="18"/>
              </w:rPr>
            </w:pPr>
            <w:r>
              <w:rPr>
                <w:rFonts w:ascii="Times New Roman" w:hAnsi="Times New Roman" w:cs="Times New Roman" w:eastAsia="Times New Roman" w:hint="default"/>
                <w:sz w:val="18"/>
                <w:szCs w:val="18"/>
              </w:rPr>
              <w:t>6865</w:t>
            </w:r>
            <w:r>
              <w:rPr>
                <w:rFonts w:ascii="宋体" w:hAnsi="宋体" w:cs="宋体" w:eastAsia="宋体" w:hint="default"/>
                <w:sz w:val="18"/>
                <w:szCs w:val="18"/>
              </w:rPr>
              <w:t>、</w:t>
            </w:r>
            <w:r>
              <w:rPr>
                <w:rFonts w:ascii="Times New Roman" w:hAnsi="Times New Roman" w:cs="Times New Roman" w:eastAsia="Times New Roman" w:hint="default"/>
                <w:sz w:val="18"/>
                <w:szCs w:val="18"/>
              </w:rPr>
              <w:t>6866</w:t>
            </w:r>
            <w:r>
              <w:rPr>
                <w:rFonts w:ascii="宋体" w:hAnsi="宋体" w:cs="宋体" w:eastAsia="宋体" w:hint="default"/>
                <w:sz w:val="18"/>
                <w:szCs w:val="18"/>
              </w:rPr>
              <w:t>、</w:t>
            </w:r>
            <w:r>
              <w:rPr>
                <w:rFonts w:ascii="Times New Roman" w:hAnsi="Times New Roman" w:cs="Times New Roman" w:eastAsia="Times New Roman" w:hint="default"/>
                <w:sz w:val="18"/>
                <w:szCs w:val="18"/>
              </w:rPr>
              <w:t>6870</w:t>
            </w:r>
            <w:r>
              <w:rPr>
                <w:rFonts w:ascii="宋体" w:hAnsi="宋体" w:cs="宋体" w:eastAsia="宋体" w:hint="default"/>
                <w:sz w:val="18"/>
                <w:szCs w:val="18"/>
              </w:rPr>
              <w:t>、</w:t>
            </w:r>
            <w:r>
              <w:rPr>
                <w:rFonts w:ascii="Times New Roman" w:hAnsi="Times New Roman" w:cs="Times New Roman" w:eastAsia="Times New Roman" w:hint="default"/>
                <w:sz w:val="18"/>
                <w:szCs w:val="18"/>
              </w:rPr>
              <w:t>6877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的销售；生命科学及生物技术研发、技 </w:t>
            </w:r>
            <w:r>
              <w:rPr>
                <w:rFonts w:ascii="宋体" w:hAnsi="宋体" w:cs="宋体" w:eastAsia="宋体" w:hint="default"/>
                <w:spacing w:val="-4"/>
                <w:sz w:val="18"/>
                <w:szCs w:val="18"/>
              </w:rPr>
              <w:t>术服务、技术转让、技术咨询。（依法须经批准的项目、经相关部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门批准后方可开展经营活动）</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2"/>
              <w:jc w:val="right"/>
              <w:rPr>
                <w:rFonts w:ascii="Times New Roman" w:hAnsi="Times New Roman" w:cs="Times New Roman" w:eastAsia="Times New Roman" w:hint="default"/>
                <w:sz w:val="18"/>
                <w:szCs w:val="18"/>
              </w:rPr>
            </w:pPr>
            <w:r>
              <w:rPr>
                <w:rFonts w:ascii="Times New Roman"/>
                <w:spacing w:val="-1"/>
                <w:sz w:val="18"/>
              </w:rPr>
              <w:t>1,333,128,831.94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 w:right="0"/>
              <w:jc w:val="center"/>
              <w:rPr>
                <w:rFonts w:ascii="Times New Roman" w:hAnsi="Times New Roman" w:cs="Times New Roman" w:eastAsia="Times New Roman" w:hint="default"/>
                <w:sz w:val="18"/>
                <w:szCs w:val="18"/>
              </w:rPr>
            </w:pPr>
            <w:r>
              <w:rPr>
                <w:rFonts w:ascii="Times New Roman"/>
                <w:sz w:val="18"/>
              </w:rPr>
              <w:t>487,752,058.15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 w:right="0"/>
              <w:jc w:val="center"/>
              <w:rPr>
                <w:rFonts w:ascii="Times New Roman" w:hAnsi="Times New Roman" w:cs="Times New Roman" w:eastAsia="Times New Roman" w:hint="default"/>
                <w:sz w:val="18"/>
                <w:szCs w:val="18"/>
              </w:rPr>
            </w:pPr>
            <w:r>
              <w:rPr>
                <w:rFonts w:ascii="Times New Roman"/>
                <w:sz w:val="18"/>
              </w:rPr>
              <w:t>590,924,686.02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93,417,527.33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84" w:right="0"/>
              <w:jc w:val="center"/>
              <w:rPr>
                <w:rFonts w:ascii="Times New Roman" w:hAnsi="Times New Roman" w:cs="Times New Roman" w:eastAsia="Times New Roman" w:hint="default"/>
                <w:sz w:val="18"/>
                <w:szCs w:val="18"/>
              </w:rPr>
            </w:pPr>
            <w:r>
              <w:rPr>
                <w:rFonts w:ascii="Times New Roman"/>
                <w:sz w:val="18"/>
              </w:rPr>
              <w:t>82,592,164.01</w:t>
            </w:r>
          </w:p>
        </w:tc>
      </w:tr>
      <w:tr>
        <w:trPr>
          <w:trHeight w:val="713"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29"/>
              <w:jc w:val="left"/>
              <w:rPr>
                <w:rFonts w:ascii="宋体" w:hAnsi="宋体" w:cs="宋体" w:eastAsia="宋体" w:hint="default"/>
                <w:sz w:val="18"/>
                <w:szCs w:val="18"/>
              </w:rPr>
            </w:pPr>
            <w:r>
              <w:rPr>
                <w:rFonts w:ascii="宋体" w:hAnsi="宋体" w:cs="宋体" w:eastAsia="宋体" w:hint="default"/>
                <w:sz w:val="18"/>
                <w:szCs w:val="18"/>
              </w:rPr>
              <w:t>天津华大医学检验所 有限公司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1" w:right="103"/>
              <w:jc w:val="left"/>
              <w:rPr>
                <w:rFonts w:ascii="宋体" w:hAnsi="宋体" w:cs="宋体" w:eastAsia="宋体" w:hint="default"/>
                <w:sz w:val="18"/>
                <w:szCs w:val="18"/>
              </w:rPr>
            </w:pPr>
            <w:r>
              <w:rPr>
                <w:rFonts w:ascii="宋体" w:hAnsi="宋体" w:cs="宋体" w:eastAsia="宋体" w:hint="default"/>
                <w:sz w:val="18"/>
                <w:szCs w:val="18"/>
              </w:rPr>
              <w:t>子 公</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33"/>
              <w:jc w:val="left"/>
              <w:rPr>
                <w:rFonts w:ascii="宋体" w:hAnsi="宋体" w:cs="宋体" w:eastAsia="宋体" w:hint="default"/>
                <w:sz w:val="18"/>
                <w:szCs w:val="18"/>
              </w:rPr>
            </w:pPr>
            <w:r>
              <w:rPr>
                <w:rFonts w:ascii="宋体" w:hAnsi="宋体" w:cs="宋体" w:eastAsia="宋体" w:hint="default"/>
                <w:sz w:val="18"/>
                <w:szCs w:val="18"/>
              </w:rPr>
              <w:t>医学检验所（临床免疫、血清学专业、临床细胞分子遗传学专 </w:t>
            </w:r>
            <w:r>
              <w:rPr>
                <w:rFonts w:ascii="宋体" w:hAnsi="宋体" w:cs="宋体" w:eastAsia="宋体" w:hint="default"/>
                <w:spacing w:val="-4"/>
                <w:sz w:val="18"/>
                <w:szCs w:val="18"/>
              </w:rPr>
              <w:t>业）；医学研究和试验发展；国际贸易及相关简单加工；自营和代</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382,591,022.87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262,330,618.47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183,356,085.71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57,549,614.85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51,294,506.17</w:t>
            </w:r>
          </w:p>
        </w:tc>
      </w:tr>
    </w:tbl>
    <w:p>
      <w:pPr>
        <w:spacing w:after="0" w:line="240" w:lineRule="auto"/>
        <w:jc w:val="center"/>
        <w:rPr>
          <w:rFonts w:ascii="Times New Roman" w:hAnsi="Times New Roman" w:cs="Times New Roman" w:eastAsia="Times New Roman" w:hint="default"/>
          <w:sz w:val="18"/>
          <w:szCs w:val="18"/>
        </w:rPr>
        <w:sectPr>
          <w:type w:val="continuous"/>
          <w:pgSz w:w="16840" w:h="11910" w:orient="landscape"/>
          <w:pgMar w:top="1060" w:bottom="1160" w:left="1300" w:right="1300"/>
        </w:sectPr>
      </w:pPr>
    </w:p>
    <w:p>
      <w:pPr>
        <w:spacing w:line="240" w:lineRule="auto" w:before="8"/>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1683"/>
        <w:gridCol w:w="317"/>
        <w:gridCol w:w="5300"/>
        <w:gridCol w:w="588"/>
        <w:gridCol w:w="1315"/>
        <w:gridCol w:w="1181"/>
        <w:gridCol w:w="1181"/>
        <w:gridCol w:w="1181"/>
        <w:gridCol w:w="1176"/>
      </w:tblGrid>
      <w:tr>
        <w:trPr>
          <w:trHeight w:val="1313" w:hRule="exact"/>
        </w:trPr>
        <w:tc>
          <w:tcPr>
            <w:tcW w:w="1683" w:type="dxa"/>
            <w:tcBorders>
              <w:top w:val="single" w:sz="15" w:space="0" w:color="000000"/>
              <w:left w:val="single" w:sz="4" w:space="0" w:color="000000"/>
              <w:bottom w:val="single" w:sz="4" w:space="0" w:color="000000"/>
              <w:right w:val="single" w:sz="4" w:space="0" w:color="000000"/>
            </w:tcBorders>
          </w:tcPr>
          <w:p>
            <w:pPr/>
          </w:p>
        </w:tc>
        <w:tc>
          <w:tcPr>
            <w:tcW w:w="3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5300"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3"/>
              <w:ind w:left="23" w:right="44"/>
              <w:jc w:val="left"/>
              <w:rPr>
                <w:rFonts w:ascii="宋体" w:hAnsi="宋体" w:cs="宋体" w:eastAsia="宋体" w:hint="default"/>
                <w:sz w:val="18"/>
                <w:szCs w:val="18"/>
              </w:rPr>
            </w:pPr>
            <w:r>
              <w:rPr>
                <w:rFonts w:ascii="宋体" w:hAnsi="宋体" w:cs="宋体" w:eastAsia="宋体" w:hint="default"/>
                <w:sz w:val="18"/>
                <w:szCs w:val="18"/>
              </w:rPr>
              <w:t>理货物及技术的进出口；生命科学及生物技术开发、生物技术服 务、技术转让与技术咨询；实验室仪器设备及化学试剂、计算机软 硬件及外围设备的销售（依法须经批准的项目，经相关部门批准后 </w:t>
            </w:r>
            <w:r>
              <w:rPr>
                <w:rFonts w:ascii="宋体" w:hAnsi="宋体" w:cs="宋体" w:eastAsia="宋体" w:hint="default"/>
                <w:spacing w:val="-10"/>
                <w:sz w:val="18"/>
                <w:szCs w:val="18"/>
              </w:rPr>
              <w:t>方可开展经营活动）。</w:t>
            </w:r>
          </w:p>
        </w:tc>
        <w:tc>
          <w:tcPr>
            <w:tcW w:w="588"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76" w:type="dxa"/>
            <w:tcBorders>
              <w:top w:val="single" w:sz="15" w:space="0" w:color="000000"/>
              <w:left w:val="single" w:sz="4" w:space="0" w:color="000000"/>
              <w:bottom w:val="single" w:sz="4" w:space="0" w:color="000000"/>
              <w:right w:val="single" w:sz="4" w:space="0" w:color="000000"/>
            </w:tcBorders>
          </w:tcPr>
          <w:p>
            <w:pPr/>
          </w:p>
        </w:tc>
      </w:tr>
      <w:tr>
        <w:trPr>
          <w:trHeight w:val="1339"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1" w:right="107"/>
              <w:jc w:val="left"/>
              <w:rPr>
                <w:rFonts w:ascii="Times New Roman" w:hAnsi="Times New Roman" w:cs="Times New Roman" w:eastAsia="Times New Roman" w:hint="default"/>
                <w:sz w:val="18"/>
                <w:szCs w:val="18"/>
              </w:rPr>
            </w:pPr>
            <w:r>
              <w:rPr>
                <w:rFonts w:ascii="Times New Roman"/>
                <w:sz w:val="18"/>
              </w:rPr>
              <w:t>BGI</w:t>
            </w:r>
            <w:r>
              <w:rPr>
                <w:rFonts w:ascii="Times New Roman"/>
                <w:spacing w:val="-3"/>
                <w:sz w:val="18"/>
              </w:rPr>
              <w:t> </w:t>
            </w:r>
            <w:r>
              <w:rPr>
                <w:rFonts w:ascii="Times New Roman"/>
                <w:sz w:val="18"/>
              </w:rPr>
              <w:t>TECH</w:t>
            </w:r>
            <w:r>
              <w:rPr>
                <w:rFonts w:ascii="Times New Roman"/>
                <w:sz w:val="18"/>
              </w:rPr>
              <w:t> SOLUTIONS</w:t>
            </w:r>
            <w:r>
              <w:rPr>
                <w:rFonts w:ascii="Times New Roman"/>
                <w:w w:val="99"/>
                <w:sz w:val="18"/>
              </w:rPr>
              <w:t> </w:t>
            </w:r>
            <w:r>
              <w:rPr>
                <w:rFonts w:ascii="Times New Roman"/>
                <w:sz w:val="18"/>
              </w:rPr>
              <w:t>(HONGKONG)</w:t>
            </w:r>
            <w:r>
              <w:rPr>
                <w:rFonts w:ascii="Times New Roman"/>
                <w:spacing w:val="-5"/>
                <w:sz w:val="18"/>
              </w:rPr>
              <w:t> </w:t>
            </w:r>
            <w:r>
              <w:rPr>
                <w:rFonts w:ascii="Times New Roman"/>
                <w:sz w:val="18"/>
              </w:rPr>
              <w:t>CO.,</w:t>
            </w:r>
            <w:r>
              <w:rPr>
                <w:rFonts w:ascii="Times New Roman"/>
                <w:w w:val="99"/>
                <w:sz w:val="18"/>
              </w:rPr>
              <w:t> </w:t>
            </w:r>
            <w:r>
              <w:rPr>
                <w:rFonts w:ascii="Times New Roman"/>
                <w:sz w:val="18"/>
              </w:rPr>
              <w:t>LIMITED</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 w:right="103"/>
              <w:jc w:val="both"/>
              <w:rPr>
                <w:rFonts w:ascii="宋体" w:hAnsi="宋体" w:cs="宋体" w:eastAsia="宋体" w:hint="default"/>
                <w:sz w:val="18"/>
                <w:szCs w:val="18"/>
              </w:rPr>
            </w:pPr>
            <w:r>
              <w:rPr>
                <w:rFonts w:ascii="宋体" w:hAnsi="宋体" w:cs="宋体" w:eastAsia="宋体" w:hint="default"/>
                <w:sz w:val="18"/>
                <w:szCs w:val="18"/>
              </w:rPr>
              <w:t>子 公 司</w:t>
            </w:r>
          </w:p>
        </w:tc>
        <w:tc>
          <w:tcPr>
            <w:tcW w:w="5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生物技术研发、基因测序、技术转让、贸易、投资商品销售</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2,999</w:t>
            </w:r>
          </w:p>
          <w:p>
            <w:pPr>
              <w:pStyle w:val="TableParagraph"/>
              <w:spacing w:line="316" w:lineRule="auto" w:before="63"/>
              <w:ind w:left="21" w:right="194"/>
              <w:jc w:val="left"/>
              <w:rPr>
                <w:rFonts w:ascii="宋体" w:hAnsi="宋体" w:cs="宋体" w:eastAsia="宋体" w:hint="default"/>
                <w:sz w:val="18"/>
                <w:szCs w:val="18"/>
              </w:rPr>
            </w:pPr>
            <w:r>
              <w:rPr>
                <w:rFonts w:ascii="宋体" w:hAnsi="宋体" w:cs="宋体" w:eastAsia="宋体" w:hint="default"/>
                <w:sz w:val="18"/>
                <w:szCs w:val="18"/>
              </w:rPr>
              <w:t>万美 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670,443,271.57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185,655,023.77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286,727,530.25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59,951,577.32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49,038,035.32</w:t>
            </w:r>
          </w:p>
        </w:tc>
      </w:tr>
    </w:tbl>
    <w:p>
      <w:pPr>
        <w:pStyle w:val="BodyText"/>
        <w:spacing w:line="240" w:lineRule="auto" w:before="52"/>
        <w:ind w:left="100" w:right="0"/>
        <w:jc w:val="left"/>
      </w:pPr>
      <w:r>
        <w:rPr/>
        <w:t>报告期内取得和处置子公司的情况</w:t>
      </w:r>
    </w:p>
    <w:p>
      <w:pPr>
        <w:pStyle w:val="BodyText"/>
        <w:spacing w:line="350" w:lineRule="auto" w:before="115"/>
        <w:ind w:left="100" w:right="118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 无</w:t>
      </w:r>
    </w:p>
    <w:p>
      <w:pPr>
        <w:spacing w:after="0" w:line="350" w:lineRule="auto"/>
        <w:jc w:val="left"/>
        <w:sectPr>
          <w:pgSz w:w="16840" w:h="11910" w:orient="landscape"/>
          <w:pgMar w:header="870" w:footer="975" w:top="1060" w:bottom="1160" w:left="1340" w:right="1320"/>
        </w:sectPr>
      </w:pPr>
    </w:p>
    <w:p>
      <w:pPr>
        <w:spacing w:line="240" w:lineRule="auto" w:before="12"/>
        <w:rPr>
          <w:rFonts w:ascii="宋体" w:hAnsi="宋体" w:cs="宋体" w:eastAsia="宋体" w:hint="default"/>
          <w:sz w:val="19"/>
          <w:szCs w:val="19"/>
        </w:rPr>
      </w:pPr>
    </w:p>
    <w:p>
      <w:pPr>
        <w:pStyle w:val="Heading2"/>
        <w:spacing w:line="240" w:lineRule="auto" w:before="26"/>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430" w:lineRule="atLeast" w:before="152"/>
        <w:ind w:left="513" w:right="141" w:hanging="89"/>
        <w:jc w:val="left"/>
        <w:rPr>
          <w:rFonts w:ascii="宋体" w:hAnsi="宋体" w:cs="宋体" w:eastAsia="宋体" w:hint="default"/>
          <w:sz w:val="18"/>
          <w:szCs w:val="18"/>
        </w:rPr>
      </w:pPr>
      <w:r>
        <w:rPr>
          <w:rFonts w:ascii="宋体" w:hAnsi="宋体" w:cs="宋体" w:eastAsia="宋体" w:hint="default"/>
          <w:b/>
          <w:bCs/>
          <w:sz w:val="18"/>
          <w:szCs w:val="18"/>
        </w:rPr>
        <w:t>（一）公司未来的发展规划与发展目标</w:t>
      </w:r>
      <w:r>
        <w:rPr>
          <w:rFonts w:ascii="宋体" w:hAnsi="宋体" w:cs="宋体" w:eastAsia="宋体" w:hint="default"/>
          <w:b/>
          <w:bCs/>
          <w:w w:val="99"/>
          <w:sz w:val="18"/>
          <w:szCs w:val="18"/>
        </w:rPr>
        <w:t> </w:t>
      </w:r>
      <w:r>
        <w:rPr>
          <w:rFonts w:ascii="宋体" w:hAnsi="宋体" w:cs="宋体" w:eastAsia="宋体" w:hint="default"/>
          <w:spacing w:val="-2"/>
          <w:sz w:val="18"/>
          <w:szCs w:val="18"/>
        </w:rPr>
        <w:t>结合公司的现有科研、技术、市场、资源优势，利用覆盖贯穿组学的多技术平台，进一步加强全球市场布局，完善基因</w:t>
      </w:r>
    </w:p>
    <w:p>
      <w:pPr>
        <w:pStyle w:val="BodyText"/>
        <w:spacing w:line="240" w:lineRule="auto" w:before="76"/>
        <w:ind w:right="0"/>
        <w:jc w:val="both"/>
      </w:pPr>
      <w:r>
        <w:rPr/>
        <w:t>组学应用全产业链条，以基因组学技术的科研服务和临床服务为核心，努力成为全球基因科技应用服务行业领导者。</w:t>
      </w:r>
    </w:p>
    <w:p>
      <w:pPr>
        <w:pStyle w:val="BodyText"/>
        <w:spacing w:line="420" w:lineRule="atLeast" w:before="25"/>
        <w:ind w:left="513" w:right="141"/>
        <w:jc w:val="left"/>
      </w:pPr>
      <w:r>
        <w:rPr>
          <w:rFonts w:ascii="Times New Roman" w:hAnsi="Times New Roman" w:cs="Times New Roman" w:eastAsia="Times New Roman" w:hint="default"/>
        </w:rPr>
        <w:t>1</w:t>
      </w:r>
      <w:r>
        <w:rPr/>
        <w:t>、产业链延伸 </w:t>
      </w:r>
      <w:r>
        <w:rPr>
          <w:spacing w:val="-2"/>
        </w:rPr>
        <w:t>在现有科技服务和基因诊断业务的基础上，加强优势资源整合，进一步完善在高端诊断、基因测序、细胞治疗、基因治</w:t>
      </w:r>
    </w:p>
    <w:p>
      <w:pPr>
        <w:pStyle w:val="BodyText"/>
        <w:spacing w:line="316" w:lineRule="auto" w:before="76"/>
        <w:ind w:right="141"/>
        <w:jc w:val="left"/>
      </w:pPr>
      <w:r>
        <w:rPr>
          <w:spacing w:val="-2"/>
        </w:rPr>
        <w:t>疗等领域的全方位技术和产业布局，实现公司自主产品在基因组学应用领域的全面覆盖，在生命科学产业大潮即将到来之际</w:t>
      </w:r>
      <w:r>
        <w:rPr>
          <w:spacing w:val="-64"/>
        </w:rPr>
        <w:t> </w:t>
      </w:r>
      <w:r>
        <w:rPr>
          <w:spacing w:val="-64"/>
        </w:rPr>
      </w:r>
      <w:r>
        <w:rPr/>
        <w:t>确立先发优势。</w:t>
      </w:r>
    </w:p>
    <w:p>
      <w:pPr>
        <w:pStyle w:val="BodyText"/>
        <w:spacing w:line="432" w:lineRule="exact" w:before="3"/>
        <w:ind w:left="513" w:right="141"/>
        <w:jc w:val="left"/>
      </w:pPr>
      <w:r>
        <w:rPr>
          <w:rFonts w:ascii="Times New Roman" w:hAnsi="Times New Roman" w:cs="Times New Roman" w:eastAsia="Times New Roman" w:hint="default"/>
        </w:rPr>
        <w:t>2</w:t>
      </w:r>
      <w:r>
        <w:rPr/>
        <w:t>、深化全球布局 </w:t>
      </w:r>
      <w:r>
        <w:rPr>
          <w:spacing w:val="-2"/>
        </w:rPr>
        <w:t>公司目前在中国内地、亚太、欧洲及美洲均设有分支机构，服务网络覆盖全球一百多个国家和地区。未来三年内，公司</w:t>
      </w:r>
    </w:p>
    <w:p>
      <w:pPr>
        <w:pStyle w:val="BodyText"/>
        <w:spacing w:line="316" w:lineRule="auto" w:before="15"/>
        <w:ind w:right="141"/>
        <w:jc w:val="left"/>
      </w:pPr>
      <w:r>
        <w:rPr>
          <w:spacing w:val="-2"/>
        </w:rPr>
        <w:t>将进一步巩固现有市场地位，完善研发、生产、营销、物流网络建设，不断深化全球合作，完成全球战略布局，提高品牌知</w:t>
      </w:r>
      <w:r>
        <w:rPr>
          <w:spacing w:val="-73"/>
        </w:rPr>
        <w:t> </w:t>
      </w:r>
      <w:r>
        <w:rPr>
          <w:spacing w:val="-73"/>
        </w:rPr>
      </w:r>
      <w:r>
        <w:rPr/>
        <w:t>名度和国际影响力。</w:t>
      </w:r>
    </w:p>
    <w:p>
      <w:pPr>
        <w:pStyle w:val="BodyText"/>
        <w:spacing w:line="432" w:lineRule="exact" w:before="3"/>
        <w:ind w:left="513" w:right="141"/>
        <w:jc w:val="left"/>
      </w:pPr>
      <w:r>
        <w:rPr>
          <w:rFonts w:ascii="Times New Roman" w:hAnsi="Times New Roman" w:cs="Times New Roman" w:eastAsia="Times New Roman" w:hint="default"/>
        </w:rPr>
        <w:t>3</w:t>
      </w:r>
      <w:r>
        <w:rPr/>
        <w:t>、通过并购重组，发挥协同效应 </w:t>
      </w:r>
      <w:r>
        <w:rPr>
          <w:spacing w:val="-2"/>
        </w:rPr>
        <w:t>公司未来计划通过境内外并购等多种资本运作方式，深化公司的全球产业布局，发挥资产和业务之间的协同效应，快速</w:t>
      </w:r>
    </w:p>
    <w:p>
      <w:pPr>
        <w:pStyle w:val="BodyText"/>
        <w:spacing w:line="240" w:lineRule="auto" w:before="15"/>
        <w:ind w:right="0"/>
        <w:jc w:val="both"/>
      </w:pPr>
      <w:r>
        <w:rPr/>
        <w:t>实现战略目标。</w:t>
      </w:r>
    </w:p>
    <w:p>
      <w:pPr>
        <w:pStyle w:val="BodyText"/>
        <w:spacing w:line="420" w:lineRule="atLeast" w:before="25"/>
        <w:ind w:left="513" w:right="141"/>
        <w:jc w:val="left"/>
      </w:pPr>
      <w:r>
        <w:rPr>
          <w:rFonts w:ascii="Times New Roman" w:hAnsi="Times New Roman" w:cs="Times New Roman" w:eastAsia="Times New Roman" w:hint="default"/>
        </w:rPr>
        <w:t>4</w:t>
      </w:r>
      <w:r>
        <w:rPr/>
        <w:t>、平台、技术全面提升 </w:t>
      </w:r>
      <w:r>
        <w:rPr>
          <w:spacing w:val="-2"/>
        </w:rPr>
        <w:t>未来三年内，公司将建成全球领先的高通量、低成本组学大平台，掌握基因测序、质谱关键技术和生物数据分析核心算</w:t>
      </w:r>
    </w:p>
    <w:p>
      <w:pPr>
        <w:pStyle w:val="BodyText"/>
        <w:spacing w:line="316" w:lineRule="auto" w:before="76"/>
        <w:ind w:right="141"/>
        <w:jc w:val="left"/>
      </w:pPr>
      <w:r>
        <w:rPr>
          <w:spacing w:val="-2"/>
        </w:rPr>
        <w:t>法，依靠标志性科研成果保持世界领先的基础科研和应用研发能力，推动技术创新，树立行业标准，为全球客户提供卓越的</w:t>
      </w:r>
      <w:r>
        <w:rPr>
          <w:spacing w:val="-64"/>
        </w:rPr>
        <w:t> </w:t>
      </w:r>
      <w:r>
        <w:rPr>
          <w:spacing w:val="-64"/>
        </w:rPr>
      </w:r>
      <w:r>
        <w:rPr/>
        <w:t>科技服务和医学检测服务。</w:t>
      </w:r>
    </w:p>
    <w:p>
      <w:pPr>
        <w:pStyle w:val="BodyText"/>
        <w:spacing w:line="432" w:lineRule="exact" w:before="3"/>
        <w:ind w:left="513" w:right="141"/>
        <w:jc w:val="left"/>
      </w:pPr>
      <w:r>
        <w:rPr>
          <w:rFonts w:ascii="Times New Roman" w:hAnsi="Times New Roman" w:cs="Times New Roman" w:eastAsia="Times New Roman" w:hint="default"/>
        </w:rPr>
        <w:t>5</w:t>
      </w:r>
      <w:r>
        <w:rPr/>
        <w:t>、产品结构优化升级 </w:t>
      </w:r>
      <w:r>
        <w:rPr>
          <w:spacing w:val="-2"/>
        </w:rPr>
        <w:t>以现有产品为起点，不断优化产品性能和质量，进一步做大做强现有的生育、肿瘤和感染等方向的临床检测产品，同时</w:t>
      </w:r>
    </w:p>
    <w:p>
      <w:pPr>
        <w:pStyle w:val="BodyText"/>
        <w:spacing w:line="319" w:lineRule="auto" w:before="15"/>
        <w:ind w:right="150"/>
        <w:jc w:val="both"/>
      </w:pPr>
      <w:r>
        <w:rPr>
          <w:spacing w:val="-2"/>
        </w:rPr>
        <w:t>加快科学研究成果向产业应用的转化，并推出更多临床应用基因检测产品，强化竞争优势。公司希望发掘更多的并购机会来</w:t>
      </w:r>
      <w:r>
        <w:rPr>
          <w:spacing w:val="-63"/>
        </w:rPr>
        <w:t> </w:t>
      </w:r>
      <w:r>
        <w:rPr>
          <w:spacing w:val="-63"/>
        </w:rPr>
      </w:r>
      <w:r>
        <w:rPr>
          <w:spacing w:val="-2"/>
        </w:rPr>
        <w:t>获取更多新的技术和能力；还将开发咨询服务，主要包括提供研发设计建议、复杂研发难题的解决方案等；公司还致力于增</w:t>
      </w:r>
      <w:r>
        <w:rPr>
          <w:spacing w:val="-65"/>
        </w:rPr>
        <w:t> </w:t>
      </w:r>
      <w:r>
        <w:rPr>
          <w:spacing w:val="-65"/>
        </w:rPr>
      </w:r>
      <w:r>
        <w:rPr>
          <w:spacing w:val="-2"/>
        </w:rPr>
        <w:t>加仪器多样性，以此增加客户吸引力，降低对供应商的依赖性，从而提供不受限于供应商的更多产品；公司将继续建设云计</w:t>
      </w:r>
      <w:r>
        <w:rPr>
          <w:spacing w:val="-65"/>
        </w:rPr>
        <w:t> </w:t>
      </w:r>
      <w:r>
        <w:rPr>
          <w:spacing w:val="-65"/>
        </w:rPr>
      </w:r>
      <w:r>
        <w:rPr>
          <w:spacing w:val="-2"/>
        </w:rPr>
        <w:t>算平台，提升生物信息学数据分析能力，计划与世界领先的云计算公司合作建立数据分析、存储以及传输的云平台，实现各</w:t>
      </w:r>
      <w:r>
        <w:rPr>
          <w:spacing w:val="-64"/>
        </w:rPr>
        <w:t> </w:t>
      </w:r>
      <w:r>
        <w:rPr>
          <w:spacing w:val="-64"/>
        </w:rPr>
      </w:r>
      <w:r>
        <w:rPr/>
        <w:t>项业务进一步增长。</w:t>
      </w:r>
    </w:p>
    <w:p>
      <w:pPr>
        <w:pStyle w:val="BodyText"/>
        <w:spacing w:line="240" w:lineRule="auto" w:before="137"/>
        <w:ind w:left="513" w:right="141"/>
        <w:jc w:val="left"/>
      </w:pPr>
      <w:r>
        <w:rPr>
          <w:rFonts w:ascii="Times New Roman" w:hAnsi="Times New Roman" w:cs="Times New Roman" w:eastAsia="Times New Roman" w:hint="default"/>
        </w:rPr>
        <w:t>6</w:t>
      </w:r>
      <w:r>
        <w:rPr/>
        <w:t>、建设生命科学数据库</w:t>
      </w:r>
    </w:p>
    <w:p>
      <w:pPr>
        <w:spacing w:line="240" w:lineRule="auto" w:before="8"/>
        <w:rPr>
          <w:rFonts w:ascii="宋体" w:hAnsi="宋体" w:cs="宋体" w:eastAsia="宋体" w:hint="default"/>
          <w:sz w:val="10"/>
          <w:szCs w:val="10"/>
        </w:rPr>
      </w:pPr>
    </w:p>
    <w:p>
      <w:pPr>
        <w:pStyle w:val="BodyText"/>
        <w:spacing w:line="240" w:lineRule="auto" w:before="44"/>
        <w:ind w:left="513" w:right="0"/>
        <w:jc w:val="left"/>
      </w:pPr>
      <w:r>
        <w:rPr/>
        <w:t>建成世界领先的生命科学数据库、新型疾病控制服务平台，提高公司的核心竞争力，成为基因科技应用领域的行业领导</w:t>
      </w:r>
    </w:p>
    <w:p>
      <w:pPr>
        <w:pStyle w:val="BodyText"/>
        <w:spacing w:line="240" w:lineRule="auto" w:before="76"/>
        <w:ind w:right="141"/>
        <w:jc w:val="left"/>
      </w:pPr>
      <w:r>
        <w:rPr/>
        <w:t>者。</w:t>
      </w:r>
    </w:p>
    <w:p>
      <w:pPr>
        <w:spacing w:line="240" w:lineRule="auto" w:before="8"/>
        <w:rPr>
          <w:rFonts w:ascii="宋体" w:hAnsi="宋体" w:cs="宋体" w:eastAsia="宋体" w:hint="default"/>
          <w:sz w:val="11"/>
          <w:szCs w:val="11"/>
        </w:rPr>
      </w:pPr>
    </w:p>
    <w:p>
      <w:pPr>
        <w:pStyle w:val="BodyText"/>
        <w:spacing w:line="415" w:lineRule="auto" w:before="44"/>
        <w:ind w:left="513" w:right="773"/>
        <w:jc w:val="left"/>
      </w:pPr>
      <w:r>
        <w:rPr>
          <w:rFonts w:ascii="Times New Roman" w:hAnsi="Times New Roman" w:cs="Times New Roman" w:eastAsia="Times New Roman" w:hint="default"/>
        </w:rPr>
        <w:t>7</w:t>
      </w:r>
      <w:r>
        <w:rPr/>
        <w:t>、人力资源发展提升 培养和引进多学科、多层次的技术与产业人才，完善人才培训和管理体系，构建国际水平的研发、市场团队。</w:t>
      </w:r>
    </w:p>
    <w:p>
      <w:pPr>
        <w:pStyle w:val="Heading4"/>
        <w:spacing w:line="240" w:lineRule="auto" w:before="65"/>
        <w:ind w:left="513" w:right="141"/>
        <w:jc w:val="left"/>
        <w:rPr>
          <w:b w:val="0"/>
          <w:bCs w:val="0"/>
        </w:rPr>
      </w:pPr>
      <w:r>
        <w:rPr/>
        <w:t>（二）</w:t>
      </w:r>
      <w:r>
        <w:rPr>
          <w:rFonts w:ascii="Times New Roman" w:hAnsi="Times New Roman" w:cs="Times New Roman" w:eastAsia="Times New Roman" w:hint="default"/>
        </w:rPr>
        <w:t>2018</w:t>
      </w:r>
      <w:r>
        <w:rPr/>
        <w:t>年度经营计划</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13" w:right="0"/>
        <w:jc w:val="left"/>
      </w:pPr>
      <w:r>
        <w:rPr>
          <w:rFonts w:ascii="Times New Roman" w:hAnsi="Times New Roman" w:cs="Times New Roman" w:eastAsia="Times New Roman" w:hint="default"/>
        </w:rPr>
        <w:t>2018</w:t>
      </w:r>
      <w:r>
        <w:rPr/>
        <w:t>年度，公司将坚持</w:t>
      </w:r>
      <w:r>
        <w:rPr>
          <w:rFonts w:ascii="Times New Roman" w:hAnsi="Times New Roman" w:cs="Times New Roman" w:eastAsia="Times New Roman" w:hint="default"/>
        </w:rPr>
        <w:t>“</w:t>
      </w:r>
      <w:r>
        <w:rPr/>
        <w:t>大目标造福</w:t>
      </w:r>
      <w:r>
        <w:rPr>
          <w:rFonts w:ascii="Times New Roman" w:hAnsi="Times New Roman" w:cs="Times New Roman" w:eastAsia="Times New Roman" w:hint="default"/>
        </w:rPr>
        <w:t>”</w:t>
      </w:r>
      <w:r>
        <w:rPr/>
        <w:t>宗旨，结合政府工作方针指示及行业与市场发展的特点，密切关注资本市场发展趋</w:t>
      </w:r>
    </w:p>
    <w:p>
      <w:pPr>
        <w:spacing w:after="0" w:line="240" w:lineRule="auto"/>
        <w:jc w:val="left"/>
        <w:sectPr>
          <w:headerReference w:type="default" r:id="rId30"/>
          <w:footerReference w:type="default" r:id="rId31"/>
          <w:pgSz w:w="11910" w:h="16840"/>
          <w:pgMar w:header="880" w:footer="974" w:top="1100" w:bottom="1160" w:left="980" w:right="980"/>
          <w:pgNumType w:start="59"/>
        </w:sectPr>
      </w:pPr>
    </w:p>
    <w:p>
      <w:pPr>
        <w:spacing w:line="240" w:lineRule="auto" w:before="0"/>
        <w:rPr>
          <w:rFonts w:ascii="宋体" w:hAnsi="宋体" w:cs="宋体" w:eastAsia="宋体" w:hint="default"/>
          <w:sz w:val="22"/>
          <w:szCs w:val="22"/>
        </w:rPr>
      </w:pPr>
    </w:p>
    <w:p>
      <w:pPr>
        <w:pStyle w:val="BodyText"/>
        <w:spacing w:line="240" w:lineRule="auto" w:before="44"/>
        <w:ind w:right="94"/>
        <w:jc w:val="left"/>
      </w:pPr>
      <w:r>
        <w:rPr/>
        <w:t>势，致力于富有前瞻性的战略调整，以及行业生态的有效构建。</w:t>
      </w:r>
      <w:r>
        <w:rPr>
          <w:rFonts w:ascii="Times New Roman" w:hAnsi="Times New Roman" w:cs="Times New Roman" w:eastAsia="Times New Roman" w:hint="default"/>
        </w:rPr>
        <w:t>2018</w:t>
      </w:r>
      <w:r>
        <w:rPr/>
        <w:t>年度经营计划与重点工作如下：</w:t>
      </w:r>
    </w:p>
    <w:p>
      <w:pPr>
        <w:pStyle w:val="BodyText"/>
        <w:spacing w:line="430" w:lineRule="atLeast" w:before="2"/>
        <w:ind w:left="513" w:right="94"/>
        <w:jc w:val="left"/>
      </w:pPr>
      <w:r>
        <w:rPr>
          <w:rFonts w:ascii="Times New Roman" w:hAnsi="Times New Roman" w:cs="Times New Roman" w:eastAsia="Times New Roman" w:hint="default"/>
        </w:rPr>
        <w:t>1</w:t>
      </w:r>
      <w:r>
        <w:rPr/>
        <w:t>、坚守出生缺陷防控阵线 </w:t>
      </w:r>
      <w:r>
        <w:rPr>
          <w:spacing w:val="-2"/>
        </w:rPr>
        <w:t>无创产前基因检测近年来继续保持强劲增长的势头，推出</w:t>
      </w:r>
      <w:r>
        <w:rPr>
          <w:rFonts w:ascii="Times New Roman" w:hAnsi="Times New Roman" w:cs="Times New Roman" w:eastAsia="Times New Roman" w:hint="default"/>
          <w:spacing w:val="-2"/>
        </w:rPr>
        <w:t>NIFTY®</w:t>
      </w:r>
      <w:r>
        <w:rPr>
          <w:spacing w:val="-2"/>
        </w:rPr>
        <w:t>全因</w:t>
      </w:r>
      <w:r>
        <w:rPr>
          <w:rFonts w:ascii="Times New Roman" w:hAnsi="Times New Roman" w:cs="Times New Roman" w:eastAsia="Times New Roman" w:hint="default"/>
          <w:spacing w:val="-2"/>
        </w:rPr>
        <w:t>1.0</w:t>
      </w:r>
      <w:r>
        <w:rPr>
          <w:spacing w:val="-2"/>
        </w:rPr>
        <w:t>，在加大测序数据量、提高准确性的同时，对</w:t>
      </w:r>
    </w:p>
    <w:p>
      <w:pPr>
        <w:pStyle w:val="BodyText"/>
        <w:spacing w:line="316" w:lineRule="auto" w:before="63"/>
        <w:ind w:right="188"/>
        <w:jc w:val="both"/>
      </w:pPr>
      <w:r>
        <w:rPr>
          <w:spacing w:val="-2"/>
        </w:rPr>
        <w:t>胎儿染色体异常实现全面、精准的筛查，满足临床方面对于其他染色体异常准确筛查日益增长的需求，提升产品的市场竞争</w:t>
      </w:r>
      <w:r>
        <w:rPr>
          <w:spacing w:val="-61"/>
        </w:rPr>
        <w:t> </w:t>
      </w:r>
      <w:r>
        <w:rPr>
          <w:spacing w:val="-61"/>
        </w:rPr>
      </w:r>
      <w:r>
        <w:rPr>
          <w:spacing w:val="-2"/>
        </w:rPr>
        <w:t>力。攻破无创单基因疾病技术壁垒，成功突破了对于先证者样本的依赖，对没有先证者的正常家庭百余种单基因遗传病也可</w:t>
      </w:r>
      <w:r>
        <w:rPr>
          <w:spacing w:val="-62"/>
        </w:rPr>
        <w:t> </w:t>
      </w:r>
      <w:r>
        <w:rPr>
          <w:spacing w:val="-62"/>
        </w:rPr>
      </w:r>
      <w:r>
        <w:rPr>
          <w:spacing w:val="-2"/>
        </w:rPr>
        <w:t>实现无创筛查，并逐步向临床推广，进一步助力出生缺陷的防控。百种单基因病携带者筛查，可同时对一个样本筛查成百上</w:t>
      </w:r>
      <w:r>
        <w:rPr>
          <w:spacing w:val="-66"/>
        </w:rPr>
        <w:t> </w:t>
      </w:r>
      <w:r>
        <w:rPr>
          <w:spacing w:val="-66"/>
        </w:rPr>
      </w:r>
      <w:r>
        <w:rPr/>
        <w:t>千种遗传突变携带情况，并能够提早至孕前阶段知晓提前干预，对于人口健康具有重大社会意义。</w:t>
      </w:r>
    </w:p>
    <w:p>
      <w:pPr>
        <w:pStyle w:val="BodyText"/>
        <w:spacing w:line="432" w:lineRule="exact" w:before="3"/>
        <w:ind w:left="513" w:right="9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、肿瘤精准防控 </w:t>
      </w:r>
      <w:r>
        <w:rPr>
          <w:spacing w:val="-1"/>
        </w:rPr>
        <w:t>在</w:t>
      </w:r>
      <w:r>
        <w:rPr>
          <w:rFonts w:ascii="Times New Roman" w:hAnsi="Times New Roman" w:cs="Times New Roman" w:eastAsia="Times New Roman" w:hint="default"/>
          <w:spacing w:val="-1"/>
        </w:rPr>
        <w:t>2017</w:t>
      </w:r>
      <w:r>
        <w:rPr>
          <w:spacing w:val="-1"/>
        </w:rPr>
        <w:t>年工作的基础上围绕肿瘤早筛早诊、治疗指导、预后管理，继续开发肿瘤早筛产品、申报肿瘤检测产品的</w:t>
      </w:r>
      <w:r>
        <w:rPr>
          <w:rFonts w:ascii="Times New Roman" w:hAnsi="Times New Roman" w:cs="Times New Roman" w:eastAsia="Times New Roman" w:hint="default"/>
          <w:spacing w:val="-1"/>
        </w:rPr>
        <w:t>CFDA</w:t>
      </w:r>
    </w:p>
    <w:p>
      <w:pPr>
        <w:pStyle w:val="BodyText"/>
        <w:spacing w:line="300" w:lineRule="auto" w:before="16"/>
        <w:ind w:right="94"/>
        <w:jc w:val="left"/>
      </w:pPr>
      <w:r>
        <w:rPr>
          <w:spacing w:val="-3"/>
        </w:rPr>
        <w:t>认证，保持肿瘤临床检测服务稳步增长和</w:t>
      </w:r>
      <w:r>
        <w:rPr>
          <w:rFonts w:ascii="Times New Roman" w:hAnsi="Times New Roman" w:cs="Times New Roman" w:eastAsia="Times New Roman" w:hint="default"/>
          <w:spacing w:val="-3"/>
        </w:rPr>
        <w:t>IVD</w:t>
      </w:r>
      <w:r>
        <w:rPr>
          <w:spacing w:val="-3"/>
        </w:rPr>
        <w:t>测序仪的市场全面推广，加速构建中国人的肿瘤基因变异数据库和解读数据库，</w:t>
      </w:r>
      <w:r>
        <w:rPr>
          <w:spacing w:val="-55"/>
        </w:rPr>
        <w:t> </w:t>
      </w:r>
      <w:r>
        <w:rPr>
          <w:spacing w:val="-55"/>
        </w:rPr>
      </w:r>
      <w:r>
        <w:rPr/>
        <w:t>助力肿瘤的精准诊疗，计划全年为过</w:t>
      </w:r>
      <w:r>
        <w:rPr>
          <w:rFonts w:ascii="Times New Roman" w:hAnsi="Times New Roman" w:cs="Times New Roman" w:eastAsia="Times New Roman" w:hint="default"/>
        </w:rPr>
        <w:t>4</w:t>
      </w:r>
      <w:r>
        <w:rPr/>
        <w:t>万肿瘤患者提供各类精准筛查、诊断指导及预后监测，积极推动肿瘤检测民生产业模</w:t>
      </w:r>
      <w:r>
        <w:rPr>
          <w:spacing w:val="-82"/>
        </w:rPr>
        <w:t> </w:t>
      </w:r>
      <w:r>
        <w:rPr>
          <w:spacing w:val="-82"/>
        </w:rPr>
      </w:r>
      <w:r>
        <w:rPr/>
        <w:t>式。</w:t>
      </w:r>
    </w:p>
    <w:p>
      <w:pPr>
        <w:pStyle w:val="BodyText"/>
        <w:spacing w:line="240" w:lineRule="auto" w:before="151"/>
        <w:ind w:left="513" w:right="94"/>
        <w:jc w:val="left"/>
      </w:pPr>
      <w:r>
        <w:rPr>
          <w:rFonts w:ascii="Times New Roman" w:hAnsi="Times New Roman" w:cs="Times New Roman" w:eastAsia="Times New Roman" w:hint="default"/>
        </w:rPr>
        <w:t>3</w:t>
      </w:r>
      <w:r>
        <w:rPr/>
        <w:t>、传感染防控双管齐下</w:t>
      </w:r>
    </w:p>
    <w:p>
      <w:pPr>
        <w:spacing w:line="240" w:lineRule="auto" w:before="13"/>
        <w:rPr>
          <w:rFonts w:ascii="宋体" w:hAnsi="宋体" w:cs="宋体" w:eastAsia="宋体" w:hint="default"/>
          <w:sz w:val="13"/>
          <w:szCs w:val="13"/>
        </w:rPr>
      </w:pPr>
    </w:p>
    <w:p>
      <w:pPr>
        <w:pStyle w:val="BodyText"/>
        <w:spacing w:line="307" w:lineRule="auto"/>
        <w:ind w:right="94" w:firstLine="360"/>
        <w:jc w:val="left"/>
      </w:pPr>
      <w:r>
        <w:rPr>
          <w:rFonts w:ascii="Times New Roman" w:hAnsi="Times New Roman" w:cs="Times New Roman" w:eastAsia="Times New Roman" w:hint="default"/>
        </w:rPr>
        <w:t>2018</w:t>
      </w:r>
      <w:r>
        <w:rPr/>
        <w:t>年公司将进一步加大传感染病方向的系列产品研发力度。在传染病方面，有效拓展区域民生合作模式，在包虫病、 艾滋病、结核病方面取得突破，在</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方向上进行国际合作。在感染病方面，成立病原业务部，进一步推进宏基因组 </w:t>
      </w:r>
      <w:r>
        <w:rPr>
          <w:spacing w:val="-2"/>
        </w:rPr>
        <w:t>学在临床危重感染方面的深入推广。将第三方检测业务模式拓展到医院本地检测，在全国顶级医院合作建设病原测序联合实</w:t>
      </w:r>
      <w:r>
        <w:rPr>
          <w:spacing w:val="-64"/>
        </w:rPr>
        <w:t> </w:t>
      </w:r>
      <w:r>
        <w:rPr>
          <w:spacing w:val="-64"/>
        </w:rPr>
      </w:r>
      <w:r>
        <w:rPr/>
        <w:t>验室。</w:t>
      </w:r>
    </w:p>
    <w:p>
      <w:pPr>
        <w:pStyle w:val="BodyText"/>
        <w:spacing w:line="432" w:lineRule="exact" w:before="10"/>
        <w:ind w:left="513" w:right="178"/>
        <w:jc w:val="left"/>
      </w:pPr>
      <w:r>
        <w:rPr>
          <w:rFonts w:ascii="Times New Roman" w:hAnsi="Times New Roman" w:cs="Times New Roman" w:eastAsia="Times New Roman" w:hint="default"/>
        </w:rPr>
        <w:t>4</w:t>
      </w:r>
      <w:r>
        <w:rPr/>
        <w:t>、立足推广国产测序交付平台 </w:t>
      </w:r>
      <w:r>
        <w:rPr>
          <w:spacing w:val="-5"/>
        </w:rPr>
        <w:t>继续推广国产测序分析交付平台，发挥更佳质量、更长读长、更快交付、更低样品起始量、更低价格的超高性价比优势，</w:t>
      </w:r>
    </w:p>
    <w:p>
      <w:pPr>
        <w:pStyle w:val="BodyText"/>
        <w:spacing w:line="314" w:lineRule="auto" w:before="15"/>
        <w:ind w:right="189"/>
        <w:jc w:val="both"/>
      </w:pPr>
      <w:r>
        <w:rPr>
          <w:spacing w:val="-2"/>
        </w:rPr>
        <w:t>提升科研服务市场覆盖。继续加大推进“基因组解码计划”，稳步推进重大科研项目的引进、执行和交付工作，保证有影响</w:t>
      </w:r>
      <w:r>
        <w:rPr>
          <w:spacing w:val="-67"/>
        </w:rPr>
        <w:t> </w:t>
      </w:r>
      <w:r>
        <w:rPr>
          <w:spacing w:val="-67"/>
        </w:rPr>
      </w:r>
      <w:r>
        <w:rPr/>
        <w:t>力科研成果的产出。通过布局业内领先的第三代测序产能，和公司多年来在基因组组装技术上的积淀，并优化</w:t>
      </w:r>
      <w:r>
        <w:rPr>
          <w:rFonts w:ascii="Times New Roman" w:hAnsi="Times New Roman" w:cs="Times New Roman" w:eastAsia="Times New Roman" w:hint="default"/>
        </w:rPr>
        <w:t>DNA</w:t>
      </w:r>
      <w:r>
        <w:rPr/>
        <w:t>提取技</w:t>
      </w:r>
      <w:r>
        <w:rPr>
          <w:spacing w:val="-31"/>
        </w:rPr>
        <w:t> </w:t>
      </w:r>
      <w:r>
        <w:rPr>
          <w:spacing w:val="-31"/>
        </w:rPr>
      </w:r>
      <w:r>
        <w:rPr>
          <w:spacing w:val="-2"/>
        </w:rPr>
        <w:t>术、提升产量、拓展新的产品应用，实现三代测序的综合能力在全球的优势地位。布局基于质谱技术的蛋白质组学和代谢组</w:t>
      </w:r>
      <w:r>
        <w:rPr>
          <w:spacing w:val="-63"/>
        </w:rPr>
        <w:t> </w:t>
      </w:r>
      <w:r>
        <w:rPr>
          <w:spacing w:val="-63"/>
        </w:rPr>
      </w:r>
      <w:r>
        <w:rPr>
          <w:spacing w:val="-2"/>
        </w:rPr>
        <w:t>学，稳步提升科技服务质量，提升市场占有率。探索新服务领域，普及“生命周期表计划”，持续为客户提供一站式的多组</w:t>
      </w:r>
      <w:r>
        <w:rPr>
          <w:spacing w:val="-71"/>
        </w:rPr>
        <w:t> </w:t>
      </w:r>
      <w:r>
        <w:rPr>
          <w:spacing w:val="-71"/>
        </w:rPr>
      </w:r>
      <w:r>
        <w:rPr/>
        <w:t>学解决方案，稳固行业地位。</w:t>
      </w:r>
    </w:p>
    <w:p>
      <w:pPr>
        <w:pStyle w:val="BodyText"/>
        <w:spacing w:line="432" w:lineRule="exact" w:before="5"/>
        <w:ind w:left="513" w:right="94"/>
        <w:jc w:val="left"/>
      </w:pPr>
      <w:r>
        <w:rPr>
          <w:rFonts w:ascii="Times New Roman" w:hAnsi="Times New Roman" w:cs="Times New Roman" w:eastAsia="Times New Roman" w:hint="default"/>
        </w:rPr>
        <w:t>5</w:t>
      </w:r>
      <w:r>
        <w:rPr/>
        <w:t>、延续海外合作优势 </w:t>
      </w:r>
      <w:r>
        <w:rPr>
          <w:spacing w:val="-2"/>
        </w:rPr>
        <w:t>继续大力推广国产测序平台，促进多个队列联盟合作的开展；以产品和交付能力建设为核心，引领公司全球药厂业务差</w:t>
      </w:r>
    </w:p>
    <w:p>
      <w:pPr>
        <w:pStyle w:val="BodyText"/>
        <w:spacing w:line="319" w:lineRule="auto" w:before="15"/>
        <w:ind w:right="94"/>
        <w:jc w:val="left"/>
      </w:pPr>
      <w:r>
        <w:rPr/>
        <w:t>异化发展；通过投资和并购欧美体外诊断行业中的优秀初创公司和成熟企业，有效整合公司在测序仪制造、体外诊断方案、</w:t>
      </w:r>
      <w:r>
        <w:rPr>
          <w:spacing w:val="-81"/>
        </w:rPr>
        <w:t> </w:t>
      </w:r>
      <w:r>
        <w:rPr>
          <w:spacing w:val="-81"/>
        </w:rPr>
      </w:r>
      <w:r>
        <w:rPr>
          <w:spacing w:val="-2"/>
        </w:rPr>
        <w:t>全球分销网络的先行优势以及投资合作对象在细分领域的技术先发优势；构建非洲新市场蓝图，积极参与政府援建、国际组</w:t>
      </w:r>
      <w:r>
        <w:rPr>
          <w:spacing w:val="-66"/>
        </w:rPr>
        <w:t> </w:t>
      </w:r>
      <w:r>
        <w:rPr>
          <w:spacing w:val="-66"/>
        </w:rPr>
      </w:r>
      <w:r>
        <w:rPr/>
        <w:t>织合作扶持项目；进一步加强海外临床实验室本地化合作。</w:t>
      </w:r>
    </w:p>
    <w:p>
      <w:pPr>
        <w:pStyle w:val="BodyText"/>
        <w:spacing w:line="432" w:lineRule="exact" w:before="1"/>
        <w:ind w:left="513" w:right="94"/>
        <w:jc w:val="left"/>
      </w:pPr>
      <w:r>
        <w:rPr>
          <w:rFonts w:ascii="Times New Roman" w:hAnsi="Times New Roman" w:cs="Times New Roman" w:eastAsia="Times New Roman" w:hint="default"/>
        </w:rPr>
        <w:t>6</w:t>
      </w:r>
      <w:r>
        <w:rPr/>
        <w:t>、民生宗旨贯穿始终 </w:t>
      </w:r>
      <w:r>
        <w:rPr>
          <w:spacing w:val="-2"/>
        </w:rPr>
        <w:t>持续推进基因科技助力“健康中国”国家战略，继续完成贯穿生命全周期的民生实施方案，在出生缺陷防控和妇女宫颈</w:t>
      </w:r>
    </w:p>
    <w:p>
      <w:pPr>
        <w:pStyle w:val="BodyText"/>
        <w:spacing w:line="316" w:lineRule="auto" w:before="15"/>
        <w:ind w:right="191"/>
        <w:jc w:val="left"/>
      </w:pPr>
      <w:r>
        <w:rPr>
          <w:spacing w:val="-2"/>
        </w:rPr>
        <w:t>癌防控工作基础上，增加肿瘤、传感染病的防控实施方案；完成贯穿生命全周期的民生实施方案并推广；继续增加民生筛查</w:t>
      </w:r>
      <w:r>
        <w:rPr>
          <w:spacing w:val="-64"/>
        </w:rPr>
        <w:t> </w:t>
      </w:r>
      <w:r>
        <w:rPr>
          <w:spacing w:val="-64"/>
        </w:rPr>
      </w:r>
      <w:r>
        <w:rPr/>
        <w:t>人次，实现民生</w:t>
      </w:r>
      <w:r>
        <w:rPr>
          <w:rFonts w:ascii="Times New Roman" w:hAnsi="Times New Roman" w:cs="Times New Roman" w:eastAsia="Times New Roman" w:hint="default"/>
        </w:rPr>
        <w:t>-</w:t>
      </w:r>
      <w:r>
        <w:rPr/>
        <w:t>科研</w:t>
      </w:r>
      <w:r>
        <w:rPr>
          <w:rFonts w:ascii="Times New Roman" w:hAnsi="Times New Roman" w:cs="Times New Roman" w:eastAsia="Times New Roman" w:hint="default"/>
        </w:rPr>
        <w:t>-</w:t>
      </w:r>
      <w:r>
        <w:rPr/>
        <w:t>产业联动产出，协助建立区域交付中心和精准医学中心；积极参与国家</w:t>
      </w:r>
      <w:r>
        <w:rPr>
          <w:rFonts w:ascii="Times New Roman" w:hAnsi="Times New Roman" w:cs="Times New Roman" w:eastAsia="Times New Roman" w:hint="default"/>
        </w:rPr>
        <w:t>“</w:t>
      </w:r>
      <w:r>
        <w:rPr/>
        <w:t>惠民工程</w:t>
      </w:r>
      <w:r>
        <w:rPr>
          <w:rFonts w:ascii="Times New Roman" w:hAnsi="Times New Roman" w:cs="Times New Roman" w:eastAsia="Times New Roman" w:hint="default"/>
        </w:rPr>
        <w:t>”</w:t>
      </w:r>
      <w:r>
        <w:rPr/>
        <w:t>。</w:t>
      </w:r>
    </w:p>
    <w:p>
      <w:pPr>
        <w:pStyle w:val="BodyText"/>
        <w:spacing w:line="240" w:lineRule="auto" w:before="119"/>
        <w:ind w:left="513" w:right="94"/>
        <w:jc w:val="left"/>
      </w:pPr>
      <w:r>
        <w:rPr>
          <w:rFonts w:ascii="Times New Roman" w:hAnsi="Times New Roman" w:cs="Times New Roman" w:eastAsia="Times New Roman" w:hint="default"/>
        </w:rPr>
        <w:t>7</w:t>
      </w:r>
      <w:r>
        <w:rPr/>
        <w:t>、发挥研发中心核心竞争力</w:t>
      </w:r>
    </w:p>
    <w:p>
      <w:pPr>
        <w:spacing w:line="240" w:lineRule="auto" w:before="13"/>
        <w:rPr>
          <w:rFonts w:ascii="宋体" w:hAnsi="宋体" w:cs="宋体" w:eastAsia="宋体" w:hint="default"/>
          <w:sz w:val="13"/>
          <w:szCs w:val="13"/>
        </w:rPr>
      </w:pPr>
    </w:p>
    <w:p>
      <w:pPr>
        <w:pStyle w:val="BodyText"/>
        <w:spacing w:line="316" w:lineRule="auto"/>
        <w:ind w:right="189" w:firstLine="360"/>
        <w:jc w:val="both"/>
      </w:pPr>
      <w:r>
        <w:rPr>
          <w:spacing w:val="-5"/>
        </w:rPr>
        <w:t>继续践行公司战略规划，以民生为导向，紧密贴近市场需求，利用国产测序平台优势，加强对重点产品和技术开发攻坚。</w:t>
      </w:r>
      <w:r>
        <w:rPr/>
        <w:t> </w:t>
      </w:r>
      <w:r>
        <w:rPr>
          <w:spacing w:val="-2"/>
        </w:rPr>
        <w:t>主要工作包括：开展生育肿瘤感染关键产品的资质申报，紧贴前沿科学动向进行新技术开发与合作，对原有自主技术进行优</w:t>
      </w:r>
      <w:r>
        <w:rPr>
          <w:spacing w:val="-63"/>
        </w:rPr>
        <w:t> </w:t>
      </w:r>
      <w:r>
        <w:rPr>
          <w:spacing w:val="-63"/>
        </w:rPr>
      </w:r>
      <w:r>
        <w:rPr/>
        <w:t>化与升级，与多药厂合作开展伴随诊断产品开发，坚持贯彻精准诊断、精准康复、</w:t>
      </w:r>
      <w:r>
        <w:rPr>
          <w:rFonts w:ascii="Times New Roman" w:hAnsi="Times New Roman" w:cs="Times New Roman" w:eastAsia="Times New Roman" w:hint="default"/>
        </w:rPr>
        <w:t>N</w:t>
      </w:r>
      <w:r>
        <w:rPr/>
        <w:t>检合一的精准落地。</w:t>
      </w:r>
    </w:p>
    <w:p>
      <w:pPr>
        <w:pStyle w:val="BodyText"/>
        <w:spacing w:line="240" w:lineRule="auto" w:before="119"/>
        <w:ind w:left="513" w:right="94"/>
        <w:jc w:val="left"/>
      </w:pPr>
      <w:r>
        <w:rPr>
          <w:rFonts w:ascii="Times New Roman" w:hAnsi="Times New Roman" w:cs="Times New Roman" w:eastAsia="Times New Roman" w:hint="default"/>
        </w:rPr>
        <w:t>8</w:t>
      </w:r>
      <w:r>
        <w:rPr/>
        <w:t>、打造一流执行力交付中心</w:t>
      </w:r>
    </w:p>
    <w:p>
      <w:pPr>
        <w:spacing w:after="0" w:line="240" w:lineRule="auto"/>
        <w:jc w:val="left"/>
        <w:sectPr>
          <w:pgSz w:w="11910" w:h="16840"/>
          <w:pgMar w:header="880" w:footer="974" w:top="1100" w:bottom="1160" w:left="980" w:right="940"/>
        </w:sectPr>
      </w:pPr>
    </w:p>
    <w:p>
      <w:pPr>
        <w:spacing w:line="240" w:lineRule="auto" w:before="0"/>
        <w:rPr>
          <w:rFonts w:ascii="宋体" w:hAnsi="宋体" w:cs="宋体" w:eastAsia="宋体" w:hint="default"/>
          <w:sz w:val="22"/>
          <w:szCs w:val="22"/>
        </w:rPr>
      </w:pPr>
    </w:p>
    <w:p>
      <w:pPr>
        <w:pStyle w:val="BodyText"/>
        <w:spacing w:line="314" w:lineRule="auto" w:before="44"/>
        <w:ind w:right="193" w:firstLine="360"/>
        <w:jc w:val="both"/>
      </w:pPr>
      <w:r>
        <w:rPr>
          <w:spacing w:val="-3"/>
        </w:rPr>
        <w:t>全力打造技术领先、智能高效、自主可控的交付平台：继续以”一五”计划作为战略目标</w:t>
      </w:r>
      <w:r>
        <w:rPr>
          <w:rFonts w:ascii="Times New Roman" w:hAnsi="Times New Roman" w:cs="Times New Roman" w:eastAsia="Times New Roman" w:hint="default"/>
          <w:spacing w:val="-3"/>
        </w:rPr>
        <w:t>,</w:t>
      </w:r>
      <w:r>
        <w:rPr>
          <w:spacing w:val="-3"/>
        </w:rPr>
        <w:t>推动超级提取中心建设、培训</w:t>
      </w:r>
      <w:r>
        <w:rPr/>
        <w:t> </w:t>
      </w:r>
      <w:r>
        <w:rPr>
          <w:spacing w:val="-2"/>
        </w:rPr>
        <w:t>中心建设、实验室智能化等多个重大专项。包含七个重点工作方向：构建技术先进、通量高的超级提取中心；打造具有品牌</w:t>
      </w:r>
      <w:r>
        <w:rPr>
          <w:spacing w:val="-67"/>
        </w:rPr>
        <w:t> </w:t>
      </w:r>
      <w:r>
        <w:rPr>
          <w:spacing w:val="-67"/>
        </w:rPr>
      </w:r>
      <w:r>
        <w:rPr>
          <w:spacing w:val="-2"/>
        </w:rPr>
        <w:t>影响力的业界培训中心；推动遗传密码解读数据库建设；推动供应链、设备、人员、环境等多方面的智能化管理；推动国产</w:t>
      </w:r>
      <w:r>
        <w:rPr>
          <w:spacing w:val="-69"/>
        </w:rPr>
        <w:t> </w:t>
      </w:r>
      <w:r>
        <w:rPr>
          <w:spacing w:val="-69"/>
        </w:rPr>
      </w:r>
      <w:r>
        <w:rPr>
          <w:spacing w:val="-2"/>
        </w:rPr>
        <w:t>测序平台的部署，以期大幅降低生产成本；推进全自动化，实现模块化生产；主导完成一体机核心信息分析流程搭建，推动</w:t>
      </w:r>
      <w:r>
        <w:rPr>
          <w:spacing w:val="-68"/>
        </w:rPr>
        <w:t> </w:t>
      </w:r>
      <w:r>
        <w:rPr>
          <w:spacing w:val="-68"/>
        </w:rPr>
      </w:r>
      <w:r>
        <w:rPr/>
        <w:t>国产测序仪的全球部署。</w:t>
      </w:r>
    </w:p>
    <w:p>
      <w:pPr>
        <w:pStyle w:val="BodyText"/>
        <w:spacing w:line="240" w:lineRule="auto" w:before="140"/>
        <w:ind w:left="513" w:right="94"/>
        <w:jc w:val="left"/>
      </w:pPr>
      <w:r>
        <w:rPr>
          <w:rFonts w:ascii="Times New Roman" w:hAnsi="Times New Roman" w:cs="Times New Roman" w:eastAsia="Times New Roman" w:hint="default"/>
        </w:rPr>
        <w:t>9</w:t>
      </w:r>
      <w:r>
        <w:rPr/>
        <w:t>、打造具备核心价值观的创新型人才梯队</w:t>
      </w:r>
    </w:p>
    <w:p>
      <w:pPr>
        <w:spacing w:line="240" w:lineRule="auto" w:before="13"/>
        <w:rPr>
          <w:rFonts w:ascii="宋体" w:hAnsi="宋体" w:cs="宋体" w:eastAsia="宋体" w:hint="default"/>
          <w:sz w:val="13"/>
          <w:szCs w:val="13"/>
        </w:rPr>
      </w:pPr>
    </w:p>
    <w:p>
      <w:pPr>
        <w:pStyle w:val="BodyText"/>
        <w:spacing w:line="300" w:lineRule="auto"/>
        <w:ind w:right="192" w:firstLine="360"/>
        <w:jc w:val="both"/>
      </w:pPr>
      <w:r>
        <w:rPr>
          <w:rFonts w:ascii="Times New Roman" w:hAnsi="Times New Roman" w:cs="Times New Roman" w:eastAsia="Times New Roman" w:hint="default"/>
          <w:spacing w:val="-2"/>
        </w:rPr>
        <w:t>2018</w:t>
      </w:r>
      <w:r>
        <w:rPr>
          <w:spacing w:val="-2"/>
        </w:rPr>
        <w:t>年将继续夯实人才策略，以公司大目标为统领，为公司业务发展提供战略人才支撑，以文化塑造人，以项目和实战</w:t>
      </w:r>
      <w:r>
        <w:rPr/>
        <w:t> 带人才，让员工价值提升，让公司人力资本增值，最终实现公司各项战略目标的实现。</w:t>
      </w:r>
    </w:p>
    <w:p>
      <w:pPr>
        <w:pStyle w:val="BodyText"/>
        <w:spacing w:line="417" w:lineRule="auto" w:before="151"/>
        <w:ind w:left="513" w:right="94"/>
        <w:jc w:val="left"/>
      </w:pPr>
      <w:r>
        <w:rPr>
          <w:rFonts w:ascii="Times New Roman" w:hAnsi="Times New Roman" w:cs="Times New Roman" w:eastAsia="Times New Roman" w:hint="default"/>
        </w:rPr>
        <w:t>10</w:t>
      </w:r>
      <w:r>
        <w:rPr/>
        <w:t>、完善质量管理与资质认证布局 </w:t>
      </w:r>
      <w:r>
        <w:rPr>
          <w:spacing w:val="-2"/>
        </w:rPr>
        <w:t>公司将根据监管机构政策和市场变化，对现有资质进行有效维护，以保持公司资质的持续领先水平和竞争力。同时不断</w:t>
      </w:r>
    </w:p>
    <w:p>
      <w:pPr>
        <w:pStyle w:val="BodyText"/>
        <w:spacing w:line="192" w:lineRule="exact"/>
        <w:ind w:right="94"/>
        <w:jc w:val="left"/>
      </w:pPr>
      <w:r>
        <w:rPr/>
        <w:t>对公司的产品和服务资质进行升级和拓展，完成基于</w:t>
      </w:r>
      <w:r>
        <w:rPr>
          <w:rFonts w:ascii="Times New Roman" w:hAnsi="Times New Roman" w:cs="Times New Roman" w:eastAsia="Times New Roman" w:hint="default"/>
        </w:rPr>
        <w:t>BGISEQ-500</w:t>
      </w:r>
      <w:r>
        <w:rPr/>
        <w:t>平台的临床应用产品的</w:t>
      </w:r>
      <w:r>
        <w:rPr>
          <w:rFonts w:ascii="Times New Roman" w:hAnsi="Times New Roman" w:cs="Times New Roman" w:eastAsia="Times New Roman" w:hint="default"/>
        </w:rPr>
        <w:t>CE</w:t>
      </w:r>
      <w:r>
        <w:rPr/>
        <w:t>认证和</w:t>
      </w:r>
      <w:r>
        <w:rPr>
          <w:rFonts w:ascii="Times New Roman" w:hAnsi="Times New Roman" w:cs="Times New Roman" w:eastAsia="Times New Roman" w:hint="default"/>
        </w:rPr>
        <w:t>KGMP</w:t>
      </w:r>
      <w:r>
        <w:rPr/>
        <w:t>认证，为公司业务</w:t>
      </w:r>
    </w:p>
    <w:p>
      <w:pPr>
        <w:pStyle w:val="BodyText"/>
        <w:spacing w:line="240" w:lineRule="auto" w:before="63"/>
        <w:ind w:right="94"/>
        <w:jc w:val="left"/>
      </w:pPr>
      <w:r>
        <w:rPr/>
        <w:t>拓展和</w:t>
      </w:r>
      <w:r>
        <w:rPr>
          <w:rFonts w:ascii="Times New Roman" w:hAnsi="Times New Roman" w:cs="Times New Roman" w:eastAsia="Times New Roman" w:hint="default"/>
        </w:rPr>
        <w:t>BGISEQ-500</w:t>
      </w:r>
      <w:r>
        <w:rPr/>
        <w:t>平台的全球布局战略保驾护航。</w:t>
      </w:r>
    </w:p>
    <w:p>
      <w:pPr>
        <w:pStyle w:val="BodyText"/>
        <w:spacing w:line="420" w:lineRule="atLeast" w:before="12"/>
        <w:ind w:left="513" w:right="94"/>
        <w:jc w:val="left"/>
      </w:pPr>
      <w:r>
        <w:rPr>
          <w:rFonts w:ascii="Times New Roman" w:hAnsi="Times New Roman" w:cs="Times New Roman" w:eastAsia="Times New Roman" w:hint="default"/>
        </w:rPr>
        <w:t>11</w:t>
      </w:r>
      <w:r>
        <w:rPr/>
        <w:t>、完善内控风控系统，加强控制力度 </w:t>
      </w:r>
      <w:r>
        <w:rPr>
          <w:spacing w:val="-2"/>
        </w:rPr>
        <w:t>进一步完善公司内控系统和风控系统，健全内部控制管理流程及相关制度，强化内部控制流程的执行，提高公司经营管</w:t>
      </w:r>
    </w:p>
    <w:p>
      <w:pPr>
        <w:pStyle w:val="BodyText"/>
        <w:spacing w:line="316" w:lineRule="auto" w:before="76"/>
        <w:ind w:right="94"/>
        <w:jc w:val="left"/>
      </w:pPr>
      <w:r>
        <w:rPr/>
        <w:t>理水平和风险防范能力，促进公司规范运作和健康发展。通过近几年来内部控制审计发现的缺陷，在制订整改措施的同时，</w:t>
      </w:r>
      <w:r>
        <w:rPr>
          <w:spacing w:val="-83"/>
        </w:rPr>
        <w:t> </w:t>
      </w:r>
      <w:r>
        <w:rPr>
          <w:spacing w:val="-83"/>
        </w:rPr>
      </w:r>
      <w:r>
        <w:rPr>
          <w:spacing w:val="-2"/>
        </w:rPr>
        <w:t>加强内部控制知识培训，逐步提升公司员工的风险意识和自控意识；完成内部控制评价工作，使内部控制管理工作步入自我</w:t>
      </w:r>
      <w:r>
        <w:rPr>
          <w:spacing w:val="-61"/>
        </w:rPr>
        <w:t> </w:t>
      </w:r>
      <w:r>
        <w:rPr>
          <w:spacing w:val="-61"/>
        </w:rPr>
      </w:r>
      <w:r>
        <w:rPr>
          <w:spacing w:val="-2"/>
        </w:rPr>
        <w:t>检查、自我改进、不断完善阶段，并开展关键业务专项监督，借鉴同业的先进经验，对照内部控制制度设计与实际运行的情</w:t>
      </w:r>
      <w:r>
        <w:rPr>
          <w:spacing w:val="-66"/>
        </w:rPr>
        <w:t> </w:t>
      </w:r>
      <w:r>
        <w:rPr>
          <w:spacing w:val="-66"/>
        </w:rPr>
      </w:r>
      <w:r>
        <w:rPr/>
        <w:t>况，重点审视业务关键控制点，进一步建立和完善覆盖业务全流程的风险监控和评价系统。</w:t>
      </w:r>
    </w:p>
    <w:p>
      <w:pPr>
        <w:pStyle w:val="BodyText"/>
        <w:spacing w:line="240" w:lineRule="auto" w:before="139"/>
        <w:ind w:left="513" w:right="94"/>
        <w:jc w:val="left"/>
      </w:pPr>
      <w:r>
        <w:rPr>
          <w:rFonts w:ascii="Times New Roman" w:hAnsi="Times New Roman" w:cs="Times New Roman" w:eastAsia="Times New Roman" w:hint="default"/>
        </w:rPr>
        <w:t>12</w:t>
      </w:r>
      <w:r>
        <w:rPr/>
        <w:t>、推进科普公益</w:t>
      </w:r>
    </w:p>
    <w:p>
      <w:pPr>
        <w:spacing w:line="240" w:lineRule="auto" w:before="0"/>
        <w:rPr>
          <w:rFonts w:ascii="宋体" w:hAnsi="宋体" w:cs="宋体" w:eastAsia="宋体" w:hint="default"/>
          <w:sz w:val="14"/>
          <w:szCs w:val="14"/>
        </w:rPr>
      </w:pPr>
    </w:p>
    <w:p>
      <w:pPr>
        <w:pStyle w:val="BodyText"/>
        <w:spacing w:line="300" w:lineRule="auto"/>
        <w:ind w:right="194" w:firstLine="360"/>
        <w:jc w:val="both"/>
      </w:pPr>
      <w:r>
        <w:rPr>
          <w:rFonts w:ascii="Times New Roman" w:hAnsi="Times New Roman" w:cs="Times New Roman" w:eastAsia="Times New Roman" w:hint="default"/>
          <w:spacing w:val="-2"/>
        </w:rPr>
        <w:t>2018</w:t>
      </w:r>
      <w:r>
        <w:rPr>
          <w:spacing w:val="-2"/>
        </w:rPr>
        <w:t>年，将继续大力推进科普宣传工作。科普的形式将更加多元化，将持续输出包括文字、视频、音频等在内的多种形</w:t>
      </w:r>
      <w:r>
        <w:rPr/>
        <w:t> 式的科普内容；计划建立自媒体联盟，凭借更专业的团队、更高效的配合，争取在</w:t>
      </w:r>
      <w:r>
        <w:rPr>
          <w:rFonts w:ascii="Times New Roman" w:hAnsi="Times New Roman" w:cs="Times New Roman" w:eastAsia="Times New Roman" w:hint="default"/>
        </w:rPr>
        <w:t>C</w:t>
      </w:r>
      <w:r>
        <w:rPr/>
        <w:t>端传播方面更上一层楼。</w:t>
      </w:r>
    </w:p>
    <w:p>
      <w:pPr>
        <w:pStyle w:val="Heading4"/>
        <w:spacing w:line="240" w:lineRule="auto" w:before="133"/>
        <w:ind w:left="424" w:right="94"/>
        <w:jc w:val="left"/>
        <w:rPr>
          <w:b w:val="0"/>
          <w:bCs w:val="0"/>
        </w:rPr>
      </w:pPr>
      <w:r>
        <w:rPr/>
        <w:t>（三）可能面对的风险</w:t>
      </w:r>
      <w:r>
        <w:rPr>
          <w:b w:val="0"/>
          <w:bCs w:val="0"/>
        </w:rPr>
      </w:r>
    </w:p>
    <w:p>
      <w:pPr>
        <w:pStyle w:val="BodyText"/>
        <w:spacing w:line="420" w:lineRule="atLeast" w:before="25"/>
        <w:ind w:left="513" w:right="453"/>
        <w:jc w:val="left"/>
      </w:pPr>
      <w:r>
        <w:rPr>
          <w:rFonts w:ascii="Times New Roman" w:hAnsi="Times New Roman" w:cs="Times New Roman" w:eastAsia="Times New Roman" w:hint="default"/>
          <w:b/>
          <w:bCs/>
        </w:rPr>
        <w:t>1</w:t>
      </w:r>
      <w:r>
        <w:rPr>
          <w:rFonts w:ascii="宋体" w:hAnsi="宋体" w:cs="宋体" w:eastAsia="宋体" w:hint="default"/>
          <w:b/>
          <w:bCs/>
        </w:rPr>
        <w:t>、市场竞争加剧的风险</w:t>
      </w:r>
      <w:r>
        <w:rPr>
          <w:rFonts w:ascii="宋体" w:hAnsi="宋体" w:cs="宋体" w:eastAsia="宋体" w:hint="default"/>
          <w:b/>
          <w:bCs/>
          <w:w w:val="99"/>
        </w:rPr>
        <w:t> </w:t>
      </w:r>
      <w:r>
        <w:rPr/>
        <w:t>公司所处的基因组学应用行业属于发展最快的高科技行业之一，随着第二代测序技术的快速发展，市场环境逐渐成</w:t>
      </w:r>
    </w:p>
    <w:p>
      <w:pPr>
        <w:pStyle w:val="BodyText"/>
        <w:spacing w:line="316" w:lineRule="auto" w:before="76"/>
        <w:ind w:right="274"/>
        <w:jc w:val="left"/>
      </w:pPr>
      <w:r>
        <w:rPr/>
        <w:t>熟，国家政策逐步放开，基因测序行业，特别是国内成熟产品和服务的竞争变得愈发激烈。如果公司不能在服务质量、技 术水平、销售模式、营销网络、人才培养等方面持续提升，将导致公司竞争力减弱，对公司未来业绩产生不利影响。</w:t>
      </w:r>
    </w:p>
    <w:p>
      <w:pPr>
        <w:pStyle w:val="BodyText"/>
        <w:spacing w:line="319" w:lineRule="auto" w:before="139"/>
        <w:ind w:right="289" w:firstLine="360"/>
        <w:jc w:val="both"/>
      </w:pPr>
      <w:r>
        <w:rPr/>
        <w:t>公司将根据健康产业及基因组学应用行业发展的特点，充分考虑不同业务模块的特点，确保生育健康、复杂疾病、基 础科研、病原微生物检测等业务协同发展。通过自主研发和外延式并购相结合的方式，持续开发和并购出具有技术优势、 成本优势、适应市场需求的检测服务与产品。通过推进专业化营销队伍建设和后续产品开发，保持和提高基因测序产品及 服务在细下游医疗机构的覆盖率；同时公司还将努力加强生产成本控制，以应对价格变动、需求变动等市场竞争风险所带 来的影响。</w:t>
      </w:r>
    </w:p>
    <w:p>
      <w:pPr>
        <w:spacing w:line="415" w:lineRule="auto" w:before="137"/>
        <w:ind w:left="513" w:right="2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、行业监管政策变化的风险</w:t>
      </w:r>
      <w:r>
        <w:rPr>
          <w:rFonts w:ascii="宋体" w:hAnsi="宋体" w:cs="宋体" w:eastAsia="宋体" w:hint="default"/>
          <w:b/>
          <w:bCs/>
          <w:w w:val="99"/>
          <w:sz w:val="18"/>
          <w:szCs w:val="18"/>
        </w:rPr>
        <w:t> </w:t>
      </w:r>
      <w:r>
        <w:rPr>
          <w:rFonts w:ascii="宋体" w:hAnsi="宋体" w:cs="宋体" w:eastAsia="宋体" w:hint="default"/>
          <w:sz w:val="18"/>
          <w:szCs w:val="18"/>
        </w:rPr>
        <w:t>公司提供基因检测、诊断服务，其服务产品涉及特定医疗器械的生产和使用，须接受各级卫生和计划生育委员会、食</w:t>
      </w:r>
    </w:p>
    <w:p>
      <w:pPr>
        <w:pStyle w:val="BodyText"/>
        <w:spacing w:line="194" w:lineRule="exact"/>
        <w:ind w:right="94"/>
        <w:jc w:val="left"/>
      </w:pPr>
      <w:r>
        <w:rPr/>
        <w:t>品药品监督管理局的管理监督。</w:t>
      </w:r>
      <w:r>
        <w:rPr>
          <w:rFonts w:ascii="Times New Roman" w:hAnsi="Times New Roman" w:cs="Times New Roman" w:eastAsia="Times New Roman" w:hint="default"/>
        </w:rPr>
        <w:t>2014</w:t>
      </w:r>
      <w:r>
        <w:rPr/>
        <w:t>年以来，国家出台了一系列举措，对基于高通量测序技术的基因检测服务行业进行监</w:t>
      </w:r>
    </w:p>
    <w:p>
      <w:pPr>
        <w:pStyle w:val="BodyText"/>
        <w:spacing w:line="240" w:lineRule="auto" w:before="63"/>
        <w:ind w:right="94"/>
        <w:jc w:val="left"/>
      </w:pPr>
      <w:r>
        <w:rPr/>
        <w:t>管和规范。</w:t>
      </w:r>
    </w:p>
    <w:p>
      <w:pPr>
        <w:spacing w:line="240" w:lineRule="auto" w:before="0"/>
        <w:rPr>
          <w:rFonts w:ascii="宋体" w:hAnsi="宋体" w:cs="宋体" w:eastAsia="宋体" w:hint="default"/>
          <w:sz w:val="15"/>
          <w:szCs w:val="15"/>
        </w:rPr>
      </w:pPr>
    </w:p>
    <w:p>
      <w:pPr>
        <w:pStyle w:val="BodyText"/>
        <w:spacing w:line="319" w:lineRule="auto"/>
        <w:ind w:right="274" w:firstLine="360"/>
        <w:jc w:val="left"/>
      </w:pPr>
      <w:r>
        <w:rPr/>
        <w:t>这些政策有利于该行业的有序规范和健康成长，同时也要求公司在生产、经营、使用医疗器械产品和提供临床检测服 务的过程中严格遵守国家相关法律法规，密切关注监管机构政策的变化，主要包括监督检查、生产经营和执业许可等方 面。如果不能持续满足国家监督管理部门的有关规定和政策要求，则存在被相关部门处罚的风险，给公司生产经营带来不 利影响。</w:t>
      </w:r>
    </w:p>
    <w:p>
      <w:pPr>
        <w:spacing w:after="0" w:line="319" w:lineRule="auto"/>
        <w:jc w:val="left"/>
        <w:sectPr>
          <w:pgSz w:w="11910" w:h="16840"/>
          <w:pgMar w:header="880" w:footer="974" w:top="1100" w:bottom="1160" w:left="980" w:right="940"/>
        </w:sectPr>
      </w:pPr>
    </w:p>
    <w:p>
      <w:pPr>
        <w:spacing w:line="240" w:lineRule="auto" w:before="0"/>
        <w:rPr>
          <w:rFonts w:ascii="宋体" w:hAnsi="宋体" w:cs="宋体" w:eastAsia="宋体" w:hint="default"/>
          <w:sz w:val="22"/>
          <w:szCs w:val="22"/>
        </w:rPr>
      </w:pPr>
    </w:p>
    <w:p>
      <w:pPr>
        <w:pStyle w:val="Heading4"/>
        <w:spacing w:line="240" w:lineRule="auto"/>
        <w:ind w:left="513" w:right="141"/>
        <w:jc w:val="left"/>
        <w:rPr>
          <w:b w:val="0"/>
          <w:bCs w:val="0"/>
        </w:rPr>
      </w:pPr>
      <w:r>
        <w:rPr>
          <w:rFonts w:ascii="Times New Roman" w:hAnsi="Times New Roman" w:cs="Times New Roman" w:eastAsia="Times New Roman" w:hint="default"/>
        </w:rPr>
        <w:t>3</w:t>
      </w:r>
      <w:r>
        <w:rPr/>
        <w:t>、因技术和工艺固有局限导致的产品质量事故风险</w:t>
      </w:r>
      <w:r>
        <w:rPr>
          <w:b w:val="0"/>
          <w:bCs w:val="0"/>
        </w:rPr>
      </w:r>
    </w:p>
    <w:p>
      <w:pPr>
        <w:spacing w:line="240" w:lineRule="auto" w:before="13"/>
        <w:rPr>
          <w:rFonts w:ascii="宋体" w:hAnsi="宋体" w:cs="宋体" w:eastAsia="宋体" w:hint="default"/>
          <w:b/>
          <w:bCs/>
          <w:sz w:val="13"/>
          <w:szCs w:val="13"/>
        </w:rPr>
      </w:pPr>
    </w:p>
    <w:p>
      <w:pPr>
        <w:pStyle w:val="BodyText"/>
        <w:spacing w:line="312" w:lineRule="auto"/>
        <w:ind w:right="174" w:firstLine="360"/>
        <w:jc w:val="left"/>
      </w:pPr>
      <w:r>
        <w:rPr/>
        <w:t>由于高通量测序技术和生物信息学分析手段存在一定局限性，难以达到</w:t>
      </w:r>
      <w:r>
        <w:rPr>
          <w:rFonts w:ascii="Times New Roman" w:hAnsi="Times New Roman" w:cs="Times New Roman" w:eastAsia="Times New Roman" w:hint="default"/>
        </w:rPr>
        <w:t>100%</w:t>
      </w:r>
      <w:r>
        <w:rPr/>
        <w:t>的准确度。虽然公司已与保险公司签订合 作协议书，并出资为无创产前基因检测的受检者进行投保，最大限度地降低了相关产品质量事故给公司造成的风险，如果 公司因生产工艺的技术限制导致在诊断或研究服务中提供了错误的结果，给诊断或研究服务的使用人带来较为严重的后 果，公司或将面临承担赔偿责任的风险。</w:t>
      </w:r>
    </w:p>
    <w:p>
      <w:pPr>
        <w:pStyle w:val="BodyText"/>
        <w:spacing w:line="316" w:lineRule="auto" w:before="142"/>
        <w:ind w:right="234" w:firstLine="360"/>
        <w:jc w:val="left"/>
      </w:pPr>
      <w:r>
        <w:rPr/>
        <w:t>公司将强化技术布局，不断加大对新产品研发投入力度，提升高通量测序技术的准确度，尽最大可能降低固有局限导 致的产品质量事故风险。</w:t>
      </w:r>
    </w:p>
    <w:p>
      <w:pPr>
        <w:pStyle w:val="Heading4"/>
        <w:spacing w:line="240" w:lineRule="auto" w:before="139"/>
        <w:ind w:left="513" w:right="141"/>
        <w:jc w:val="left"/>
        <w:rPr>
          <w:b w:val="0"/>
          <w:bCs w:val="0"/>
        </w:rPr>
      </w:pPr>
      <w:r>
        <w:rPr>
          <w:rFonts w:ascii="Times New Roman" w:hAnsi="Times New Roman" w:cs="Times New Roman" w:eastAsia="Times New Roman" w:hint="default"/>
        </w:rPr>
        <w:t>4</w:t>
      </w:r>
      <w:r>
        <w:rPr/>
        <w:t>、新产品研发失败风险</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13" w:right="141"/>
        <w:jc w:val="left"/>
      </w:pPr>
      <w:r>
        <w:rPr/>
        <w:t>公司为巩固和提升核心竞争能力，一直重视研究开发新的服务种类，最近三年（</w:t>
      </w:r>
      <w:r>
        <w:rPr>
          <w:rFonts w:ascii="Times New Roman" w:hAnsi="Times New Roman" w:cs="Times New Roman" w:eastAsia="Times New Roman" w:hint="default"/>
        </w:rPr>
        <w:t>2015-2017</w:t>
      </w:r>
      <w:r>
        <w:rPr/>
        <w:t>年）的研发费支出分别为</w:t>
      </w:r>
    </w:p>
    <w:p>
      <w:pPr>
        <w:pStyle w:val="BodyText"/>
        <w:spacing w:line="240" w:lineRule="auto" w:before="63"/>
        <w:ind w:right="141"/>
        <w:jc w:val="left"/>
      </w:pPr>
      <w:r>
        <w:rPr>
          <w:rFonts w:ascii="Times New Roman" w:hAnsi="Times New Roman" w:cs="Times New Roman" w:eastAsia="Times New Roman" w:hint="default"/>
        </w:rPr>
        <w:t>10,176.42</w:t>
      </w:r>
      <w:r>
        <w:rPr/>
        <w:t>万元、</w:t>
      </w:r>
      <w:r>
        <w:rPr>
          <w:rFonts w:ascii="Times New Roman" w:hAnsi="Times New Roman" w:cs="Times New Roman" w:eastAsia="Times New Roman" w:hint="default"/>
        </w:rPr>
        <w:t>17,672.41</w:t>
      </w:r>
      <w:r>
        <w:rPr/>
        <w:t>万元和</w:t>
      </w:r>
      <w:r>
        <w:rPr>
          <w:rFonts w:ascii="Times New Roman" w:hAnsi="Times New Roman" w:cs="Times New Roman" w:eastAsia="Times New Roman" w:hint="default"/>
        </w:rPr>
        <w:t>17,431.41</w:t>
      </w:r>
      <w:r>
        <w:rPr/>
        <w:t>万元。</w:t>
      </w:r>
    </w:p>
    <w:p>
      <w:pPr>
        <w:spacing w:line="240" w:lineRule="auto" w:before="13"/>
        <w:rPr>
          <w:rFonts w:ascii="宋体" w:hAnsi="宋体" w:cs="宋体" w:eastAsia="宋体" w:hint="default"/>
          <w:sz w:val="13"/>
          <w:szCs w:val="13"/>
        </w:rPr>
      </w:pPr>
    </w:p>
    <w:p>
      <w:pPr>
        <w:pStyle w:val="BodyText"/>
        <w:spacing w:line="316" w:lineRule="auto"/>
        <w:ind w:right="251" w:firstLine="360"/>
        <w:jc w:val="both"/>
      </w:pPr>
      <w:r>
        <w:rPr/>
        <w:t>公司在遗传性耳聋、孕前遗传病、无创产前检测、肿瘤等多个诊断服务领域，以及基础科研领域进行大量研发。由于 基因组学应用行业具有技术水平高，发展变化快的特点，在研发过程中，研发团队、管理水平、技术路线选择都会影响产 品研发的成败。如果公司在投入大量研发经费后，无法研发出具有商业价值，符合市场需求的产品，将给公司的盈利能力 产生不利影响。</w:t>
      </w:r>
    </w:p>
    <w:p>
      <w:pPr>
        <w:pStyle w:val="BodyText"/>
        <w:spacing w:line="316" w:lineRule="auto" w:before="139"/>
        <w:ind w:right="249" w:firstLine="360"/>
        <w:jc w:val="both"/>
      </w:pPr>
      <w:r>
        <w:rPr/>
        <w:t>公司将在技术研发领域强化前瞻性战略布局，不断加大对新产品研发和并购的投入力度，结合临床试点经验与市场需 求，加快基因组学产品技术的升级换代，促进基因测序技术在个性化医疗、肿瘤和遗传病、微生物、农业研究、器官移植 等方面的业务发展。</w:t>
      </w:r>
    </w:p>
    <w:p>
      <w:pPr>
        <w:pStyle w:val="BodyText"/>
        <w:spacing w:line="432" w:lineRule="exact" w:before="3"/>
        <w:ind w:left="513" w:right="233"/>
        <w:jc w:val="left"/>
      </w:pPr>
      <w:r>
        <w:rPr>
          <w:rFonts w:ascii="Times New Roman" w:hAnsi="Times New Roman" w:cs="Times New Roman" w:eastAsia="Times New Roman" w:hint="default"/>
          <w:b/>
          <w:bCs/>
        </w:rPr>
        <w:t>5</w:t>
      </w:r>
      <w:r>
        <w:rPr>
          <w:rFonts w:ascii="宋体" w:hAnsi="宋体" w:cs="宋体" w:eastAsia="宋体" w:hint="default"/>
          <w:b/>
          <w:bCs/>
        </w:rPr>
        <w:t>、知识产权纠纷风险</w:t>
      </w:r>
      <w:r>
        <w:rPr>
          <w:rFonts w:ascii="宋体" w:hAnsi="宋体" w:cs="宋体" w:eastAsia="宋体" w:hint="default"/>
          <w:b/>
          <w:bCs/>
          <w:w w:val="99"/>
        </w:rPr>
        <w:t> </w:t>
      </w:r>
      <w:r>
        <w:rPr/>
        <w:t>由于公司所从事的基因组学应用行业属于新兴的高技术行业，具有技术复杂、专业性高和知识更新快的特点，而且各</w:t>
      </w:r>
    </w:p>
    <w:p>
      <w:pPr>
        <w:pStyle w:val="BodyText"/>
        <w:spacing w:line="316" w:lineRule="auto" w:before="15"/>
        <w:ind w:right="234"/>
        <w:jc w:val="left"/>
      </w:pPr>
      <w:r>
        <w:rPr/>
        <w:t>个国家、地区及企业之间竞争激烈，不同国家、地区之间的监管存在一定差异。如果公司在运用相关技术进行生产经营 时，未能充分认识到可能侵犯第三方申请在先的知识产权，或其他公司未经授权而擅自使用或侵犯华大基因的知识产权， 上述行为的发生将可能会产生知识产权侵权的纠纷。</w:t>
      </w:r>
    </w:p>
    <w:p>
      <w:pPr>
        <w:pStyle w:val="BodyText"/>
        <w:spacing w:line="316" w:lineRule="auto" w:before="139"/>
        <w:ind w:right="234" w:firstLine="360"/>
        <w:jc w:val="left"/>
      </w:pPr>
      <w:r>
        <w:rPr/>
        <w:t>公司将充分了解目标市场所在地区的监管法规与知识产权法规政策，加大知识产权布局力度，推进市场开拓尤其是海 外市场时及时申请知识产权和进行资质认证，避免因知识产权侵权纠纷产生经济损失。</w:t>
      </w:r>
    </w:p>
    <w:p>
      <w:pPr>
        <w:spacing w:line="240" w:lineRule="auto" w:before="11"/>
        <w:rPr>
          <w:rFonts w:ascii="宋体" w:hAnsi="宋体" w:cs="宋体" w:eastAsia="宋体" w:hint="default"/>
          <w:sz w:val="20"/>
          <w:szCs w:val="20"/>
        </w:rPr>
      </w:pPr>
    </w:p>
    <w:p>
      <w:pPr>
        <w:pStyle w:val="Heading2"/>
        <w:spacing w:line="240" w:lineRule="auto"/>
        <w:ind w:right="141"/>
        <w:jc w:val="left"/>
        <w:rPr>
          <w:b w:val="0"/>
          <w:bCs w:val="0"/>
        </w:rPr>
      </w:pP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177"/>
        <w:gridCol w:w="2177"/>
        <w:gridCol w:w="2177"/>
        <w:gridCol w:w="3039"/>
      </w:tblGrid>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0"/>
              <w:jc w:val="righ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6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6" w:right="76"/>
              <w:jc w:val="left"/>
              <w:rPr>
                <w:rFonts w:ascii="宋体" w:hAnsi="宋体" w:cs="宋体" w:eastAsia="宋体" w:hint="default"/>
                <w:sz w:val="18"/>
                <w:szCs w:val="18"/>
              </w:rPr>
            </w:pPr>
            <w:r>
              <w:rPr>
                <w:rFonts w:ascii="宋体" w:hAnsi="宋体" w:cs="宋体" w:eastAsia="宋体" w:hint="default"/>
                <w:sz w:val="18"/>
                <w:szCs w:val="18"/>
              </w:rPr>
              <w:t>（</w:t>
            </w:r>
            <w:hyperlink r:id="rId32">
              <w:r>
                <w:rPr>
                  <w:rFonts w:ascii="Times New Roman" w:hAnsi="Times New Roman" w:cs="Times New Roman" w:eastAsia="Times New Roman" w:hint="default"/>
                  <w:sz w:val="18"/>
                  <w:szCs w:val="18"/>
                </w:rPr>
                <w:t>http://irm.cninfo.com.cn/ssessgs/S300</w:t>
              </w:r>
            </w:hyperlink>
            <w:r>
              <w:rPr>
                <w:rFonts w:ascii="Times New Roman" w:hAnsi="Times New Roman" w:cs="Times New Roman" w:eastAsia="Times New Roman" w:hint="default"/>
                <w:sz w:val="18"/>
                <w:szCs w:val="18"/>
              </w:rPr>
              <w:t> 676/index.html</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日投 资者关系活动记录表</w:t>
            </w:r>
          </w:p>
        </w:tc>
      </w:tr>
    </w:tbl>
    <w:p>
      <w:pPr>
        <w:spacing w:after="0" w:line="300"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751" w:right="3787"/>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4"/>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报告期内普通股利润分配政策，特别是现金分红政策的制定、执行或调整情况</w:t>
      </w:r>
    </w:p>
    <w:p>
      <w:pPr>
        <w:pStyle w:val="BodyText"/>
        <w:spacing w:line="415" w:lineRule="auto" w:before="117"/>
        <w:ind w:left="513" w:right="549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按照《公司章程》规定，公司的利润分配政策为：</w:t>
      </w:r>
    </w:p>
    <w:p>
      <w:pPr>
        <w:pStyle w:val="BodyText"/>
        <w:spacing w:line="240" w:lineRule="auto" w:before="65"/>
        <w:ind w:left="513" w:right="94"/>
        <w:jc w:val="left"/>
      </w:pPr>
      <w:r>
        <w:rPr/>
        <w:t>（一）利润分配原则</w:t>
      </w:r>
    </w:p>
    <w:p>
      <w:pPr>
        <w:spacing w:line="240" w:lineRule="auto" w:before="1"/>
        <w:rPr>
          <w:rFonts w:ascii="宋体" w:hAnsi="宋体" w:cs="宋体" w:eastAsia="宋体" w:hint="default"/>
          <w:sz w:val="15"/>
          <w:szCs w:val="15"/>
        </w:rPr>
      </w:pPr>
    </w:p>
    <w:p>
      <w:pPr>
        <w:pStyle w:val="BodyText"/>
        <w:spacing w:line="316" w:lineRule="auto"/>
        <w:ind w:right="179" w:firstLine="360"/>
        <w:jc w:val="left"/>
      </w:pPr>
      <w:r>
        <w:rPr>
          <w:spacing w:val="-5"/>
        </w:rPr>
        <w:t>公司实行连续、稳定的利润分配政策，具体利润分配方式应结合公司利润实现状况、现金流量状况和股本规模进行决定。</w:t>
      </w:r>
      <w:r>
        <w:rPr/>
        <w:t> 公司董事会和股东大会在利润分配政策的决策和论证过程中应当充分考虑独立董事和公众投资者的意见。</w:t>
      </w:r>
    </w:p>
    <w:p>
      <w:pPr>
        <w:pStyle w:val="BodyText"/>
        <w:spacing w:line="432" w:lineRule="exact" w:before="3"/>
        <w:ind w:left="513" w:right="94"/>
        <w:jc w:val="left"/>
      </w:pPr>
      <w:r>
        <w:rPr/>
        <w:t>（二）利润分配的形式 </w:t>
      </w:r>
      <w:r>
        <w:rPr>
          <w:spacing w:val="-2"/>
        </w:rPr>
        <w:t>公司采取现金、股票或者现金与股票相结合的方式分配股利。凡具备现金分红条件的，公司优先采取现金分红的利润分</w:t>
      </w:r>
    </w:p>
    <w:p>
      <w:pPr>
        <w:pStyle w:val="BodyText"/>
        <w:spacing w:line="316" w:lineRule="auto" w:before="15"/>
        <w:ind w:right="94"/>
        <w:jc w:val="left"/>
      </w:pPr>
      <w:r>
        <w:rPr>
          <w:spacing w:val="-2"/>
        </w:rPr>
        <w:t>配方式；在公司有重大投资计划或重大现金支出等事项发生或者出现其他需满足公司正常生产经营的资金需求情况时，公司</w:t>
      </w:r>
      <w:r>
        <w:rPr>
          <w:spacing w:val="-64"/>
        </w:rPr>
        <w:t> </w:t>
      </w:r>
      <w:r>
        <w:rPr>
          <w:spacing w:val="-64"/>
        </w:rPr>
      </w:r>
      <w:r>
        <w:rPr/>
        <w:t>可以采取股票方式分配股利。</w:t>
      </w:r>
    </w:p>
    <w:p>
      <w:pPr>
        <w:pStyle w:val="BodyText"/>
        <w:spacing w:line="439" w:lineRule="auto" w:before="139"/>
        <w:ind w:left="513" w:right="93"/>
        <w:jc w:val="left"/>
      </w:pPr>
      <w:r>
        <w:rPr/>
        <w:t>（三）现金分配的条件 满足以下条件的，公司应该进行现金分配，在不满足以下条件的情况下，公司可根据实际情况确定是否进行现金分配：</w:t>
      </w:r>
      <w:r>
        <w:rPr>
          <w:spacing w:val="-85"/>
        </w:rPr>
        <w:t> </w:t>
      </w:r>
      <w:r>
        <w:rPr>
          <w:spacing w:val="-85"/>
        </w:rPr>
      </w:r>
      <w:r>
        <w:rPr>
          <w:rFonts w:ascii="Times New Roman" w:hAnsi="Times New Roman" w:cs="Times New Roman" w:eastAsia="Times New Roman" w:hint="default"/>
        </w:rPr>
        <w:t>1</w:t>
      </w:r>
      <w:r>
        <w:rPr/>
        <w:t>、公司该年度实现的可分配利润（即公司弥补亏损、提取公积金后所余的税后利润）为正值；</w:t>
      </w:r>
    </w:p>
    <w:p>
      <w:pPr>
        <w:pStyle w:val="BodyText"/>
        <w:spacing w:line="240" w:lineRule="auto" w:before="17"/>
        <w:ind w:left="513" w:right="94"/>
        <w:jc w:val="left"/>
      </w:pPr>
      <w:r>
        <w:rPr>
          <w:rFonts w:ascii="Times New Roman" w:hAnsi="Times New Roman" w:cs="Times New Roman" w:eastAsia="Times New Roman" w:hint="default"/>
        </w:rPr>
        <w:t>2</w:t>
      </w:r>
      <w:r>
        <w:rPr/>
        <w:t>、审计机构对公司的该年度财务报告出具标准无保留意见的审计报告；</w:t>
      </w:r>
    </w:p>
    <w:p>
      <w:pPr>
        <w:spacing w:line="240" w:lineRule="auto" w:before="13"/>
        <w:rPr>
          <w:rFonts w:ascii="宋体" w:hAnsi="宋体" w:cs="宋体" w:eastAsia="宋体" w:hint="default"/>
          <w:sz w:val="13"/>
          <w:szCs w:val="13"/>
        </w:rPr>
      </w:pPr>
    </w:p>
    <w:p>
      <w:pPr>
        <w:pStyle w:val="BodyText"/>
        <w:spacing w:line="415" w:lineRule="auto"/>
        <w:ind w:left="513" w:right="3423"/>
        <w:jc w:val="left"/>
      </w:pPr>
      <w:r>
        <w:rPr>
          <w:rFonts w:ascii="Times New Roman" w:hAnsi="Times New Roman" w:cs="Times New Roman" w:eastAsia="Times New Roman" w:hint="default"/>
        </w:rPr>
        <w:t>3</w:t>
      </w:r>
      <w:r>
        <w:rPr/>
        <w:t>、公司无重大投资计划或重大现金支出等事项发生（募集资金项目除外）。 重大投资计划或重大现金支出是指：</w:t>
      </w:r>
    </w:p>
    <w:p>
      <w:pPr>
        <w:pStyle w:val="BodyText"/>
        <w:spacing w:line="300" w:lineRule="auto" w:before="65"/>
        <w:ind w:right="184" w:firstLine="360"/>
        <w:jc w:val="left"/>
      </w:pPr>
      <w:r>
        <w:rPr>
          <w:rFonts w:ascii="Times New Roman" w:hAnsi="Times New Roman" w:cs="Times New Roman" w:eastAsia="Times New Roman" w:hint="default"/>
        </w:rPr>
        <w:t>1</w:t>
      </w:r>
      <w:r>
        <w:rPr/>
        <w:t>、公司未来十二个月内拟对外资本投资、实业投资、收购资产或者购买设备的累计支出达到或者超过公司最近一期经 审计净资产的</w:t>
      </w:r>
      <w:r>
        <w:rPr>
          <w:rFonts w:ascii="Times New Roman" w:hAnsi="Times New Roman" w:cs="Times New Roman" w:eastAsia="Times New Roman" w:hint="default"/>
        </w:rPr>
        <w:t>20%</w:t>
      </w:r>
      <w:r>
        <w:rPr/>
        <w:t>，且超过</w:t>
      </w:r>
      <w:r>
        <w:rPr>
          <w:rFonts w:ascii="Times New Roman" w:hAnsi="Times New Roman" w:cs="Times New Roman" w:eastAsia="Times New Roman" w:hint="default"/>
        </w:rPr>
        <w:t>5,000</w:t>
      </w:r>
      <w:r>
        <w:rPr/>
        <w:t>万元人民币；</w:t>
      </w:r>
    </w:p>
    <w:p>
      <w:pPr>
        <w:pStyle w:val="BodyText"/>
        <w:spacing w:line="300" w:lineRule="auto" w:before="133"/>
        <w:ind w:right="185" w:firstLine="360"/>
        <w:jc w:val="left"/>
      </w:pPr>
      <w:r>
        <w:rPr>
          <w:rFonts w:ascii="Times New Roman" w:hAnsi="Times New Roman" w:cs="Times New Roman" w:eastAsia="Times New Roman" w:hint="default"/>
        </w:rPr>
        <w:t>2</w:t>
      </w:r>
      <w:r>
        <w:rPr/>
        <w:t>、</w:t>
      </w:r>
      <w:r>
        <w:rPr>
          <w:spacing w:val="9"/>
        </w:rPr>
        <w:t> </w:t>
      </w:r>
      <w:r>
        <w:rPr>
          <w:spacing w:val="-2"/>
        </w:rPr>
        <w:t>公司未来十二个月内拟对外资本投资、实业投资、收购资产或者购买设备的累计支出达到或者超过公司最近一期经</w:t>
      </w:r>
      <w:r>
        <w:rPr/>
        <w:t> 审计总资产的</w:t>
      </w:r>
      <w:r>
        <w:rPr>
          <w:rFonts w:ascii="Times New Roman" w:hAnsi="Times New Roman" w:cs="Times New Roman" w:eastAsia="Times New Roman" w:hint="default"/>
        </w:rPr>
        <w:t>10%</w:t>
      </w:r>
      <w:r>
        <w:rPr/>
        <w:t>。</w:t>
      </w:r>
    </w:p>
    <w:p>
      <w:pPr>
        <w:pStyle w:val="BodyText"/>
        <w:spacing w:line="439" w:lineRule="auto" w:before="133"/>
        <w:ind w:left="513" w:right="453"/>
        <w:jc w:val="left"/>
      </w:pPr>
      <w:r>
        <w:rPr/>
        <w:t>（四）利润分配的时间间隔 公司原则进行年度利润分配，在有条件的情况下，公司董事会可以根据公司经营状况提议公司进行中期利润分配。</w:t>
      </w:r>
    </w:p>
    <w:p>
      <w:pPr>
        <w:pStyle w:val="BodyText"/>
        <w:spacing w:line="240" w:lineRule="auto" w:before="47"/>
        <w:ind w:left="513" w:right="94"/>
        <w:jc w:val="left"/>
      </w:pPr>
      <w:r>
        <w:rPr/>
        <w:t>（五）利润分配的比例</w:t>
      </w:r>
    </w:p>
    <w:p>
      <w:pPr>
        <w:spacing w:line="240" w:lineRule="auto" w:before="0"/>
        <w:rPr>
          <w:rFonts w:ascii="宋体" w:hAnsi="宋体" w:cs="宋体" w:eastAsia="宋体" w:hint="default"/>
          <w:sz w:val="15"/>
          <w:szCs w:val="15"/>
        </w:rPr>
      </w:pPr>
    </w:p>
    <w:p>
      <w:pPr>
        <w:pStyle w:val="BodyText"/>
        <w:spacing w:line="316" w:lineRule="auto"/>
        <w:ind w:right="94" w:firstLine="360"/>
        <w:jc w:val="left"/>
      </w:pPr>
      <w:r>
        <w:rPr>
          <w:spacing w:val="-2"/>
        </w:rPr>
        <w:t>公司董事会应当综合考虑所处行业特点、发展阶段、自身经营模式、盈利水平以及是否有重大资金支出安排等因素，区</w:t>
      </w:r>
      <w:r>
        <w:rPr/>
        <w:t> 分下列情形，并按照公司章程规定的程序，提出差异化的现金分红政策：</w:t>
      </w:r>
    </w:p>
    <w:p>
      <w:pPr>
        <w:pStyle w:val="BodyText"/>
        <w:spacing w:line="300" w:lineRule="auto" w:before="139"/>
        <w:ind w:right="182" w:firstLine="360"/>
        <w:jc w:val="left"/>
      </w:pPr>
      <w:r>
        <w:rPr>
          <w:rFonts w:ascii="Times New Roman" w:hAnsi="Times New Roman" w:cs="Times New Roman" w:eastAsia="Times New Roman" w:hint="default"/>
        </w:rPr>
        <w:t>1</w:t>
      </w:r>
      <w:r>
        <w:rPr/>
        <w:t>、</w:t>
      </w:r>
      <w:r>
        <w:rPr>
          <w:spacing w:val="12"/>
        </w:rPr>
        <w:t> </w:t>
      </w:r>
      <w:r>
        <w:rPr>
          <w:spacing w:val="-2"/>
        </w:rPr>
        <w:t>公司发展阶段属成熟期且无重大资金支出安排的，进行利润分配时，现金分红在本次利润分配中所占比例最低应达</w:t>
      </w:r>
      <w:r>
        <w:rPr/>
        <w:t> 到</w:t>
      </w:r>
      <w:r>
        <w:rPr>
          <w:rFonts w:ascii="Times New Roman" w:hAnsi="Times New Roman" w:cs="Times New Roman" w:eastAsia="Times New Roman" w:hint="default"/>
        </w:rPr>
        <w:t>80%</w:t>
      </w:r>
      <w:r>
        <w:rPr/>
        <w:t>；</w:t>
      </w:r>
    </w:p>
    <w:p>
      <w:pPr>
        <w:pStyle w:val="BodyText"/>
        <w:spacing w:line="300" w:lineRule="auto" w:before="133"/>
        <w:ind w:right="184" w:firstLine="360"/>
        <w:jc w:val="left"/>
      </w:pP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、公司发展阶段属成熟期且有重大资金支出安排的，进行利润分配时，现金分红在本次利润分配中所占比例最低应达 到</w:t>
      </w:r>
      <w:r>
        <w:rPr>
          <w:rFonts w:ascii="Times New Roman" w:hAnsi="Times New Roman" w:cs="Times New Roman" w:eastAsia="Times New Roman" w:hint="default"/>
        </w:rPr>
        <w:t>40%</w:t>
      </w:r>
      <w:r>
        <w:rPr/>
        <w:t>；</w:t>
      </w:r>
    </w:p>
    <w:p>
      <w:pPr>
        <w:pStyle w:val="BodyText"/>
        <w:spacing w:line="240" w:lineRule="auto" w:before="133"/>
        <w:ind w:left="513" w:right="94"/>
        <w:jc w:val="left"/>
      </w:pP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、公司发展阶段属成长期且有重大资金支出安排的，进行利润分配时，现金分红在本次利润分配中所占比例最低应达</w:t>
      </w:r>
    </w:p>
    <w:p>
      <w:pPr>
        <w:spacing w:after="0" w:line="240" w:lineRule="auto"/>
        <w:jc w:val="left"/>
        <w:sectPr>
          <w:pgSz w:w="11910" w:h="16840"/>
          <w:pgMar w:header="880" w:footer="974" w:top="1100" w:bottom="1160" w:left="980" w:right="940"/>
        </w:sectPr>
      </w:pPr>
    </w:p>
    <w:p>
      <w:pPr>
        <w:spacing w:line="240" w:lineRule="auto" w:before="0"/>
        <w:rPr>
          <w:rFonts w:ascii="宋体" w:hAnsi="宋体" w:cs="宋体" w:eastAsia="宋体" w:hint="default"/>
          <w:sz w:val="22"/>
          <w:szCs w:val="22"/>
        </w:rPr>
      </w:pPr>
    </w:p>
    <w:p>
      <w:pPr>
        <w:pStyle w:val="BodyText"/>
        <w:spacing w:line="240" w:lineRule="auto" w:before="44"/>
        <w:ind w:right="141"/>
        <w:jc w:val="left"/>
      </w:pPr>
      <w:r>
        <w:rPr/>
        <w:t>到</w:t>
      </w:r>
      <w:r>
        <w:rPr>
          <w:rFonts w:ascii="Times New Roman" w:hAnsi="Times New Roman" w:cs="Times New Roman" w:eastAsia="Times New Roman" w:hint="default"/>
        </w:rPr>
        <w:t>20%</w:t>
      </w:r>
      <w:r>
        <w:rPr/>
        <w:t>。</w:t>
      </w:r>
    </w:p>
    <w:p>
      <w:pPr>
        <w:spacing w:line="240" w:lineRule="auto" w:before="13"/>
        <w:rPr>
          <w:rFonts w:ascii="宋体" w:hAnsi="宋体" w:cs="宋体" w:eastAsia="宋体" w:hint="default"/>
          <w:sz w:val="13"/>
          <w:szCs w:val="13"/>
        </w:rPr>
      </w:pPr>
    </w:p>
    <w:p>
      <w:pPr>
        <w:pStyle w:val="BodyText"/>
        <w:spacing w:line="240" w:lineRule="auto"/>
        <w:ind w:left="513" w:right="141"/>
        <w:jc w:val="left"/>
      </w:pPr>
      <w:r>
        <w:rPr/>
        <w:t>公司发展阶段不易区分但有重大资金支出安排的，可以按照前项规定处理。</w:t>
      </w:r>
    </w:p>
    <w:p>
      <w:pPr>
        <w:spacing w:line="240" w:lineRule="auto" w:before="0"/>
        <w:rPr>
          <w:rFonts w:ascii="宋体" w:hAnsi="宋体" w:cs="宋体" w:eastAsia="宋体" w:hint="default"/>
          <w:sz w:val="15"/>
          <w:szCs w:val="15"/>
        </w:rPr>
      </w:pPr>
    </w:p>
    <w:p>
      <w:pPr>
        <w:pStyle w:val="BodyText"/>
        <w:spacing w:line="240" w:lineRule="auto"/>
        <w:ind w:left="513" w:right="141"/>
        <w:jc w:val="left"/>
      </w:pPr>
      <w:r>
        <w:rPr/>
        <w:t>（六）利润分配方案的决策程序和机制</w:t>
      </w:r>
    </w:p>
    <w:p>
      <w:pPr>
        <w:spacing w:line="240" w:lineRule="auto" w:before="0"/>
        <w:rPr>
          <w:rFonts w:ascii="宋体" w:hAnsi="宋体" w:cs="宋体" w:eastAsia="宋体" w:hint="default"/>
          <w:sz w:val="15"/>
          <w:szCs w:val="15"/>
        </w:rPr>
      </w:pPr>
    </w:p>
    <w:p>
      <w:pPr>
        <w:pStyle w:val="BodyText"/>
        <w:spacing w:line="309" w:lineRule="auto"/>
        <w:ind w:right="155" w:firstLine="360"/>
        <w:jc w:val="both"/>
      </w:pPr>
      <w:r>
        <w:rPr>
          <w:rFonts w:ascii="Times New Roman" w:hAnsi="Times New Roman" w:cs="Times New Roman" w:eastAsia="Times New Roman" w:hint="default"/>
        </w:rPr>
        <w:t>1</w:t>
      </w:r>
      <w:r>
        <w:rPr/>
        <w:t>、公司董事会应根据所处行业特点、发展阶段和自身经营模式、盈利水平、资金需求等因素，研究和论证公司现金分 </w:t>
      </w:r>
      <w:r>
        <w:rPr>
          <w:spacing w:val="-2"/>
        </w:rPr>
        <w:t>红的时机、条件和最低比例、调整的条件及其决策程序要求等事宜，拟定利润分配预案，独立董事发表明确意见后，提交股</w:t>
      </w:r>
      <w:r>
        <w:rPr>
          <w:spacing w:val="-67"/>
        </w:rPr>
        <w:t> </w:t>
      </w:r>
      <w:r>
        <w:rPr>
          <w:spacing w:val="-67"/>
        </w:rPr>
      </w:r>
      <w:r>
        <w:rPr/>
        <w:t>东大会审议。独立董事可以征集中小股东的意见，提出分红提案，并直接提交董事会审议。</w:t>
      </w:r>
    </w:p>
    <w:p>
      <w:pPr>
        <w:pStyle w:val="BodyText"/>
        <w:spacing w:line="300" w:lineRule="auto" w:before="144"/>
        <w:ind w:right="155" w:firstLine="360"/>
        <w:jc w:val="both"/>
      </w:pPr>
      <w:r>
        <w:rPr>
          <w:rFonts w:ascii="Times New Roman" w:hAnsi="Times New Roman" w:cs="Times New Roman" w:eastAsia="Times New Roman" w:hint="default"/>
        </w:rPr>
        <w:t>2</w:t>
      </w:r>
      <w:r>
        <w:rPr/>
        <w:t>、股东大会审议利润分配方案前，应通过多种渠道主动与股东特别是中小股东进行沟通和交流，充分听取中小股东的 意见和诉求，及时答复中小股东关心的问题。</w:t>
      </w:r>
    </w:p>
    <w:p>
      <w:pPr>
        <w:pStyle w:val="BodyText"/>
        <w:spacing w:line="300" w:lineRule="auto" w:before="151"/>
        <w:ind w:right="155" w:firstLine="360"/>
        <w:jc w:val="both"/>
      </w:pPr>
      <w:r>
        <w:rPr>
          <w:rFonts w:ascii="Times New Roman" w:hAnsi="Times New Roman" w:cs="Times New Roman" w:eastAsia="Times New Roman" w:hint="default"/>
        </w:rPr>
        <w:t>3</w:t>
      </w:r>
      <w:r>
        <w:rPr/>
        <w:t>、公司因特殊情况无法按照既定的现金分红政策或最低现金分红比例确定当年利润分配方案时，应当披露具体原因以 及独立董事的明确意见。</w:t>
      </w:r>
    </w:p>
    <w:p>
      <w:pPr>
        <w:pStyle w:val="BodyText"/>
        <w:spacing w:line="300" w:lineRule="auto" w:before="151"/>
        <w:ind w:right="155" w:firstLine="360"/>
        <w:jc w:val="both"/>
      </w:pPr>
      <w:r>
        <w:rPr>
          <w:rFonts w:ascii="Times New Roman" w:hAnsi="Times New Roman" w:cs="Times New Roman" w:eastAsia="Times New Roman" w:hint="default"/>
        </w:rPr>
        <w:t>4</w:t>
      </w:r>
      <w:r>
        <w:rPr/>
        <w:t>、如对本章程确定的现金分红政策进行调整或者变更的，应当经过详细论证后履行相应的决策程序，并经出席股东大 会的股东所持表决权的</w:t>
      </w:r>
      <w:r>
        <w:rPr>
          <w:rFonts w:ascii="Times New Roman" w:hAnsi="Times New Roman" w:cs="Times New Roman" w:eastAsia="Times New Roman" w:hint="default"/>
        </w:rPr>
        <w:t>2/3</w:t>
      </w:r>
      <w:r>
        <w:rPr/>
        <w:t>以上通过。</w:t>
      </w:r>
    </w:p>
    <w:p>
      <w:pPr>
        <w:spacing w:line="240" w:lineRule="auto" w:before="0"/>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141"/>
        <w:jc w:val="left"/>
      </w:pPr>
      <w:r>
        <w:rPr/>
        <w:t>公司报告期利润分配预案及资本公积金转增股本预案与公司章程和分红管理办法等的相关规定一致</w:t>
      </w:r>
    </w:p>
    <w:p>
      <w:pPr>
        <w:pStyle w:val="BodyText"/>
        <w:spacing w:line="348" w:lineRule="auto" w:before="115"/>
        <w:ind w:right="32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3719"/>
        <w:gridCol w:w="5850"/>
      </w:tblGrid>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3.00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400,100,000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120,030,000.00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120,524,882.04</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6"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9568"/>
      </w:tblGrid>
      <w:tr>
        <w:trPr>
          <w:trHeight w:val="401" w:hRule="exact"/>
        </w:trPr>
        <w:tc>
          <w:tcPr>
            <w:tcW w:w="9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316"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21" w:firstLine="360"/>
              <w:jc w:val="both"/>
              <w:rPr>
                <w:rFonts w:ascii="宋体" w:hAnsi="宋体" w:cs="宋体" w:eastAsia="宋体" w:hint="default"/>
                <w:sz w:val="18"/>
                <w:szCs w:val="18"/>
              </w:rPr>
            </w:pPr>
            <w:r>
              <w:rPr>
                <w:rFonts w:ascii="宋体" w:hAnsi="宋体" w:cs="宋体" w:eastAsia="宋体" w:hint="default"/>
                <w:spacing w:val="-2"/>
                <w:sz w:val="18"/>
                <w:szCs w:val="18"/>
              </w:rPr>
              <w:t>经安永华明会计师事务所（特殊普通合伙）审计，深圳华大基因股份有限公司（以下简称“公司”）</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年度母公司 实现净利润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154,673,846.17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元。根据《公司法》和《公司章程》的有关规定，以母公司净利润数为基数提取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的法定盈 余公积金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15,467,384.62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元后，加上母公司年初未分配利润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89,318,420.49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元，减去</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年分红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108,000,000.00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日，母公司实际可供股东分配的利润为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120,524,882.04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3"/>
              <w:ind w:left="38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年度公司利润分配预案为：公司拟以截至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宋体" w:hAnsi="宋体" w:cs="宋体" w:eastAsia="宋体" w:hint="default"/>
                <w:sz w:val="18"/>
                <w:szCs w:val="18"/>
              </w:rPr>
              <w:t>股派发现金股利</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92"/>
                <w:sz w:val="18"/>
                <w:szCs w:val="18"/>
              </w:rPr>
              <w:t>）</w:t>
            </w:r>
            <w:r>
              <w:rPr>
                <w:rFonts w:ascii="宋体" w:hAnsi="宋体" w:cs="宋体" w:eastAsia="宋体" w:hint="default"/>
                <w:sz w:val="18"/>
                <w:szCs w:val="18"/>
              </w:rPr>
              <w:t>，共分配现</w:t>
            </w:r>
            <w:r>
              <w:rPr>
                <w:rFonts w:ascii="宋体" w:hAnsi="宋体" w:cs="宋体" w:eastAsia="宋体" w:hint="default"/>
                <w:spacing w:val="2"/>
                <w:sz w:val="18"/>
                <w:szCs w:val="18"/>
              </w:rPr>
              <w:t>金</w:t>
            </w:r>
            <w:r>
              <w:rPr>
                <w:rFonts w:ascii="宋体" w:hAnsi="宋体" w:cs="宋体" w:eastAsia="宋体" w:hint="default"/>
                <w:sz w:val="18"/>
                <w:szCs w:val="18"/>
              </w:rPr>
              <w:t>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，剩余未分配利润</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元结转以后年度分配。</w:t>
            </w:r>
          </w:p>
        </w:tc>
      </w:tr>
    </w:tbl>
    <w:p>
      <w:pPr>
        <w:pStyle w:val="BodyText"/>
        <w:spacing w:line="240" w:lineRule="auto" w:before="51"/>
        <w:ind w:right="141"/>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line="240" w:lineRule="auto" w:before="9"/>
        <w:rPr>
          <w:rFonts w:ascii="宋体" w:hAnsi="宋体" w:cs="宋体" w:eastAsia="宋体" w:hint="default"/>
          <w:sz w:val="16"/>
          <w:szCs w:val="16"/>
        </w:rPr>
      </w:pPr>
    </w:p>
    <w:p>
      <w:pPr>
        <w:pStyle w:val="BodyText"/>
        <w:spacing w:line="297" w:lineRule="auto"/>
        <w:ind w:right="377" w:firstLine="360"/>
        <w:jc w:val="left"/>
      </w:pPr>
      <w:r>
        <w:rPr>
          <w:rFonts w:ascii="Times New Roman" w:hAnsi="Times New Roman" w:cs="Times New Roman" w:eastAsia="Times New Roman" w:hint="default"/>
        </w:rPr>
        <w:t>2015</w:t>
      </w:r>
      <w:r>
        <w:rPr/>
        <w:t>年度公司利润分配方案：以截至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日的公司总股本</w:t>
      </w:r>
      <w:r>
        <w:rPr>
          <w:spacing w:val="-8"/>
        </w:rPr>
        <w:t> </w:t>
      </w:r>
      <w:r>
        <w:rPr>
          <w:rFonts w:ascii="Times New Roman" w:hAnsi="Times New Roman" w:cs="Times New Roman" w:eastAsia="Times New Roman" w:hint="default"/>
        </w:rPr>
        <w:t>360,000,000</w:t>
      </w:r>
      <w:r>
        <w:rPr/>
        <w:t>股为基数，按每股</w:t>
      </w:r>
      <w:r>
        <w:rPr>
          <w:rFonts w:ascii="Times New Roman" w:hAnsi="Times New Roman" w:cs="Times New Roman" w:eastAsia="Times New Roman" w:hint="default"/>
        </w:rPr>
        <w:t>0.23</w:t>
      </w:r>
      <w:r>
        <w:rPr/>
        <w:t>元分配现金股 利，共计向全体股东现金分红</w:t>
      </w:r>
      <w:r>
        <w:rPr>
          <w:rFonts w:ascii="Times New Roman" w:hAnsi="Times New Roman" w:cs="Times New Roman" w:eastAsia="Times New Roman" w:hint="default"/>
        </w:rPr>
        <w:t>82,800,000.00</w:t>
      </w:r>
      <w:r>
        <w:rPr/>
        <w:t>元（含税）。</w:t>
      </w:r>
    </w:p>
    <w:p>
      <w:pPr>
        <w:spacing w:line="240" w:lineRule="auto" w:before="1"/>
        <w:rPr>
          <w:rFonts w:ascii="宋体" w:hAnsi="宋体" w:cs="宋体" w:eastAsia="宋体" w:hint="default"/>
          <w:sz w:val="13"/>
          <w:szCs w:val="13"/>
        </w:rPr>
      </w:pPr>
    </w:p>
    <w:p>
      <w:pPr>
        <w:pStyle w:val="BodyText"/>
        <w:spacing w:line="300" w:lineRule="auto"/>
        <w:ind w:right="459" w:firstLine="360"/>
        <w:jc w:val="left"/>
      </w:pPr>
      <w:r>
        <w:rPr>
          <w:rFonts w:ascii="Times New Roman" w:hAnsi="Times New Roman" w:cs="Times New Roman" w:eastAsia="Times New Roman" w:hint="default"/>
        </w:rPr>
        <w:t>2016</w:t>
      </w:r>
      <w:r>
        <w:rPr/>
        <w:t>年度公司利润分配方案：以截至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日的公司总股本</w:t>
      </w:r>
      <w:r>
        <w:rPr>
          <w:rFonts w:ascii="Times New Roman" w:hAnsi="Times New Roman" w:cs="Times New Roman" w:eastAsia="Times New Roman" w:hint="default"/>
        </w:rPr>
        <w:t>360,000,000</w:t>
      </w:r>
      <w:r>
        <w:rPr/>
        <w:t>股为基数，按每股</w:t>
      </w:r>
      <w:r>
        <w:rPr>
          <w:rFonts w:ascii="Times New Roman" w:hAnsi="Times New Roman" w:cs="Times New Roman" w:eastAsia="Times New Roman" w:hint="default"/>
        </w:rPr>
        <w:t>0.30</w:t>
      </w:r>
      <w:r>
        <w:rPr/>
        <w:t>元分配现金股 利，共计向全体股东现金分红</w:t>
      </w:r>
      <w:r>
        <w:rPr>
          <w:rFonts w:ascii="Times New Roman" w:hAnsi="Times New Roman" w:cs="Times New Roman" w:eastAsia="Times New Roman" w:hint="default"/>
        </w:rPr>
        <w:t>108,000,000.00</w:t>
      </w:r>
      <w:r>
        <w:rPr/>
        <w:t>元（含税）。</w:t>
      </w:r>
    </w:p>
    <w:p>
      <w:pPr>
        <w:spacing w:line="240" w:lineRule="auto" w:before="12"/>
        <w:rPr>
          <w:rFonts w:ascii="宋体" w:hAnsi="宋体" w:cs="宋体" w:eastAsia="宋体" w:hint="default"/>
          <w:sz w:val="12"/>
          <w:szCs w:val="12"/>
        </w:rPr>
      </w:pPr>
    </w:p>
    <w:p>
      <w:pPr>
        <w:pStyle w:val="BodyText"/>
        <w:spacing w:line="300" w:lineRule="auto"/>
        <w:ind w:right="247" w:firstLine="360"/>
        <w:jc w:val="both"/>
      </w:pPr>
      <w:r>
        <w:rPr>
          <w:rFonts w:ascii="Times New Roman" w:hAnsi="Times New Roman" w:cs="Times New Roman" w:eastAsia="Times New Roman" w:hint="default"/>
        </w:rPr>
        <w:t>2017</w:t>
      </w:r>
      <w:r>
        <w:rPr/>
        <w:t>年度公司利润分配预案为：拟以截至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400,100,000</w:t>
      </w:r>
      <w:r>
        <w:rPr/>
        <w:t>股为基数，向全体股东每</w:t>
      </w:r>
      <w:r>
        <w:rPr>
          <w:rFonts w:ascii="Times New Roman" w:hAnsi="Times New Roman" w:cs="Times New Roman" w:eastAsia="Times New Roman" w:hint="default"/>
        </w:rPr>
        <w:t>10</w:t>
      </w:r>
      <w:r>
        <w:rPr/>
        <w:t>股派发现 金股利</w:t>
      </w:r>
      <w:r>
        <w:rPr>
          <w:rFonts w:ascii="Times New Roman" w:hAnsi="Times New Roman" w:cs="Times New Roman" w:eastAsia="Times New Roman" w:hint="default"/>
        </w:rPr>
        <w:t>3.00</w:t>
      </w:r>
      <w:r>
        <w:rPr/>
        <w:t>元人民币（含税），共分配现金股利</w:t>
      </w:r>
      <w:r>
        <w:rPr>
          <w:rFonts w:ascii="Times New Roman" w:hAnsi="Times New Roman" w:cs="Times New Roman" w:eastAsia="Times New Roman" w:hint="default"/>
        </w:rPr>
        <w:t>120,030,000.00</w:t>
      </w:r>
      <w:r>
        <w:rPr/>
        <w:t>元（含税）。上述利润分配预案尚需提交</w:t>
      </w:r>
      <w:r>
        <w:rPr>
          <w:rFonts w:ascii="Times New Roman" w:hAnsi="Times New Roman" w:cs="Times New Roman" w:eastAsia="Times New Roman" w:hint="default"/>
        </w:rPr>
        <w:t>2017</w:t>
      </w:r>
      <w:r>
        <w:rPr/>
        <w:t>年度股东大会 审议通过后方可实施。</w:t>
      </w:r>
    </w:p>
    <w:p>
      <w:pPr>
        <w:spacing w:line="240" w:lineRule="auto" w:before="13"/>
        <w:rPr>
          <w:rFonts w:ascii="宋体" w:hAnsi="宋体" w:cs="宋体" w:eastAsia="宋体" w:hint="default"/>
          <w:sz w:val="25"/>
          <w:szCs w:val="25"/>
        </w:rPr>
      </w:pPr>
    </w:p>
    <w:p>
      <w:pPr>
        <w:pStyle w:val="BodyText"/>
        <w:spacing w:line="240" w:lineRule="auto" w:before="44"/>
        <w:ind w:right="141"/>
        <w:jc w:val="left"/>
      </w:pPr>
      <w:r>
        <w:rPr/>
        <w:t>公司近三年（包括本报告期）普通股现金分红情况表</w:t>
      </w:r>
    </w:p>
    <w:p>
      <w:pPr>
        <w:pStyle w:val="BodyText"/>
        <w:spacing w:line="240" w:lineRule="auto" w:before="117"/>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611"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0"/>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434"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398,091,510.29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332,690,944.77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262,099,904.34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4"/>
        <w:rPr>
          <w:rFonts w:ascii="宋体" w:hAnsi="宋体" w:cs="宋体" w:eastAsia="宋体" w:hint="default"/>
          <w:sz w:val="27"/>
          <w:szCs w:val="27"/>
        </w:rPr>
      </w:pPr>
    </w:p>
    <w:p>
      <w:pPr>
        <w:pStyle w:val="BodyText"/>
        <w:spacing w:line="240" w:lineRule="auto" w:before="44"/>
        <w:ind w:right="141"/>
        <w:jc w:val="left"/>
      </w:pPr>
      <w:r>
        <w:rPr/>
        <w:t>公司报告期内盈利且母公司可供普通股股东分配利润为正但未提出普通股现金红利分配预案</w:t>
      </w:r>
    </w:p>
    <w:p>
      <w:pPr>
        <w:pStyle w:val="BodyText"/>
        <w:spacing w:line="240" w:lineRule="auto" w:before="118"/>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41"/>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141"/>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78"/>
      </w:tblGrid>
      <w:tr>
        <w:trPr>
          <w:trHeight w:val="401"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7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left"/>
              <w:rPr>
                <w:rFonts w:ascii="宋体" w:hAnsi="宋体" w:cs="宋体" w:eastAsia="宋体" w:hint="default"/>
                <w:sz w:val="18"/>
                <w:szCs w:val="18"/>
              </w:rPr>
            </w:pPr>
            <w:r>
              <w:rPr>
                <w:rFonts w:ascii="宋体" w:hAnsi="宋体" w:cs="宋体" w:eastAsia="宋体" w:hint="default"/>
                <w:sz w:val="18"/>
                <w:szCs w:val="18"/>
              </w:rPr>
              <w:t>收购报告书或 权益变动报告</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78"/>
      </w:tblGrid>
      <w:tr>
        <w:trPr>
          <w:trHeight w:val="36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书中所作承诺</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6956" w:hRule="exact"/>
        </w:trPr>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159"/>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6" w:right="197"/>
              <w:jc w:val="both"/>
              <w:rPr>
                <w:rFonts w:ascii="宋体" w:hAnsi="宋体" w:cs="宋体" w:eastAsia="宋体" w:hint="default"/>
                <w:sz w:val="18"/>
                <w:szCs w:val="18"/>
              </w:rPr>
            </w:pPr>
            <w:r>
              <w:rPr>
                <w:rFonts w:ascii="宋体" w:hAnsi="宋体" w:cs="宋体" w:eastAsia="宋体" w:hint="default"/>
                <w:sz w:val="18"/>
                <w:szCs w:val="18"/>
              </w:rPr>
              <w:t>深圳华大基 因科技有限 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、自华大基因股票在深圳证券交易所上市之日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个月内，不转让或者委托他人管理在上市 之前持有的华大基因的股份，也不由华大基因 回购该部分股份。若因公司进行权益分派等导 致其持有的公司股份发生变化的，其仍将遵守 上述承诺。</w:t>
            </w:r>
            <w:r>
              <w:rPr>
                <w:rFonts w:ascii="Times New Roman" w:hAnsi="Times New Roman" w:cs="Times New Roman" w:eastAsia="Times New Roman" w:hint="default"/>
                <w:sz w:val="18"/>
                <w:szCs w:val="18"/>
              </w:rPr>
              <w:t>2</w:t>
            </w:r>
            <w:r>
              <w:rPr>
                <w:rFonts w:ascii="宋体" w:hAnsi="宋体" w:cs="宋体" w:eastAsia="宋体" w:hint="default"/>
                <w:sz w:val="18"/>
                <w:szCs w:val="18"/>
              </w:rPr>
              <w:t>、若本公司所持华大基因股票在锁 定期满后两年内减持的，该等股票的减持价格 将不低于发行价；华大基因上市后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华大基因股票连续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w:t>
            </w:r>
          </w:p>
          <w:p>
            <w:pPr>
              <w:pStyle w:val="TableParagraph"/>
              <w:spacing w:line="312" w:lineRule="auto" w:before="63"/>
              <w:ind w:left="23" w:right="99"/>
              <w:jc w:val="left"/>
              <w:rPr>
                <w:rFonts w:ascii="宋体" w:hAnsi="宋体" w:cs="宋体" w:eastAsia="宋体" w:hint="default"/>
                <w:sz w:val="18"/>
                <w:szCs w:val="18"/>
              </w:rPr>
            </w:pPr>
            <w:r>
              <w:rPr>
                <w:rFonts w:ascii="宋体" w:hAnsi="宋体" w:cs="宋体" w:eastAsia="宋体" w:hint="default"/>
                <w:sz w:val="18"/>
                <w:szCs w:val="18"/>
              </w:rPr>
              <w:t>发行价，或者上市后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个月期末收盘价低于发 行价的，其直接或间接持有华大基因股票的锁 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个月。期间华大基因如有派 发股利、送股、转增股本等除权除息事项，上 述价格相应调整。</w:t>
            </w:r>
            <w:r>
              <w:rPr>
                <w:rFonts w:ascii="Times New Roman" w:hAnsi="Times New Roman" w:cs="Times New Roman" w:eastAsia="Times New Roman" w:hint="default"/>
                <w:sz w:val="18"/>
                <w:szCs w:val="18"/>
              </w:rPr>
              <w:t>3</w:t>
            </w:r>
            <w:r>
              <w:rPr>
                <w:rFonts w:ascii="宋体" w:hAnsi="宋体" w:cs="宋体" w:eastAsia="宋体" w:hint="default"/>
                <w:sz w:val="18"/>
                <w:szCs w:val="18"/>
              </w:rPr>
              <w:t>、若不履行本承诺所约定的 义务和责任，本公司将承担华大基因、华大基 因其他股东或利益相关方因此所受到的任何损 失，违规减持华大基因股票的收益将归华大基 因所有。</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、本公司将遵守中国证监会《上市公 </w:t>
            </w:r>
            <w:r>
              <w:rPr>
                <w:rFonts w:ascii="宋体" w:hAnsi="宋体" w:cs="宋体" w:eastAsia="宋体" w:hint="default"/>
                <w:spacing w:val="-5"/>
                <w:sz w:val="18"/>
                <w:szCs w:val="18"/>
              </w:rPr>
              <w:t>司股东、董监高减持股份的若干规定》，深圳证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券交易所《股票上市规则》、《深圳证券交易所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上市公司股东及董事、监事、高级管理人员减 持股份实施细则》的相关规定。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667"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6" w:right="197"/>
              <w:jc w:val="both"/>
              <w:rPr>
                <w:rFonts w:ascii="宋体" w:hAnsi="宋体" w:cs="宋体" w:eastAsia="宋体" w:hint="default"/>
                <w:sz w:val="18"/>
                <w:szCs w:val="18"/>
              </w:rPr>
            </w:pPr>
            <w:r>
              <w:rPr>
                <w:rFonts w:ascii="宋体" w:hAnsi="宋体" w:cs="宋体" w:eastAsia="宋体" w:hint="default"/>
                <w:sz w:val="18"/>
                <w:szCs w:val="18"/>
              </w:rPr>
              <w:t>深圳华大三 生园科技有 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、自华大基因股票在深圳证券交易所上市之日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个月内，其不转让或者委托他人管理在上 市之前持有的华大基因的股份，也不由华大基 因回购该部分股份。若因公司进行权益分派等 导致其持有的公司股份发生变化的，其仍将遵 守上述承诺。</w:t>
            </w:r>
            <w:r>
              <w:rPr>
                <w:rFonts w:ascii="Times New Roman" w:hAnsi="Times New Roman" w:cs="Times New Roman" w:eastAsia="Times New Roman" w:hint="default"/>
                <w:sz w:val="18"/>
                <w:szCs w:val="18"/>
              </w:rPr>
              <w:t>2</w:t>
            </w:r>
            <w:r>
              <w:rPr>
                <w:rFonts w:ascii="宋体" w:hAnsi="宋体" w:cs="宋体" w:eastAsia="宋体" w:hint="default"/>
                <w:sz w:val="18"/>
                <w:szCs w:val="18"/>
              </w:rPr>
              <w:t>、若本公司所持华大基因股票在 锁定期满后两年内减持的，该等股票的减持价 格将不低于发行价；华大基因上市后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如华大基因股票连续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w:t>
            </w:r>
          </w:p>
          <w:p>
            <w:pPr>
              <w:pStyle w:val="TableParagraph"/>
              <w:spacing w:line="312" w:lineRule="auto" w:before="63"/>
              <w:ind w:left="23" w:right="99"/>
              <w:jc w:val="left"/>
              <w:rPr>
                <w:rFonts w:ascii="宋体" w:hAnsi="宋体" w:cs="宋体" w:eastAsia="宋体" w:hint="default"/>
                <w:sz w:val="18"/>
                <w:szCs w:val="18"/>
              </w:rPr>
            </w:pPr>
            <w:r>
              <w:rPr>
                <w:rFonts w:ascii="宋体" w:hAnsi="宋体" w:cs="宋体" w:eastAsia="宋体" w:hint="default"/>
                <w:sz w:val="18"/>
                <w:szCs w:val="18"/>
              </w:rPr>
              <w:t>于发行价，或者上市后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 发行价的，其直接或间接持有华大基因股票的 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个月。期间华大基因如有 派发股利、送股、转增股本等除权除息事项， 上述价格相应调整。</w:t>
            </w:r>
            <w:r>
              <w:rPr>
                <w:rFonts w:ascii="Times New Roman" w:hAnsi="Times New Roman" w:cs="Times New Roman" w:eastAsia="Times New Roman" w:hint="default"/>
                <w:sz w:val="18"/>
                <w:szCs w:val="18"/>
              </w:rPr>
              <w:t>3</w:t>
            </w:r>
            <w:r>
              <w:rPr>
                <w:rFonts w:ascii="宋体" w:hAnsi="宋体" w:cs="宋体" w:eastAsia="宋体" w:hint="default"/>
                <w:sz w:val="18"/>
                <w:szCs w:val="18"/>
              </w:rPr>
              <w:t>、若不履行本承诺所约定 的义务和责任，华大三生园将承担华大基因、 华大基因其他股东或利益相关方因此所受到的 任何损失，违规减持华大基因股票的收益将归 华大基因所有。</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、本公司将遵守中国证监会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3.4pt;height:769.45pt;mso-position-horizontal-relative:page;mso-position-vertical-relative:page;z-index:-1276312" coordorigin="1171,1450" coordsize="1268,15389">
            <v:group style="position:absolute;left:1171;top:1450;width:1268;height:1290" coordorigin="1171,1450" coordsize="1268,1290">
              <v:shape style="position:absolute;left:1171;top:1450;width:1268;height:1290" coordorigin="1171,1450" coordsize="1268,1290" path="m1171,2739l2439,2739,2439,1450,1171,1450,1171,2739xe" filled="true" fillcolor="#d2d2d2" stroked="false">
                <v:path arrowok="t"/>
                <v:fill type="solid"/>
              </v:shape>
            </v:group>
            <v:group style="position:absolute;left:1171;top:2739;width:1268;height:9139" coordorigin="1171,2739" coordsize="1268,9139">
              <v:shape style="position:absolute;left:1171;top:2739;width:1268;height:9139" coordorigin="1171,2739" coordsize="1268,9139" path="m1171,11877l2439,11877,2439,2739,1171,2739,1171,11877xe" filled="true" fillcolor="#d2d2d2" stroked="false">
                <v:path arrowok="t"/>
                <v:fill type="solid"/>
              </v:shape>
            </v:group>
            <v:group style="position:absolute;left:1171;top:11877;width:1268;height:4962" coordorigin="1171,11877" coordsize="1268,4962">
              <v:shape style="position:absolute;left:1171;top:11877;width:1268;height:4962" coordorigin="1171,11877" coordsize="1268,4962" path="m2439,16838l2439,11877,1171,11877,1171,16838,2439,16838xe" filled="true" fillcolor="#d2d2d2" stroked="false">
                <v:path arrowok="t"/>
                <v:fill type="solid"/>
              </v:shape>
            </v:group>
            <w10:wrap type="none"/>
          </v:group>
        </w:pict>
      </w: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80"/>
      </w:tblGrid>
      <w:tr>
        <w:trPr>
          <w:trHeight w:val="1299"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02"/>
              <w:jc w:val="left"/>
              <w:rPr>
                <w:rFonts w:ascii="宋体" w:hAnsi="宋体" w:cs="宋体" w:eastAsia="宋体" w:hint="default"/>
                <w:sz w:val="18"/>
                <w:szCs w:val="18"/>
              </w:rPr>
            </w:pPr>
            <w:r>
              <w:rPr>
                <w:rFonts w:ascii="宋体" w:hAnsi="宋体" w:cs="宋体" w:eastAsia="宋体" w:hint="default"/>
                <w:sz w:val="18"/>
                <w:szCs w:val="18"/>
              </w:rPr>
              <w:t>《上市公司股东、董监高减持股份的若干规 </w:t>
            </w:r>
            <w:r>
              <w:rPr>
                <w:rFonts w:ascii="宋体" w:hAnsi="宋体" w:cs="宋体" w:eastAsia="宋体" w:hint="default"/>
                <w:spacing w:val="-13"/>
                <w:sz w:val="18"/>
                <w:szCs w:val="18"/>
              </w:rPr>
              <w:t>定》，深圳证券交易所《股票上市规则》、《深圳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证券交易所上市公司股东及董事、监事、高级 管理人员减持股份实施细则》的相关规定。</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138" w:hRule="exact"/>
        </w:trPr>
        <w:tc>
          <w:tcPr>
            <w:tcW w:w="1275"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、自公司股票在深圳证券交易所上市之日起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个月内，本人不转让或者委托他人管理在上市 之前直接或间接持有的公司股份，也不由公司 回购该部分股份。若因公司进行权益分派等导 致本人直接或间接持有的公司股份发生变化 的，本人仍将遵守上述承诺。</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、本人在公司担 任董事期间，每年转让的公司的股份不超过本 人直接或间接持有的公司股份总数的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 卖出后六个月再行买入公司股份，或买入后六 个月内再行卖出公司股份的，则所得收益归公 司所有。</w:t>
            </w:r>
            <w:r>
              <w:rPr>
                <w:rFonts w:ascii="Times New Roman" w:hAnsi="Times New Roman" w:cs="Times New Roman" w:eastAsia="Times New Roman" w:hint="default"/>
                <w:sz w:val="18"/>
                <w:szCs w:val="18"/>
              </w:rPr>
              <w:t>3</w:t>
            </w:r>
            <w:r>
              <w:rPr>
                <w:rFonts w:ascii="宋体" w:hAnsi="宋体" w:cs="宋体" w:eastAsia="宋体" w:hint="default"/>
                <w:sz w:val="18"/>
                <w:szCs w:val="18"/>
              </w:rPr>
              <w:t>、若本人直接或间接所持公司股票在 锁定期满后两年内减持的，该等股票的减持价 格将不低于发行价；公司上市后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个交易日的收盘价均低于发行</w:t>
            </w:r>
          </w:p>
          <w:p>
            <w:pPr>
              <w:pStyle w:val="TableParagraph"/>
              <w:spacing w:line="312" w:lineRule="auto" w:before="63"/>
              <w:ind w:left="23" w:right="99"/>
              <w:jc w:val="left"/>
              <w:rPr>
                <w:rFonts w:ascii="宋体" w:hAnsi="宋体" w:cs="宋体" w:eastAsia="宋体" w:hint="default"/>
                <w:sz w:val="18"/>
                <w:szCs w:val="18"/>
              </w:rPr>
            </w:pPr>
            <w:r>
              <w:rPr>
                <w:rFonts w:ascii="宋体" w:hAnsi="宋体" w:cs="宋体" w:eastAsia="宋体" w:hint="default"/>
                <w:sz w:val="18"/>
                <w:szCs w:val="18"/>
              </w:rPr>
              <w:t>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个月期末收盘价低于发行价 的，本人直接或间接持有公司股票的锁定期限 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个月。期间公司如有派发股利、送 股、转增股本等除权除息事项，上述价格相应 调整。</w:t>
            </w:r>
            <w:r>
              <w:rPr>
                <w:rFonts w:ascii="Times New Roman" w:hAnsi="Times New Roman" w:cs="Times New Roman" w:eastAsia="Times New Roman" w:hint="default"/>
                <w:sz w:val="18"/>
                <w:szCs w:val="18"/>
              </w:rPr>
              <w:t>4</w:t>
            </w:r>
            <w:r>
              <w:rPr>
                <w:rFonts w:ascii="宋体" w:hAnsi="宋体" w:cs="宋体" w:eastAsia="宋体" w:hint="default"/>
                <w:sz w:val="18"/>
                <w:szCs w:val="18"/>
              </w:rPr>
              <w:t>、若不履行本承诺所约定的义务和责 任，本人将承担公司、公司其他股东或利益相 关方因此所受到的任何损失，违规减持公司股 票的收益将归公司所有。如本人未上缴上述出 售股票所获收益，公司可扣减本人以后年度现 金分红或扣减发放的薪酬</w:t>
            </w:r>
            <w:r>
              <w:rPr>
                <w:rFonts w:ascii="Times New Roman" w:hAnsi="Times New Roman" w:cs="Times New Roman" w:eastAsia="Times New Roman" w:hint="default"/>
                <w:sz w:val="18"/>
                <w:szCs w:val="18"/>
              </w:rPr>
              <w:t>/</w:t>
            </w:r>
            <w:r>
              <w:rPr>
                <w:rFonts w:ascii="宋体" w:hAnsi="宋体" w:cs="宋体" w:eastAsia="宋体" w:hint="default"/>
                <w:sz w:val="18"/>
                <w:szCs w:val="18"/>
              </w:rPr>
              <w:t>津贴直至履行上缴上 述收益的承诺。</w:t>
            </w:r>
            <w:r>
              <w:rPr>
                <w:rFonts w:ascii="Times New Roman" w:hAnsi="Times New Roman" w:cs="Times New Roman" w:eastAsia="Times New Roman" w:hint="default"/>
                <w:sz w:val="18"/>
                <w:szCs w:val="18"/>
              </w:rPr>
              <w:t>5</w:t>
            </w:r>
            <w:r>
              <w:rPr>
                <w:rFonts w:ascii="宋体" w:hAnsi="宋体" w:cs="宋体" w:eastAsia="宋体" w:hint="default"/>
                <w:sz w:val="18"/>
                <w:szCs w:val="18"/>
              </w:rPr>
              <w:t>、本人将遵守中国证监会《上 </w:t>
            </w:r>
            <w:r>
              <w:rPr>
                <w:rFonts w:ascii="宋体" w:hAnsi="宋体" w:cs="宋体" w:eastAsia="宋体" w:hint="default"/>
                <w:spacing w:val="-5"/>
                <w:sz w:val="18"/>
                <w:szCs w:val="18"/>
              </w:rPr>
              <w:t>市公司股东、董监高减持股份的若干规定》，深</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圳证券交易所《股票上市规则》、《深圳证券交</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易所上市公司股东及董事、监事、高级管理人 员减持股份实施细则》的相关规定。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483"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6" w:right="197"/>
              <w:jc w:val="both"/>
              <w:rPr>
                <w:rFonts w:ascii="宋体" w:hAnsi="宋体" w:cs="宋体" w:eastAsia="宋体" w:hint="default"/>
                <w:sz w:val="18"/>
                <w:szCs w:val="18"/>
              </w:rPr>
            </w:pPr>
            <w:r>
              <w:rPr>
                <w:rFonts w:ascii="宋体" w:hAnsi="宋体" w:cs="宋体" w:eastAsia="宋体" w:hint="default"/>
                <w:sz w:val="18"/>
                <w:szCs w:val="18"/>
              </w:rPr>
              <w:t>深圳前海华 大基因投资 企业（有限 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、自公司股票在深圳证券交易所上市之日起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个月内，不转让或者委托他人管理在上市之前 持有的公司股份，也不由公司回购该部分股 份。若因公司进行权益分派等导致其持有的公 司股份发生变化的，其仍将遵守上述承诺。</w:t>
            </w:r>
            <w:r>
              <w:rPr>
                <w:rFonts w:ascii="Times New Roman" w:hAnsi="Times New Roman" w:cs="Times New Roman" w:eastAsia="Times New Roman" w:hint="default"/>
                <w:sz w:val="18"/>
                <w:szCs w:val="18"/>
              </w:rPr>
              <w:t>2</w:t>
            </w:r>
            <w:r>
              <w:rPr>
                <w:rFonts w:ascii="宋体" w:hAnsi="宋体" w:cs="宋体" w:eastAsia="宋体" w:hint="default"/>
                <w:sz w:val="18"/>
                <w:szCs w:val="18"/>
              </w:rPr>
              <w:t>、 若本公司所持华大基因股票在锁定期满后两年 内减持的，该等股票的减持价格将不低于发行 价；华大基因上市后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个月内如华大基因股票</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个交易日的收盘价均低于发行价，或者</w:t>
            </w:r>
          </w:p>
          <w:p>
            <w:pPr>
              <w:pStyle w:val="TableParagraph"/>
              <w:spacing w:line="300" w:lineRule="auto" w:before="63"/>
              <w:ind w:left="23" w:right="19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个月期末收盘价低于发行价的，其直 接或间接持有华大基因股票的锁定期限自动延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3.4pt;height:769.45pt;mso-position-horizontal-relative:page;mso-position-vertical-relative:page;z-index:-1276288" coordorigin="1171,1450" coordsize="1268,15389">
            <v:group style="position:absolute;left:1171;top:1450;width:1268;height:3474" coordorigin="1171,1450" coordsize="1268,3474">
              <v:shape style="position:absolute;left:1171;top:1450;width:1268;height:3474" coordorigin="1171,1450" coordsize="1268,3474" path="m1171,4923l2439,4923,2439,1450,1171,1450,1171,4923xe" filled="true" fillcolor="#d2d2d2" stroked="false">
                <v:path arrowok="t"/>
                <v:fill type="solid"/>
              </v:shape>
            </v:group>
            <v:group style="position:absolute;left:1171;top:4923;width:1268;height:9138" coordorigin="1171,4923" coordsize="1268,9138">
              <v:shape style="position:absolute;left:1171;top:4923;width:1268;height:9138" coordorigin="1171,4923" coordsize="1268,9138" path="m1171,14061l2439,14061,2439,4923,1171,4923,1171,14061xe" filled="true" fillcolor="#d2d2d2" stroked="false">
                <v:path arrowok="t"/>
                <v:fill type="solid"/>
              </v:shape>
            </v:group>
            <v:group style="position:absolute;left:1171;top:14061;width:1268;height:2778" coordorigin="1171,14061" coordsize="1268,2778">
              <v:shape style="position:absolute;left:1171;top:14061;width:1268;height:2778" coordorigin="1171,14061" coordsize="1268,2778" path="m2439,16838l2439,14061,1171,14061,1171,16838,2439,16838xe" filled="true" fillcolor="#d2d2d2" stroked="false">
                <v:path arrowok="t"/>
                <v:fill type="solid"/>
              </v:shape>
            </v:group>
            <w10:wrap type="none"/>
          </v:group>
        </w:pict>
      </w: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80"/>
      </w:tblGrid>
      <w:tr>
        <w:trPr>
          <w:trHeight w:val="3483"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23" w:right="98"/>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个月。期间华大基因如有派发股利、送 股、转增股本等除权除息事项，上述价格相应 调整。</w:t>
            </w:r>
            <w:r>
              <w:rPr>
                <w:rFonts w:ascii="Times New Roman" w:hAnsi="Times New Roman" w:cs="Times New Roman" w:eastAsia="Times New Roman" w:hint="default"/>
                <w:sz w:val="18"/>
                <w:szCs w:val="18"/>
              </w:rPr>
              <w:t>3</w:t>
            </w:r>
            <w:r>
              <w:rPr>
                <w:rFonts w:ascii="宋体" w:hAnsi="宋体" w:cs="宋体" w:eastAsia="宋体" w:hint="default"/>
                <w:sz w:val="18"/>
                <w:szCs w:val="18"/>
              </w:rPr>
              <w:t>、本企业将遵守中国证监会《上市公司 </w:t>
            </w:r>
            <w:r>
              <w:rPr>
                <w:rFonts w:ascii="宋体" w:hAnsi="宋体" w:cs="宋体" w:eastAsia="宋体" w:hint="default"/>
                <w:spacing w:val="-5"/>
                <w:sz w:val="18"/>
                <w:szCs w:val="18"/>
              </w:rPr>
              <w:t>股东、董监高减持股份的若干规定》，深圳证券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交易所《股票上市规则》、《深圳证券交易所上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市公司股东及董事、监事、高级管理人员减持 股份实施细则》的相关规定。</w:t>
            </w:r>
            <w:r>
              <w:rPr>
                <w:rFonts w:ascii="Times New Roman" w:hAnsi="Times New Roman" w:cs="Times New Roman" w:eastAsia="Times New Roman" w:hint="default"/>
                <w:sz w:val="18"/>
                <w:szCs w:val="18"/>
              </w:rPr>
              <w:t>4</w:t>
            </w:r>
            <w:r>
              <w:rPr>
                <w:rFonts w:ascii="宋体" w:hAnsi="宋体" w:cs="宋体" w:eastAsia="宋体" w:hint="default"/>
                <w:sz w:val="18"/>
                <w:szCs w:val="18"/>
              </w:rPr>
              <w:t>、若不履行本承 诺所赋予的义务和责任，本企业将承担公司、 公司其他股东或利益相关方因此所受到的任何 损失，违规减持公司股票的收益将归公司所 有。</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138" w:hRule="exact"/>
        </w:trPr>
        <w:tc>
          <w:tcPr>
            <w:tcW w:w="1275"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6" w:right="377"/>
              <w:jc w:val="both"/>
              <w:rPr>
                <w:rFonts w:ascii="宋体" w:hAnsi="宋体" w:cs="宋体" w:eastAsia="宋体" w:hint="default"/>
                <w:sz w:val="18"/>
                <w:szCs w:val="18"/>
              </w:rPr>
            </w:pPr>
            <w:r>
              <w:rPr>
                <w:rFonts w:ascii="宋体" w:hAnsi="宋体" w:cs="宋体" w:eastAsia="宋体" w:hint="default"/>
                <w:sz w:val="18"/>
                <w:szCs w:val="18"/>
              </w:rPr>
              <w:t>王俊、尹 烨、李英 睿、孙英 俊、李松 岗、王威</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、自公司股票在深圳证券交易所上市之日起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个月内，本人不转让或者委托他人管理在上市 之前直接和间接持有的公司股份，也不由公司 回购该部分股份。若因公司进行权益分派等导 致本人直接或间接持有的公司股份发生变化的</w:t>
            </w:r>
            <w:r>
              <w:rPr>
                <w:rFonts w:ascii="Times New Roman" w:hAnsi="Times New Roman" w:cs="Times New Roman" w:eastAsia="Times New Roman" w:hint="default"/>
                <w:sz w:val="18"/>
                <w:szCs w:val="18"/>
              </w:rPr>
              <w:t>, </w:t>
            </w:r>
            <w:r>
              <w:rPr>
                <w:rFonts w:ascii="宋体" w:hAnsi="宋体" w:cs="宋体" w:eastAsia="宋体" w:hint="default"/>
                <w:sz w:val="18"/>
                <w:szCs w:val="18"/>
              </w:rPr>
              <w:t>本人仍将遵守上述承诺。</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、本人在公司担任董 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高级管理人员期间，每年转让的公司的 股份不超过本人直接和间接持有的公司股份总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；在卖出后六个月再行买入公司股 份，或买入后六个月内再行卖出公司股份的， 则所得收益归公司所有。</w:t>
            </w:r>
            <w:r>
              <w:rPr>
                <w:rFonts w:ascii="Times New Roman" w:hAnsi="Times New Roman" w:cs="Times New Roman" w:eastAsia="Times New Roman" w:hint="default"/>
                <w:sz w:val="18"/>
                <w:szCs w:val="18"/>
              </w:rPr>
              <w:t>3</w:t>
            </w:r>
            <w:r>
              <w:rPr>
                <w:rFonts w:ascii="宋体" w:hAnsi="宋体" w:cs="宋体" w:eastAsia="宋体" w:hint="default"/>
                <w:sz w:val="18"/>
                <w:szCs w:val="18"/>
              </w:rPr>
              <w:t>、若本人所持公司股 票在锁定期满后两年内减持的，该等股票的减 持价格将不低于发行价；公司上市后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如公司股票连续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w:t>
            </w:r>
          </w:p>
          <w:p>
            <w:pPr>
              <w:pStyle w:val="TableParagraph"/>
              <w:spacing w:line="312" w:lineRule="auto" w:before="63"/>
              <w:ind w:left="23" w:right="99"/>
              <w:jc w:val="left"/>
              <w:rPr>
                <w:rFonts w:ascii="宋体" w:hAnsi="宋体" w:cs="宋体" w:eastAsia="宋体" w:hint="default"/>
                <w:sz w:val="18"/>
                <w:szCs w:val="18"/>
              </w:rPr>
            </w:pPr>
            <w:r>
              <w:rPr>
                <w:rFonts w:ascii="宋体" w:hAnsi="宋体" w:cs="宋体" w:eastAsia="宋体" w:hint="default"/>
                <w:sz w:val="18"/>
                <w:szCs w:val="18"/>
              </w:rPr>
              <w:t>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个月期末收盘价低于发行 价的，本人直接和间接持有公司股票的锁定期 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个月。期间公司如有派发股利、 送股、转增股本等除权除息事项，上述价格相 应调整。</w:t>
            </w:r>
            <w:r>
              <w:rPr>
                <w:rFonts w:ascii="Times New Roman" w:hAnsi="Times New Roman" w:cs="Times New Roman" w:eastAsia="Times New Roman" w:hint="default"/>
                <w:sz w:val="18"/>
                <w:szCs w:val="18"/>
              </w:rPr>
              <w:t>4</w:t>
            </w:r>
            <w:r>
              <w:rPr>
                <w:rFonts w:ascii="宋体" w:hAnsi="宋体" w:cs="宋体" w:eastAsia="宋体" w:hint="default"/>
                <w:sz w:val="18"/>
                <w:szCs w:val="18"/>
              </w:rPr>
              <w:t>、若不履行本承诺所约定的义务和责 任，本人将承担公司、公司其他股东或利益相 关方因此所受到的任何损失，违规减持公司股 票的收益将归公司所有。如本人未上缴上述出 售股票所获收益，公司可扣减本人以后年度现 金分红或扣减发放的薪酬</w:t>
            </w:r>
            <w:r>
              <w:rPr>
                <w:rFonts w:ascii="Times New Roman" w:hAnsi="Times New Roman" w:cs="Times New Roman" w:eastAsia="Times New Roman" w:hint="default"/>
                <w:sz w:val="18"/>
                <w:szCs w:val="18"/>
              </w:rPr>
              <w:t>/</w:t>
            </w:r>
            <w:r>
              <w:rPr>
                <w:rFonts w:ascii="宋体" w:hAnsi="宋体" w:cs="宋体" w:eastAsia="宋体" w:hint="default"/>
                <w:sz w:val="18"/>
                <w:szCs w:val="18"/>
              </w:rPr>
              <w:t>津贴直至履行上缴上 述收益的承诺。</w:t>
            </w:r>
            <w:r>
              <w:rPr>
                <w:rFonts w:ascii="Times New Roman" w:hAnsi="Times New Roman" w:cs="Times New Roman" w:eastAsia="Times New Roman" w:hint="default"/>
                <w:sz w:val="18"/>
                <w:szCs w:val="18"/>
              </w:rPr>
              <w:t>5</w:t>
            </w:r>
            <w:r>
              <w:rPr>
                <w:rFonts w:ascii="宋体" w:hAnsi="宋体" w:cs="宋体" w:eastAsia="宋体" w:hint="default"/>
                <w:sz w:val="18"/>
                <w:szCs w:val="18"/>
              </w:rPr>
              <w:t>、本人将遵守中国证监会《上 </w:t>
            </w:r>
            <w:r>
              <w:rPr>
                <w:rFonts w:ascii="宋体" w:hAnsi="宋体" w:cs="宋体" w:eastAsia="宋体" w:hint="default"/>
                <w:spacing w:val="-5"/>
                <w:sz w:val="18"/>
                <w:szCs w:val="18"/>
              </w:rPr>
              <w:t>市公司股东、董监高减持股份的若干规定》，深</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圳证券交易所《股票上市规则》、《深圳证券交</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易所上市公司股东及董事、监事、高级管理人 员减持股份实施细则》的相关规定。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299"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197"/>
              <w:jc w:val="both"/>
              <w:rPr>
                <w:rFonts w:ascii="宋体" w:hAnsi="宋体" w:cs="宋体" w:eastAsia="宋体" w:hint="default"/>
                <w:sz w:val="18"/>
                <w:szCs w:val="18"/>
              </w:rPr>
            </w:pPr>
            <w:r>
              <w:rPr>
                <w:rFonts w:ascii="宋体" w:hAnsi="宋体" w:cs="宋体" w:eastAsia="宋体" w:hint="default"/>
                <w:sz w:val="18"/>
                <w:szCs w:val="18"/>
              </w:rPr>
              <w:t>金翼汇顺、 国华腾飞、 有孚创业、 北京国投、</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7"/>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、自华大基因股票在深圳证券交易所上市之日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个月内，不转让或者委托他人管理在上市 之前持有的华大基因股份，也不由华大基因回 购该部分股份。若因公司进行权益分派等导致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7"/>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3.4pt;height:769.45pt;mso-position-horizontal-relative:page;mso-position-vertical-relative:page;z-index:-1276264" coordorigin="1171,1450" coordsize="1268,15389">
            <v:group style="position:absolute;left:1171;top:1450;width:1268;height:5658" coordorigin="1171,1450" coordsize="1268,5658">
              <v:shape style="position:absolute;left:1171;top:1450;width:1268;height:5658" coordorigin="1171,1450" coordsize="1268,5658" path="m1171,7107l2439,7107,2439,1450,1171,1450,1171,7107xe" filled="true" fillcolor="#d2d2d2" stroked="false">
                <v:path arrowok="t"/>
                <v:fill type="solid"/>
              </v:shape>
            </v:group>
            <v:group style="position:absolute;left:1171;top:7107;width:1268;height:9732" coordorigin="1171,7107" coordsize="1268,9732">
              <v:shape style="position:absolute;left:1171;top:7107;width:1268;height:9732" coordorigin="1171,7107" coordsize="1268,9732" path="m2439,16838l2439,7107,1171,7107,1171,16838,2439,16838xe" filled="true" fillcolor="#d2d2d2" stroked="false">
                <v:path arrowok="t"/>
                <v:fill type="solid"/>
              </v:shape>
            </v:group>
            <w10:wrap type="none"/>
          </v:group>
        </w:pict>
      </w: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80"/>
      </w:tblGrid>
      <w:tr>
        <w:trPr>
          <w:trHeight w:val="5667"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6" w:right="197"/>
              <w:jc w:val="left"/>
              <w:rPr>
                <w:rFonts w:ascii="宋体" w:hAnsi="宋体" w:cs="宋体" w:eastAsia="宋体" w:hint="default"/>
                <w:sz w:val="18"/>
                <w:szCs w:val="18"/>
              </w:rPr>
            </w:pPr>
            <w:r>
              <w:rPr>
                <w:rFonts w:ascii="宋体" w:hAnsi="宋体" w:cs="宋体" w:eastAsia="宋体" w:hint="default"/>
                <w:sz w:val="18"/>
                <w:szCs w:val="18"/>
              </w:rPr>
              <w:t>盛桥新领 域、南海成 长、苏州松 禾、中金佳 成、上海腾 希、上海国 和、苏州软 银、青岛金 石、乐华源 城、华弘资 本、和玉高 林、东土盛 唐、盛桥新 健康、常春 藤、汇晟资 产、丰悦泰 和、中国人 寿</w:t>
            </w: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3" w:right="98"/>
              <w:jc w:val="left"/>
              <w:rPr>
                <w:rFonts w:ascii="宋体" w:hAnsi="宋体" w:cs="宋体" w:eastAsia="宋体" w:hint="default"/>
                <w:sz w:val="18"/>
                <w:szCs w:val="18"/>
              </w:rPr>
            </w:pPr>
            <w:r>
              <w:rPr>
                <w:rFonts w:ascii="宋体" w:hAnsi="宋体" w:cs="宋体" w:eastAsia="宋体" w:hint="default"/>
                <w:sz w:val="18"/>
                <w:szCs w:val="18"/>
              </w:rPr>
              <w:t>其持有的公司股份发生变化的，其仍将遵守上 述承诺。</w:t>
            </w:r>
            <w:r>
              <w:rPr>
                <w:rFonts w:ascii="Times New Roman" w:hAnsi="Times New Roman" w:cs="Times New Roman" w:eastAsia="Times New Roman" w:hint="default"/>
                <w:sz w:val="18"/>
                <w:szCs w:val="18"/>
              </w:rPr>
              <w:t>2</w:t>
            </w:r>
            <w:r>
              <w:rPr>
                <w:rFonts w:ascii="宋体" w:hAnsi="宋体" w:cs="宋体" w:eastAsia="宋体" w:hint="default"/>
                <w:sz w:val="18"/>
                <w:szCs w:val="18"/>
              </w:rPr>
              <w:t>、若不履行本承诺所约定的义务和责 任，其将承担公司、公司其他股东或利益相关 方因此所受到的任何损失，违规减持公司股票 的收益将归公司所有。</w:t>
            </w:r>
            <w:r>
              <w:rPr>
                <w:rFonts w:ascii="Times New Roman" w:hAnsi="Times New Roman" w:cs="Times New Roman" w:eastAsia="Times New Roman" w:hint="default"/>
                <w:sz w:val="18"/>
                <w:szCs w:val="18"/>
              </w:rPr>
              <w:t>3</w:t>
            </w:r>
            <w:r>
              <w:rPr>
                <w:rFonts w:ascii="宋体" w:hAnsi="宋体" w:cs="宋体" w:eastAsia="宋体" w:hint="default"/>
                <w:sz w:val="18"/>
                <w:szCs w:val="18"/>
              </w:rPr>
              <w:t>、本企业将遵守中国证 监会《上市公司股东、董监高减持股份的若干 </w:t>
            </w:r>
            <w:r>
              <w:rPr>
                <w:rFonts w:ascii="宋体" w:hAnsi="宋体" w:cs="宋体" w:eastAsia="宋体" w:hint="default"/>
                <w:spacing w:val="-13"/>
                <w:sz w:val="18"/>
                <w:szCs w:val="18"/>
              </w:rPr>
              <w:t>规定》，深圳证券交易所《股票上市规则》、《深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圳证券交易所上市公司股东及董事、监事、高 级管理人员减持股份实施细则》的相关规定。</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164"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97"/>
              <w:jc w:val="both"/>
              <w:rPr>
                <w:rFonts w:ascii="宋体" w:hAnsi="宋体" w:cs="宋体" w:eastAsia="宋体" w:hint="default"/>
                <w:sz w:val="18"/>
                <w:szCs w:val="18"/>
              </w:rPr>
            </w:pPr>
            <w:r>
              <w:rPr>
                <w:rFonts w:ascii="宋体" w:hAnsi="宋体" w:cs="宋体" w:eastAsia="宋体" w:hint="default"/>
                <w:sz w:val="18"/>
                <w:szCs w:val="18"/>
              </w:rPr>
              <w:t>华夏人寿保 险股份有限 公司、霍尔 果斯锋茂股 权投资管理 合伙企业</w:t>
            </w:r>
          </w:p>
          <w:p>
            <w:pPr>
              <w:pStyle w:val="TableParagraph"/>
              <w:spacing w:line="316" w:lineRule="auto" w:before="19"/>
              <w:ind w:left="26" w:right="108"/>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6"/>
                <w:sz w:val="18"/>
                <w:szCs w:val="18"/>
              </w:rPr>
              <w:t>伙）、宁波博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源卓越股权 投资合伙企 业（有限合 </w:t>
            </w:r>
            <w:r>
              <w:rPr>
                <w:rFonts w:ascii="宋体" w:hAnsi="宋体" w:cs="宋体" w:eastAsia="宋体" w:hint="default"/>
                <w:spacing w:val="-16"/>
                <w:sz w:val="18"/>
                <w:szCs w:val="18"/>
              </w:rPr>
              <w:t>伙）、宁波软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银天维创业 投资合伙企 业（有限合 </w:t>
            </w:r>
            <w:r>
              <w:rPr>
                <w:rFonts w:ascii="宋体" w:hAnsi="宋体" w:cs="宋体" w:eastAsia="宋体" w:hint="default"/>
                <w:spacing w:val="-16"/>
                <w:sz w:val="18"/>
                <w:szCs w:val="18"/>
              </w:rPr>
              <w:t>伙）、上海海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百合投资发 展中心（有 </w:t>
            </w:r>
            <w:r>
              <w:rPr>
                <w:rFonts w:ascii="宋体" w:hAnsi="宋体" w:cs="宋体" w:eastAsia="宋体" w:hint="default"/>
                <w:spacing w:val="-16"/>
                <w:sz w:val="18"/>
                <w:szCs w:val="18"/>
              </w:rPr>
              <w:t>限合伙）、上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海开物投资 合伙企业</w:t>
            </w:r>
          </w:p>
          <w:p>
            <w:pPr>
              <w:pStyle w:val="TableParagraph"/>
              <w:spacing w:line="319" w:lineRule="auto" w:before="19"/>
              <w:ind w:left="26" w:right="108"/>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6"/>
                <w:sz w:val="18"/>
                <w:szCs w:val="18"/>
              </w:rPr>
              <w:t>伙）、上海云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锋股权投资 中心（有限 </w:t>
            </w:r>
            <w:r>
              <w:rPr>
                <w:rFonts w:ascii="宋体" w:hAnsi="宋体" w:cs="宋体" w:eastAsia="宋体" w:hint="default"/>
                <w:spacing w:val="-16"/>
                <w:sz w:val="18"/>
                <w:szCs w:val="18"/>
              </w:rPr>
              <w:t>合伙）、上海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43"/>
              <w:ind w:left="23" w:right="9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、对于其以股权或现金增资方式获得的华大基 因股份，自其获得该股份之日（完成工商变更 登记手续之日为基准日，即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314" w:lineRule="auto" w:before="7"/>
              <w:ind w:left="23" w:right="98"/>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个月内，其不转让或者委托他人管理 在上市之前持有的华大基因股份，也不由华大 基因回购该部分股份。若因公司进行权益分派 等导致其持有的公司股份发生变化的，其仍将 遵守上述承诺。</w:t>
            </w:r>
            <w:r>
              <w:rPr>
                <w:rFonts w:ascii="Times New Roman" w:hAnsi="Times New Roman" w:cs="Times New Roman" w:eastAsia="Times New Roman" w:hint="default"/>
                <w:sz w:val="18"/>
                <w:szCs w:val="18"/>
              </w:rPr>
              <w:t>2</w:t>
            </w:r>
            <w:r>
              <w:rPr>
                <w:rFonts w:ascii="宋体" w:hAnsi="宋体" w:cs="宋体" w:eastAsia="宋体" w:hint="default"/>
                <w:sz w:val="18"/>
                <w:szCs w:val="18"/>
              </w:rPr>
              <w:t>、若不履行本承诺所约定的义 务和责任，将承担公司、公司其他股东或利益 相关方因此所受到的任何损失，违规减持公司 股票的收益将归公司所有。</w:t>
            </w:r>
            <w:r>
              <w:rPr>
                <w:rFonts w:ascii="Times New Roman" w:hAnsi="Times New Roman" w:cs="Times New Roman" w:eastAsia="Times New Roman" w:hint="default"/>
                <w:sz w:val="18"/>
                <w:szCs w:val="18"/>
              </w:rPr>
              <w:t>3</w:t>
            </w:r>
            <w:r>
              <w:rPr>
                <w:rFonts w:ascii="宋体" w:hAnsi="宋体" w:cs="宋体" w:eastAsia="宋体" w:hint="default"/>
                <w:sz w:val="18"/>
                <w:szCs w:val="18"/>
              </w:rPr>
              <w:t>、本企业将遵守中 国证监会《上市公司股东、董监高减持股份的 </w:t>
            </w:r>
            <w:r>
              <w:rPr>
                <w:rFonts w:ascii="宋体" w:hAnsi="宋体" w:cs="宋体" w:eastAsia="宋体" w:hint="default"/>
                <w:spacing w:val="-5"/>
                <w:sz w:val="18"/>
                <w:szCs w:val="18"/>
              </w:rPr>
              <w:t>若干规定》，深圳证券交易所《股票上市规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则》、《深圳证券交易所上市公司股东及董事、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监事、高级管理人员减持股份实施细则》的相 关规定。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3.4pt;height:769.45pt;mso-position-horizontal-relative:page;mso-position-vertical-relative:page;z-index:-1276240" coordorigin="1171,1450" coordsize="1268,15389">
            <v:group style="position:absolute;left:1171;top:1450;width:1268;height:9091" coordorigin="1171,1450" coordsize="1268,9091">
              <v:shape style="position:absolute;left:1171;top:1450;width:1268;height:9091" coordorigin="1171,1450" coordsize="1268,9091" path="m1171,10540l2439,10540,2439,1450,1171,1450,1171,10540xe" filled="true" fillcolor="#d2d2d2" stroked="false">
                <v:path arrowok="t"/>
                <v:fill type="solid"/>
              </v:shape>
            </v:group>
            <v:group style="position:absolute;left:1171;top:10540;width:1268;height:4458" coordorigin="1171,10540" coordsize="1268,4458">
              <v:shape style="position:absolute;left:1171;top:10540;width:1268;height:4458" coordorigin="1171,10540" coordsize="1268,4458" path="m1171,14998l2439,14998,2439,10540,1171,10540,1171,14998xe" filled="true" fillcolor="#d2d2d2" stroked="false">
                <v:path arrowok="t"/>
                <v:fill type="solid"/>
              </v:shape>
            </v:group>
            <v:group style="position:absolute;left:1171;top:14998;width:1268;height:1841" coordorigin="1171,14998" coordsize="1268,1841">
              <v:shape style="position:absolute;left:1171;top:14998;width:1268;height:1841" coordorigin="1171,14998" coordsize="1268,1841" path="m2439,16838l2439,14998,1171,14998,1171,16838,2439,16838xe" filled="true" fillcolor="#d2d2d2" stroked="false">
                <v:path arrowok="t"/>
                <v:fill type="solid"/>
              </v:shape>
            </v:group>
            <w10:wrap type="none"/>
          </v:group>
        </w:pict>
      </w: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78"/>
      </w:tblGrid>
      <w:tr>
        <w:trPr>
          <w:trHeight w:val="9100"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6" w:right="197"/>
              <w:jc w:val="left"/>
              <w:rPr>
                <w:rFonts w:ascii="宋体" w:hAnsi="宋体" w:cs="宋体" w:eastAsia="宋体" w:hint="default"/>
                <w:sz w:val="18"/>
                <w:szCs w:val="18"/>
              </w:rPr>
            </w:pPr>
            <w:r>
              <w:rPr>
                <w:rFonts w:ascii="宋体" w:hAnsi="宋体" w:cs="宋体" w:eastAsia="宋体" w:hint="default"/>
                <w:sz w:val="18"/>
                <w:szCs w:val="18"/>
              </w:rPr>
              <w:t>珍尤医疗投 资合伙企业</w:t>
            </w:r>
          </w:p>
          <w:p>
            <w:pPr>
              <w:pStyle w:val="TableParagraph"/>
              <w:spacing w:line="316" w:lineRule="auto" w:before="19"/>
              <w:ind w:left="26" w:right="108"/>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6"/>
                <w:sz w:val="18"/>
                <w:szCs w:val="18"/>
              </w:rPr>
              <w:t>伙）、深圳宸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时资本管理 有限公司、 深圳市创润 投资合伙企 业（有限合 </w:t>
            </w:r>
            <w:r>
              <w:rPr>
                <w:rFonts w:ascii="宋体" w:hAnsi="宋体" w:cs="宋体" w:eastAsia="宋体" w:hint="default"/>
                <w:spacing w:val="-16"/>
                <w:sz w:val="18"/>
                <w:szCs w:val="18"/>
              </w:rPr>
              <w:t>伙）、深圳市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国信弘盛股 权投资基金</w:t>
            </w:r>
          </w:p>
          <w:p>
            <w:pPr>
              <w:pStyle w:val="TableParagraph"/>
              <w:spacing w:line="316" w:lineRule="auto" w:before="19"/>
              <w:ind w:left="26" w:right="108"/>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6"/>
                <w:sz w:val="18"/>
                <w:szCs w:val="18"/>
              </w:rPr>
              <w:t>伙）、深圳市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盛桥创鑫投 资合伙企业</w:t>
            </w:r>
          </w:p>
          <w:p>
            <w:pPr>
              <w:pStyle w:val="TableParagraph"/>
              <w:spacing w:line="316" w:lineRule="auto" w:before="19"/>
              <w:ind w:left="26" w:right="108"/>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6"/>
                <w:sz w:val="18"/>
                <w:szCs w:val="18"/>
              </w:rPr>
              <w:t>伙）、天津高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林同创股权 投资合伙企 业（有限合 </w:t>
            </w:r>
            <w:r>
              <w:rPr>
                <w:rFonts w:ascii="宋体" w:hAnsi="宋体" w:cs="宋体" w:eastAsia="宋体" w:hint="default"/>
                <w:spacing w:val="-16"/>
                <w:sz w:val="18"/>
                <w:szCs w:val="18"/>
              </w:rPr>
              <w:t>伙）、西安尔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湾投资有限 合伙企业、 中小企业基 因（深圳） 投资合伙企 业（有限合 伙）</w:t>
            </w: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1275"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6" w:right="197"/>
              <w:jc w:val="both"/>
              <w:rPr>
                <w:rFonts w:ascii="宋体" w:hAnsi="宋体" w:cs="宋体" w:eastAsia="宋体" w:hint="default"/>
                <w:sz w:val="18"/>
                <w:szCs w:val="18"/>
              </w:rPr>
            </w:pPr>
            <w:r>
              <w:rPr>
                <w:rFonts w:ascii="宋体" w:hAnsi="宋体" w:cs="宋体" w:eastAsia="宋体" w:hint="default"/>
                <w:sz w:val="18"/>
                <w:szCs w:val="18"/>
              </w:rPr>
              <w:t>深圳市深港 产学研创业 投资有限公 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、对于其自深圳华大基因科技有限公司处受让 的华大基因股份，自华大基因股票在深圳证券 交易所上市之日起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个月内，其承诺不转让或 者委托他人管理该部分股份，也不由华大基因 回购该部分股份。若因公司进行权益分派等导 致其持有的公司股份发生变化的，其仍将遵守 上述承诺。</w:t>
            </w:r>
            <w:r>
              <w:rPr>
                <w:rFonts w:ascii="Times New Roman" w:hAnsi="Times New Roman" w:cs="Times New Roman" w:eastAsia="Times New Roman" w:hint="default"/>
                <w:sz w:val="18"/>
                <w:szCs w:val="18"/>
              </w:rPr>
              <w:t>2</w:t>
            </w:r>
            <w:r>
              <w:rPr>
                <w:rFonts w:ascii="宋体" w:hAnsi="宋体" w:cs="宋体" w:eastAsia="宋体" w:hint="default"/>
                <w:sz w:val="18"/>
                <w:szCs w:val="18"/>
              </w:rPr>
              <w:t>、若不履行本承诺所约定的义务和 责任，将承担公司、公司其他股东或利益相关 方因此所受到的任何损失，违规减持公司股票 的收益将归公司所有。</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、本公司将遵守中国证 监会《上市公司股东、董监高减持股份的若干 </w:t>
            </w:r>
            <w:r>
              <w:rPr>
                <w:rFonts w:ascii="宋体" w:hAnsi="宋体" w:cs="宋体" w:eastAsia="宋体" w:hint="default"/>
                <w:spacing w:val="-13"/>
                <w:sz w:val="18"/>
                <w:szCs w:val="18"/>
              </w:rPr>
              <w:t>规定》，深圳证券交易所《股票上市规则》、《深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圳证券交易所上市公司股东及董事、监事、高 级管理人员减持股份实施细则》的相关规定。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62"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北京荣之联</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、对于其以股权增资方式获得的华大基因股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3.4pt;height:769.45pt;mso-position-horizontal-relative:page;mso-position-vertical-relative:page;z-index:-1276216" coordorigin="1171,1450" coordsize="1268,15389">
            <v:group style="position:absolute;left:1171;top:1450;width:1268;height:5658" coordorigin="1171,1450" coordsize="1268,5658">
              <v:shape style="position:absolute;left:1171;top:1450;width:1268;height:5658" coordorigin="1171,1450" coordsize="1268,5658" path="m1171,7107l2439,7107,2439,1450,1171,1450,1171,7107xe" filled="true" fillcolor="#d2d2d2" stroked="false">
                <v:path arrowok="t"/>
                <v:fill type="solid"/>
              </v:shape>
            </v:group>
            <v:group style="position:absolute;left:1171;top:7107;width:1268;height:9732" coordorigin="1171,7107" coordsize="1268,9732">
              <v:shape style="position:absolute;left:1171;top:7107;width:1268;height:9732" coordorigin="1171,7107" coordsize="1268,9732" path="m2439,16838l2439,7107,1171,7107,1171,16838,2439,16838xe" filled="true" fillcolor="#d2d2d2" stroked="false">
                <v:path arrowok="t"/>
                <v:fill type="solid"/>
              </v:shape>
            </v:group>
            <w10:wrap type="none"/>
          </v:group>
        </w:pict>
      </w: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78"/>
      </w:tblGrid>
      <w:tr>
        <w:trPr>
          <w:trHeight w:val="5667"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6" w:right="197"/>
              <w:jc w:val="left"/>
              <w:rPr>
                <w:rFonts w:ascii="宋体" w:hAnsi="宋体" w:cs="宋体" w:eastAsia="宋体" w:hint="default"/>
                <w:sz w:val="18"/>
                <w:szCs w:val="18"/>
              </w:rPr>
            </w:pPr>
            <w:r>
              <w:rPr>
                <w:rFonts w:ascii="宋体" w:hAnsi="宋体" w:cs="宋体" w:eastAsia="宋体" w:hint="default"/>
                <w:sz w:val="18"/>
                <w:szCs w:val="18"/>
              </w:rPr>
              <w:t>科技股份有 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85"/>
              <w:jc w:val="left"/>
              <w:rPr>
                <w:rFonts w:ascii="宋体" w:hAnsi="宋体" w:cs="宋体" w:eastAsia="宋体" w:hint="default"/>
                <w:sz w:val="18"/>
                <w:szCs w:val="18"/>
              </w:rPr>
            </w:pPr>
            <w:r>
              <w:rPr>
                <w:rFonts w:ascii="宋体" w:hAnsi="宋体" w:cs="宋体" w:eastAsia="宋体" w:hint="default"/>
                <w:sz w:val="18"/>
                <w:szCs w:val="18"/>
              </w:rPr>
              <w:t>份，自其获得该股份之日（完成工商变更登记 手续之日为基准日，即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p>
          <w:p>
            <w:pPr>
              <w:pStyle w:val="TableParagraph"/>
              <w:spacing w:line="312" w:lineRule="auto"/>
              <w:ind w:left="23"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个月内，其承诺不转让或者委托他人管理该 部分股份，也不由华大基因回购该部分股份。 </w:t>
            </w:r>
            <w:r>
              <w:rPr>
                <w:rFonts w:ascii="Times New Roman" w:hAnsi="Times New Roman" w:cs="Times New Roman" w:eastAsia="Times New Roman" w:hint="default"/>
                <w:sz w:val="18"/>
                <w:szCs w:val="18"/>
              </w:rPr>
              <w:t>2</w:t>
            </w:r>
            <w:r>
              <w:rPr>
                <w:rFonts w:ascii="宋体" w:hAnsi="宋体" w:cs="宋体" w:eastAsia="宋体" w:hint="default"/>
                <w:sz w:val="18"/>
                <w:szCs w:val="18"/>
              </w:rPr>
              <w:t>、除上述华大基因股份外，对于其持有的华大 基因其它股份，自华大基因股票在深圳证券交 易所上市之日起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个月内，其承诺不转让或者 委托他人管理该部分股份，也不由华大基因回 购该部分股份。若因公司进行权益分派等导致 其持有的公司股份发生变化的，其仍将遵守上 述承诺。</w:t>
            </w:r>
            <w:r>
              <w:rPr>
                <w:rFonts w:ascii="Times New Roman" w:hAnsi="Times New Roman" w:cs="Times New Roman" w:eastAsia="Times New Roman" w:hint="default"/>
                <w:sz w:val="18"/>
                <w:szCs w:val="18"/>
              </w:rPr>
              <w:t>3</w:t>
            </w:r>
            <w:r>
              <w:rPr>
                <w:rFonts w:ascii="宋体" w:hAnsi="宋体" w:cs="宋体" w:eastAsia="宋体" w:hint="default"/>
                <w:sz w:val="18"/>
                <w:szCs w:val="18"/>
              </w:rPr>
              <w:t>、若不履行本承诺所约定的义务和责 任，其将承担公司、公司其他股东或利益相关 方因此所受到的任何损失，违规减持公司股票 的收益将归公司所有。</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、本公司将遵守中国证 监会《上市公司股东、董监高减持股份的若干 </w:t>
            </w:r>
            <w:r>
              <w:rPr>
                <w:rFonts w:ascii="宋体" w:hAnsi="宋体" w:cs="宋体" w:eastAsia="宋体" w:hint="default"/>
                <w:spacing w:val="-13"/>
                <w:sz w:val="18"/>
                <w:szCs w:val="18"/>
              </w:rPr>
              <w:t>规定》，深圳证券交易所《股票上市规则》、《深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圳证券交易所上市公司股东及董事、监事、高 级管理人员减持股份实施细则》的相关规定。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8164"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6" w:right="197"/>
              <w:jc w:val="both"/>
              <w:rPr>
                <w:rFonts w:ascii="宋体" w:hAnsi="宋体" w:cs="宋体" w:eastAsia="宋体" w:hint="default"/>
                <w:sz w:val="18"/>
                <w:szCs w:val="18"/>
              </w:rPr>
            </w:pPr>
            <w:r>
              <w:rPr>
                <w:rFonts w:ascii="宋体" w:hAnsi="宋体" w:cs="宋体" w:eastAsia="宋体" w:hint="default"/>
                <w:sz w:val="18"/>
                <w:szCs w:val="18"/>
              </w:rPr>
              <w:t>深圳市创新 投资集团有 限公司、深 圳市红土生 物创业投资 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09" w:lineRule="auto"/>
              <w:ind w:left="2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、对于其自深圳华大基因科技有限公司处受让 的华大基因股份，自华大基因股票在深圳证券 交易所上市之日起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个月内，其承诺不转让或 者委托他人管理该部分股份，也不由华大基因 回购该部分股份。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、对于其以股权增资方式获 得的华大基因股份，自其获得该股份之日（完 成工商变更登记手续之日为基准日，即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个月内，或自华大基因股票在</w:t>
            </w:r>
          </w:p>
          <w:p>
            <w:pPr>
              <w:pStyle w:val="TableParagraph"/>
              <w:spacing w:line="312" w:lineRule="auto" w:before="63"/>
              <w:ind w:left="23" w:right="53"/>
              <w:jc w:val="left"/>
              <w:rPr>
                <w:rFonts w:ascii="宋体" w:hAnsi="宋体" w:cs="宋体" w:eastAsia="宋体" w:hint="default"/>
                <w:sz w:val="18"/>
                <w:szCs w:val="18"/>
              </w:rPr>
            </w:pPr>
            <w:r>
              <w:rPr>
                <w:rFonts w:ascii="宋体" w:hAnsi="宋体" w:cs="宋体" w:eastAsia="宋体" w:hint="default"/>
                <w:sz w:val="18"/>
                <w:szCs w:val="18"/>
              </w:rPr>
              <w:t>深圳证券交易所上市之日起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个月内，其承诺 不转让或者委托他人管理该部分股份，也不由 华大基因回购该部分股份。</w:t>
            </w:r>
            <w:r>
              <w:rPr>
                <w:rFonts w:ascii="Times New Roman" w:hAnsi="Times New Roman" w:cs="Times New Roman" w:eastAsia="Times New Roman" w:hint="default"/>
                <w:sz w:val="18"/>
                <w:szCs w:val="18"/>
              </w:rPr>
              <w:t>3</w:t>
            </w:r>
            <w:r>
              <w:rPr>
                <w:rFonts w:ascii="宋体" w:hAnsi="宋体" w:cs="宋体" w:eastAsia="宋体" w:hint="default"/>
                <w:sz w:val="18"/>
                <w:szCs w:val="18"/>
              </w:rPr>
              <w:t>、除上述华大基因 股份外，对于其持有的华大基因其它股份，自 华大基因股票在深圳证券交易所上市之日起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个月内，其承诺不转让或者委托他人管理该部 分股份，也不由华大基因回购该部分股份。若 因公司进行权益分派等导致其持有的公司股份 发生变化的，其仍将遵守上述承诺。</w:t>
            </w:r>
            <w:r>
              <w:rPr>
                <w:rFonts w:ascii="Times New Roman" w:hAnsi="Times New Roman" w:cs="Times New Roman" w:eastAsia="Times New Roman" w:hint="default"/>
                <w:sz w:val="18"/>
                <w:szCs w:val="18"/>
              </w:rPr>
              <w:t>4</w:t>
            </w:r>
            <w:r>
              <w:rPr>
                <w:rFonts w:ascii="宋体" w:hAnsi="宋体" w:cs="宋体" w:eastAsia="宋体" w:hint="default"/>
                <w:sz w:val="18"/>
                <w:szCs w:val="18"/>
              </w:rPr>
              <w:t>、若不履 行本承诺所约定的义务和责任，其将承担公 司、公司其他股东或利益相关方因此所受到的 任何损失，违规减持公司股票的收益将归公司 所有。</w:t>
            </w:r>
            <w:r>
              <w:rPr>
                <w:rFonts w:ascii="Times New Roman" w:hAnsi="Times New Roman" w:cs="Times New Roman" w:eastAsia="Times New Roman" w:hint="default"/>
                <w:sz w:val="18"/>
                <w:szCs w:val="18"/>
              </w:rPr>
              <w:t>5</w:t>
            </w:r>
            <w:r>
              <w:rPr>
                <w:rFonts w:ascii="宋体" w:hAnsi="宋体" w:cs="宋体" w:eastAsia="宋体" w:hint="default"/>
                <w:sz w:val="18"/>
                <w:szCs w:val="18"/>
              </w:rPr>
              <w:t>、本公司将遵守中国证监会《上市公司 </w:t>
            </w:r>
            <w:r>
              <w:rPr>
                <w:rFonts w:ascii="宋体" w:hAnsi="宋体" w:cs="宋体" w:eastAsia="宋体" w:hint="default"/>
                <w:spacing w:val="-5"/>
                <w:sz w:val="18"/>
                <w:szCs w:val="18"/>
              </w:rPr>
              <w:t>股东、董监高减持股份的若干规定》，深圳证券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交易所《股票上市规则》、《深圳证券交易所上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市公司股东及董事、监事、高级管理人员减持 股份实施细则》的相关规定。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、自深 圳华大基 因科技有 限公司处 受让的华 大基因股 份：承诺 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p>
          <w:p>
            <w:pPr>
              <w:pStyle w:val="TableParagraph"/>
              <w:spacing w:line="314" w:lineRule="auto" w:before="1"/>
              <w:ind w:left="23"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 </w:t>
            </w:r>
            <w:r>
              <w:rPr>
                <w:rFonts w:ascii="Times New Roman" w:hAnsi="Times New Roman" w:cs="Times New Roman" w:eastAsia="Times New Roman" w:hint="default"/>
                <w:sz w:val="18"/>
                <w:szCs w:val="18"/>
              </w:rPr>
              <w:t>2</w:t>
            </w:r>
            <w:r>
              <w:rPr>
                <w:rFonts w:ascii="宋体" w:hAnsi="宋体" w:cs="宋体" w:eastAsia="宋体" w:hint="default"/>
                <w:sz w:val="18"/>
                <w:szCs w:val="18"/>
              </w:rPr>
              <w:t>、以股 权增资方 式获得的 华大基因 股份：承 诺期限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14" w:lineRule="auto" w:before="1"/>
              <w:ind w:left="23"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止；</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除上述两 种方式之 外持有的 华大基因 股份：承 诺期限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3.4pt;height:726.75pt;mso-position-horizontal-relative:page;mso-position-vertical-relative:page;z-index:-1276192" coordorigin="1171,1450" coordsize="1268,14535">
            <v:group style="position:absolute;left:1171;top:1450;width:1268;height:666" coordorigin="1171,1450" coordsize="1268,666">
              <v:shape style="position:absolute;left:1171;top:1450;width:1268;height:666" coordorigin="1171,1450" coordsize="1268,666" path="m1171,2115l2439,2115,2439,1450,1171,1450,1171,2115xe" filled="true" fillcolor="#d2d2d2" stroked="false">
                <v:path arrowok="t"/>
                <v:fill type="solid"/>
              </v:shape>
            </v:group>
            <v:group style="position:absolute;left:1171;top:2115;width:1268;height:13870" coordorigin="1171,2115" coordsize="1268,13870">
              <v:shape style="position:absolute;left:1171;top:2115;width:1268;height:13870" coordorigin="1171,2115" coordsize="1268,13870" path="m1171,15984l2439,15984,2439,2115,1171,2115,1171,15984xe" filled="true" fillcolor="#d2d2d2" stroked="false">
                <v:path arrowok="t"/>
                <v:fill type="solid"/>
              </v:shape>
            </v:group>
            <w10:wrap type="none"/>
          </v:group>
        </w:pict>
      </w: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80"/>
      </w:tblGrid>
      <w:tr>
        <w:trPr>
          <w:trHeight w:val="675"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18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止。</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3195"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6" w:right="197"/>
              <w:jc w:val="both"/>
              <w:rPr>
                <w:rFonts w:ascii="宋体" w:hAnsi="宋体" w:cs="宋体" w:eastAsia="宋体" w:hint="default"/>
                <w:sz w:val="18"/>
                <w:szCs w:val="18"/>
              </w:rPr>
            </w:pPr>
            <w:r>
              <w:rPr>
                <w:rFonts w:ascii="宋体" w:hAnsi="宋体" w:cs="宋体" w:eastAsia="宋体" w:hint="default"/>
                <w:sz w:val="18"/>
                <w:szCs w:val="18"/>
              </w:rPr>
              <w:t>深圳华大基 因股份有限 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股份回购 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、公司股票自挂牌上市之日起三年内，一旦出 现连续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个交易日公司股票收盘价低于公司最 近一期经审计的每股净资产时（若因除权除息 等事项致使上述股票收盘价与公司最近一期末 经审计的每股净资产不具可比性的，上述股票 </w:t>
            </w:r>
            <w:r>
              <w:rPr>
                <w:rFonts w:ascii="宋体" w:hAnsi="宋体" w:cs="宋体" w:eastAsia="宋体" w:hint="default"/>
                <w:spacing w:val="-5"/>
                <w:sz w:val="18"/>
                <w:szCs w:val="18"/>
              </w:rPr>
              <w:t>收盘价应做相应调整），公司将根据《上市公司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回购社会公众股份管理办法（试行）》的规定向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社会公众股东回购公司部分股票，同时保证回 购结果不会导致公司的股权分布不符合上市条 件。</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、公司将依据《上市公司回购社会公众股 </w:t>
            </w:r>
            <w:r>
              <w:rPr>
                <w:rFonts w:ascii="宋体" w:hAnsi="宋体" w:cs="宋体" w:eastAsia="宋体" w:hint="default"/>
                <w:spacing w:val="-5"/>
                <w:sz w:val="18"/>
                <w:szCs w:val="18"/>
              </w:rPr>
              <w:t>份管理办法（试行）》等法律、法规及《公司章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程》的规定，在上述条件成就之日起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 日内召开董事会，董事会应制定明确、具体的 回购方案，方案内容应包括但不限于拟回购本 公司股份的种类、数量区间、价格区间、实施 期限等内容，并提交公司股东大会审议，回购 方案经公司股东大会审议通过后生效。董事会 应同时通过决议，如在股东大会会议通知发出 后至股东大会召开日前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个工作日期间，公司 股票收盘价已经回升达到或超过最近一期末经 审计的每股净资产，董事会应取消该次股东大 会或取消审议回购方案的提案，并相应公告和 说明原因。如股东大会召开前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 公司股票收盘价已经回升达到或超过最近一期 末经审计的每股净资产，股东大会可否决回购 方案的议案。</w:t>
            </w:r>
            <w:r>
              <w:rPr>
                <w:rFonts w:ascii="Times New Roman" w:hAnsi="Times New Roman" w:cs="Times New Roman" w:eastAsia="Times New Roman" w:hint="default"/>
                <w:sz w:val="18"/>
                <w:szCs w:val="18"/>
              </w:rPr>
              <w:t>3</w:t>
            </w:r>
            <w:r>
              <w:rPr>
                <w:rFonts w:ascii="宋体" w:hAnsi="宋体" w:cs="宋体" w:eastAsia="宋体" w:hint="default"/>
                <w:sz w:val="18"/>
                <w:szCs w:val="18"/>
              </w:rPr>
              <w:t>、在股东大会审议通过股份回购 方案后，公司将依法通知债权人，并向证券监 督管理部门、证券交易所等主管部门报送相关 材料，办理审批或备案手续。本公司回购股份 的价格不超过最近一期末经审计每股净资产的 </w:t>
            </w:r>
            <w:r>
              <w:rPr>
                <w:rFonts w:ascii="Times New Roman" w:hAnsi="Times New Roman" w:cs="Times New Roman" w:eastAsia="Times New Roman" w:hint="default"/>
                <w:sz w:val="18"/>
                <w:szCs w:val="18"/>
              </w:rPr>
              <w:t>110%</w:t>
            </w:r>
            <w:r>
              <w:rPr>
                <w:rFonts w:ascii="宋体" w:hAnsi="宋体" w:cs="宋体" w:eastAsia="宋体" w:hint="default"/>
                <w:sz w:val="18"/>
                <w:szCs w:val="18"/>
              </w:rPr>
              <w:t>，回购股份的方式为集中竞价交易方式、 要约方式或证券监督管理部门认可的其它方 式。公司单次用于回购股份的资金金额不高于 最近一期经审计的归属于母公司所有者的净利 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；公司自上市之日起每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个月内用于 回购股份的资金金额合计不超过最近一期经审 计的归属于母公司所有者的净利润的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。在 启动股价稳定措施的前提条件满足时，如公司 未采取上述稳定股价的具体措施，公司将在股 东大会及中国证监会指定报刊上公开说明未采 取上述稳定股价措施的具体原因并向股东和社 会公众投资者道歉。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3.4pt;height:769.45pt;mso-position-horizontal-relative:page;mso-position-vertical-relative:page;z-index:-1276168" coordorigin="1171,1450" coordsize="1268,15389">
            <v:group style="position:absolute;left:1171;top:1450;width:1268;height:13500" coordorigin="1171,1450" coordsize="1268,13500">
              <v:shape style="position:absolute;left:1171;top:1450;width:1268;height:13500" coordorigin="1171,1450" coordsize="1268,13500" path="m1171,14950l2439,14950,2439,1450,1171,1450,1171,14950xe" filled="true" fillcolor="#d2d2d2" stroked="false">
                <v:path arrowok="t"/>
                <v:fill type="solid"/>
              </v:shape>
            </v:group>
            <v:group style="position:absolute;left:1171;top:14950;width:1268;height:1889" coordorigin="1171,14950" coordsize="1268,1889">
              <v:shape style="position:absolute;left:1171;top:14950;width:1268;height:1889" coordorigin="1171,14950" coordsize="1268,1889" path="m2439,16838l2439,14950,1171,14950,1171,16838,2439,16838xe" filled="true" fillcolor="#d2d2d2" stroked="false">
                <v:path arrowok="t"/>
                <v:fill type="solid"/>
              </v:shape>
            </v:group>
            <w10:wrap type="none"/>
          </v:group>
        </w:pict>
      </w: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78"/>
      </w:tblGrid>
      <w:tr>
        <w:trPr>
          <w:trHeight w:val="13507"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319" w:lineRule="auto"/>
              <w:ind w:left="26" w:right="197"/>
              <w:jc w:val="both"/>
              <w:rPr>
                <w:rFonts w:ascii="宋体" w:hAnsi="宋体" w:cs="宋体" w:eastAsia="宋体" w:hint="default"/>
                <w:sz w:val="18"/>
                <w:szCs w:val="18"/>
              </w:rPr>
            </w:pPr>
            <w:r>
              <w:rPr>
                <w:rFonts w:ascii="宋体" w:hAnsi="宋体" w:cs="宋体" w:eastAsia="宋体" w:hint="default"/>
                <w:sz w:val="18"/>
                <w:szCs w:val="18"/>
              </w:rPr>
              <w:t>深圳华大基 因科技有限 公司、汪建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319"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股份增持 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9"/>
              <w:jc w:val="left"/>
              <w:rPr>
                <w:rFonts w:ascii="宋体" w:hAnsi="宋体" w:cs="宋体" w:eastAsia="宋体" w:hint="default"/>
                <w:sz w:val="18"/>
                <w:szCs w:val="18"/>
              </w:rPr>
            </w:pPr>
            <w:r>
              <w:rPr>
                <w:rFonts w:ascii="宋体" w:hAnsi="宋体" w:cs="宋体" w:eastAsia="宋体" w:hint="default"/>
                <w:sz w:val="18"/>
                <w:szCs w:val="18"/>
              </w:rPr>
              <w:t>公司股票自挂牌上市之日起三年内，一旦出现 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个交易日公司股票收盘价低于公司最近 一期末经审计的每股净资产时（若因除权除息 等事项致使上述股票收盘价与公司最近一期末 经审计的每股净资产不具可比性的，上述股票 </w:t>
            </w:r>
            <w:r>
              <w:rPr>
                <w:rFonts w:ascii="宋体" w:hAnsi="宋体" w:cs="宋体" w:eastAsia="宋体" w:hint="default"/>
                <w:spacing w:val="-5"/>
                <w:sz w:val="18"/>
                <w:szCs w:val="18"/>
              </w:rPr>
              <w:t>收盘价应做相应调整），且公司回购股份的股价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稳定方案实施完毕（以公司公告的实施完毕日 为准）后的下一个交易日，如公司股票收盘价 仍低于最近一期末经审计的每股净资产的，则 公司控股股东、实际控制人将依据法律、法规 及《公司章程》的规定在不影响满足公司上市 条件的前提下实施以下具体股价稳定措施：</w:t>
            </w:r>
            <w:r>
              <w:rPr>
                <w:rFonts w:ascii="Times New Roman" w:hAnsi="Times New Roman" w:cs="Times New Roman" w:eastAsia="Times New Roman" w:hint="default"/>
                <w:sz w:val="18"/>
                <w:szCs w:val="18"/>
              </w:rPr>
              <w:t>1</w:t>
            </w:r>
            <w:r>
              <w:rPr>
                <w:rFonts w:ascii="宋体" w:hAnsi="宋体" w:cs="宋体" w:eastAsia="宋体" w:hint="default"/>
                <w:sz w:val="18"/>
                <w:szCs w:val="18"/>
              </w:rPr>
              <w:t>、 控股股东、实际控制人将在有关股价稳定措施 启动条件成就后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个交易日内提出增持公司股 份的方案（包括拟增持股份的数量、价格区 间、时间等）并通知公司，公司应按照相关规 定披露控股股东、实际控制人增持股份的计 划。在公司披露控股股东、实际控制人增持公 司股份计划的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个交易日后，控股股东、实际 控制人将按照方案开始实施增持公司股份的计 划；</w:t>
            </w:r>
            <w:r>
              <w:rPr>
                <w:rFonts w:ascii="Times New Roman" w:hAnsi="Times New Roman" w:cs="Times New Roman" w:eastAsia="Times New Roman" w:hint="default"/>
                <w:sz w:val="18"/>
                <w:szCs w:val="18"/>
              </w:rPr>
              <w:t>2</w:t>
            </w:r>
            <w:r>
              <w:rPr>
                <w:rFonts w:ascii="宋体" w:hAnsi="宋体" w:cs="宋体" w:eastAsia="宋体" w:hint="default"/>
                <w:sz w:val="18"/>
                <w:szCs w:val="18"/>
              </w:rPr>
              <w:t>、控股股东、实际控制人增持公司股份的 价格不高于公司最近一期末经审计每股净资产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、控股股东、实际控制人单次用于 增持股份的资金金额不低于控股股东最近一次 自公司获得的公司现金分红金额的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、控 股股东、实际控制人在公司上市之日起每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月内用于增持股份的资金金额合计不超过其最 近一次自公司获得的公司现金分红金额的 </w:t>
            </w:r>
            <w:r>
              <w:rPr>
                <w:rFonts w:ascii="Times New Roman" w:hAnsi="Times New Roman" w:cs="Times New Roman" w:eastAsia="Times New Roman" w:hint="default"/>
                <w:sz w:val="18"/>
                <w:szCs w:val="18"/>
              </w:rPr>
              <w:t>50%</w:t>
            </w:r>
            <w:r>
              <w:rPr>
                <w:rFonts w:ascii="宋体" w:hAnsi="宋体" w:cs="宋体" w:eastAsia="宋体" w:hint="default"/>
                <w:sz w:val="18"/>
                <w:szCs w:val="18"/>
              </w:rPr>
              <w:t>。如公司公告增持方案后的下一个交易日， 公司股票收盘价不低于公司最近一期末经审计 的每股净资产，则增持方案可以不再实施。在 启动股价稳定措施的前提条件满足时，如其未 按照上述预案采取稳定股价的具体措施，其将 在公司股东大会及中国证监会指定报刊上公开 说明未采取上述稳定股价措施的具体原因并向 公司股东和社会公众投资者道歉；如果控股股 东、实际控制人未履行上述承诺的，其将在前 述事项发生之日起停止在公司领取股东分红， 同时其持有的公司股份不得转让（因继承、被 强制执行、上市公司重组、为履行对公司或投 </w:t>
            </w:r>
            <w:r>
              <w:rPr>
                <w:rFonts w:ascii="宋体" w:hAnsi="宋体" w:cs="宋体" w:eastAsia="宋体" w:hint="default"/>
                <w:spacing w:val="-5"/>
                <w:sz w:val="18"/>
                <w:szCs w:val="18"/>
              </w:rPr>
              <w:t>资者承诺等必须转股的情形除外），直至其按上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述预案的规定采取相应的稳定股价措施并实施 完毕时为止。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62"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公司任职并</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股份增持</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公司股票自挂牌上市之日起三年内，一旦出现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78"/>
      </w:tblGrid>
      <w:tr>
        <w:trPr>
          <w:trHeight w:val="13740"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6" w:right="197"/>
              <w:jc w:val="left"/>
              <w:rPr>
                <w:rFonts w:ascii="宋体" w:hAnsi="宋体" w:cs="宋体" w:eastAsia="宋体" w:hint="default"/>
                <w:sz w:val="18"/>
                <w:szCs w:val="18"/>
              </w:rPr>
            </w:pPr>
            <w:r>
              <w:rPr>
                <w:rFonts w:ascii="宋体" w:hAnsi="宋体" w:cs="宋体" w:eastAsia="宋体" w:hint="default"/>
                <w:sz w:val="18"/>
                <w:szCs w:val="18"/>
              </w:rPr>
              <w:t>领取薪酬的 公司董事</w:t>
            </w:r>
          </w:p>
          <w:p>
            <w:pPr>
              <w:pStyle w:val="TableParagraph"/>
              <w:spacing w:line="316" w:lineRule="auto" w:before="19"/>
              <w:ind w:left="26" w:right="108"/>
              <w:jc w:val="left"/>
              <w:rPr>
                <w:rFonts w:ascii="宋体" w:hAnsi="宋体" w:cs="宋体" w:eastAsia="宋体" w:hint="default"/>
                <w:sz w:val="18"/>
                <w:szCs w:val="18"/>
              </w:rPr>
            </w:pPr>
            <w:r>
              <w:rPr>
                <w:rFonts w:ascii="宋体" w:hAnsi="宋体" w:cs="宋体" w:eastAsia="宋体" w:hint="default"/>
                <w:sz w:val="18"/>
                <w:szCs w:val="18"/>
              </w:rPr>
              <w:t>（不包括独 </w:t>
            </w:r>
            <w:r>
              <w:rPr>
                <w:rFonts w:ascii="宋体" w:hAnsi="宋体" w:cs="宋体" w:eastAsia="宋体" w:hint="default"/>
                <w:spacing w:val="-16"/>
                <w:sz w:val="18"/>
                <w:szCs w:val="18"/>
              </w:rPr>
              <w:t>立董事）、高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级管理人 员：汪建、 尹烨、孙英 俊、王俊、 吴淳、李英 睿、赵谦、 王洪涛、金 春保、陈鹏 辉、张凌、 刘娜、陈轶 青、李治 平、王威、 徐茜</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99"/>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个交易日公司股票收盘价低于公司最近 一期末经审计的每股净资产时（若因除权除息 等事项致使上述股票收盘价与公司最近一期末 经审计的每股净资产不具可比性的，上述股票 </w:t>
            </w:r>
            <w:r>
              <w:rPr>
                <w:rFonts w:ascii="宋体" w:hAnsi="宋体" w:cs="宋体" w:eastAsia="宋体" w:hint="default"/>
                <w:spacing w:val="-5"/>
                <w:sz w:val="18"/>
                <w:szCs w:val="18"/>
              </w:rPr>
              <w:t>收盘价应做相应调整），且公司、控股股东及实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际控制人股价稳定方案实施完毕（以公司公告 的实施完毕日为准）后的下一个交易日，如公 司股票收盘价仍低于最近一期末经审计的每股 净资产的，在公司任职并领取薪酬的公司董事</w:t>
            </w:r>
          </w:p>
          <w:p>
            <w:pPr>
              <w:pStyle w:val="TableParagraph"/>
              <w:spacing w:line="312" w:lineRule="auto" w:before="19"/>
              <w:ind w:left="23" w:right="83"/>
              <w:jc w:val="left"/>
              <w:rPr>
                <w:rFonts w:ascii="宋体" w:hAnsi="宋体" w:cs="宋体" w:eastAsia="宋体" w:hint="default"/>
                <w:sz w:val="18"/>
                <w:szCs w:val="18"/>
              </w:rPr>
            </w:pPr>
            <w:r>
              <w:rPr>
                <w:rFonts w:ascii="宋体" w:hAnsi="宋体" w:cs="宋体" w:eastAsia="宋体" w:hint="default"/>
                <w:spacing w:val="-5"/>
                <w:sz w:val="18"/>
                <w:szCs w:val="18"/>
              </w:rPr>
              <w:t>（不包括独立董事）、高级管理人员将依据法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律、法规及《公司章程》的规定，在不影响满 足公司上市条件的前提下实施以下具体股价稳 定措施：</w:t>
            </w:r>
            <w:r>
              <w:rPr>
                <w:rFonts w:ascii="Times New Roman" w:hAnsi="Times New Roman" w:cs="Times New Roman" w:eastAsia="Times New Roman" w:hint="default"/>
                <w:sz w:val="18"/>
                <w:szCs w:val="18"/>
              </w:rPr>
              <w:t>1</w:t>
            </w:r>
            <w:r>
              <w:rPr>
                <w:rFonts w:ascii="宋体" w:hAnsi="宋体" w:cs="宋体" w:eastAsia="宋体" w:hint="default"/>
                <w:sz w:val="18"/>
                <w:szCs w:val="18"/>
              </w:rPr>
              <w:t>、当公司出现需要采取股价稳定措施 的情形时，其将通过二级市场以竞价交易方式 买入公司股份以稳定公司股价。其将在公司出 现需要采取股价稳定措施的情形后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提出增持公司股份的方案（包括拟增持股份的 数量、价格区间、时间等）并通知公司，公司 应按照相关规定披露其买入公司股份的计划。 在公司披露其买入公司股份计划的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后，其将按照方案开始实施买入公司股份的计 划；</w:t>
            </w:r>
            <w:r>
              <w:rPr>
                <w:rFonts w:ascii="Times New Roman" w:hAnsi="Times New Roman" w:cs="Times New Roman" w:eastAsia="Times New Roman" w:hint="default"/>
                <w:sz w:val="18"/>
                <w:szCs w:val="18"/>
              </w:rPr>
              <w:t>2</w:t>
            </w:r>
            <w:r>
              <w:rPr>
                <w:rFonts w:ascii="宋体" w:hAnsi="宋体" w:cs="宋体" w:eastAsia="宋体" w:hint="default"/>
                <w:sz w:val="18"/>
                <w:szCs w:val="18"/>
              </w:rPr>
              <w:t>、其通过二级市场以竞价方式买入公司股 份的，买入价格不高于公司最近一期末经审计 每股净资产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、其单次用于增持股份的 资金金额不低于其在任职期间上一个会计年度 公司税后薪酬（或津贴）累计额的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 在公司上市之日起每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个月内用于增持股份的 资金金额合计不超过其在任职期间上一个会计 年度从公司领取的税后薪酬（或津贴）累计额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；如公司公告增持方案后的下一个交易 日，公司股票收盘价不低于公司最近一期末经 审计的每股净资产，则增持方案可以不再实 施。自公司股票挂牌上市之日起三年内，若公 </w:t>
            </w:r>
            <w:r>
              <w:rPr>
                <w:rFonts w:ascii="宋体" w:hAnsi="宋体" w:cs="宋体" w:eastAsia="宋体" w:hint="default"/>
                <w:spacing w:val="-5"/>
                <w:sz w:val="18"/>
                <w:szCs w:val="18"/>
              </w:rPr>
              <w:t>司新聘任董事（不包括独立董事）、高级管理人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员的，公司将要求该等新聘任的董事（不包括 </w:t>
            </w:r>
            <w:r>
              <w:rPr>
                <w:rFonts w:ascii="宋体" w:hAnsi="宋体" w:cs="宋体" w:eastAsia="宋体" w:hint="default"/>
                <w:spacing w:val="-5"/>
                <w:sz w:val="18"/>
                <w:szCs w:val="18"/>
              </w:rPr>
              <w:t>独立董事）、高级管理人员履行公司上市时董事</w:t>
            </w:r>
          </w:p>
          <w:p>
            <w:pPr>
              <w:pStyle w:val="TableParagraph"/>
              <w:spacing w:line="316" w:lineRule="auto" w:before="22"/>
              <w:ind w:left="23" w:right="99"/>
              <w:jc w:val="left"/>
              <w:rPr>
                <w:rFonts w:ascii="宋体" w:hAnsi="宋体" w:cs="宋体" w:eastAsia="宋体" w:hint="default"/>
                <w:sz w:val="18"/>
                <w:szCs w:val="18"/>
              </w:rPr>
            </w:pPr>
            <w:r>
              <w:rPr>
                <w:rFonts w:ascii="宋体" w:hAnsi="宋体" w:cs="宋体" w:eastAsia="宋体" w:hint="default"/>
                <w:spacing w:val="-5"/>
                <w:sz w:val="18"/>
                <w:szCs w:val="18"/>
              </w:rPr>
              <w:t>（不包括独立董事）、高级管理人员已作出的相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应承诺。在启动股价稳定措施的前提条件满足 </w:t>
            </w:r>
            <w:r>
              <w:rPr>
                <w:rFonts w:ascii="宋体" w:hAnsi="宋体" w:cs="宋体" w:eastAsia="宋体" w:hint="default"/>
                <w:spacing w:val="-5"/>
                <w:sz w:val="18"/>
                <w:szCs w:val="18"/>
              </w:rPr>
              <w:t>时，如公司董事（不包括独立董事）、高级管理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人员未采取上述稳定股价的具体措施，其将在 公司股东大会及中国证监会指定报刊上公开说 明未采取上述稳定股价措施的具体原因并向公 司股东和社会公众投资者道歉；如果其未采取 上述稳定股价的具体措施的，则其将在前述事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中</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3.4pt;height:769.45pt;mso-position-horizontal-relative:page;mso-position-vertical-relative:page;z-index:-1276144" coordorigin="1171,1450" coordsize="1268,15389">
            <v:group style="position:absolute;left:1171;top:1450;width:1268;height:2226" coordorigin="1171,1450" coordsize="1268,2226">
              <v:shape style="position:absolute;left:1171;top:1450;width:1268;height:2226" coordorigin="1171,1450" coordsize="1268,2226" path="m1171,3675l2439,3675,2439,1450,1171,1450,1171,3675xe" filled="true" fillcolor="#d2d2d2" stroked="false">
                <v:path arrowok="t"/>
                <v:fill type="solid"/>
              </v:shape>
            </v:group>
            <v:group style="position:absolute;left:1171;top:3675;width:1268;height:1962" coordorigin="1171,3675" coordsize="1268,1962">
              <v:shape style="position:absolute;left:1171;top:3675;width:1268;height:1962" coordorigin="1171,3675" coordsize="1268,1962" path="m1171,5636l2439,5636,2439,3675,1171,3675,1171,5636xe" filled="true" fillcolor="#d2d2d2" stroked="false">
                <v:path arrowok="t"/>
                <v:fill type="solid"/>
              </v:shape>
            </v:group>
            <v:group style="position:absolute;left:1171;top:5636;width:1268;height:1652" coordorigin="1171,5636" coordsize="1268,1652">
              <v:shape style="position:absolute;left:1171;top:5636;width:1268;height:1652" coordorigin="1171,5636" coordsize="1268,1652" path="m1171,7287l2439,7287,2439,5636,1171,5636,1171,7287xe" filled="true" fillcolor="#d2d2d2" stroked="false">
                <v:path arrowok="t"/>
                <v:fill type="solid"/>
              </v:shape>
            </v:group>
            <v:group style="position:absolute;left:1171;top:7287;width:1268;height:5706" coordorigin="1171,7287" coordsize="1268,5706">
              <v:shape style="position:absolute;left:1171;top:7287;width:1268;height:5706" coordorigin="1171,7287" coordsize="1268,5706" path="m1171,12993l2439,12993,2439,7287,1171,7287,1171,12993xe" filled="true" fillcolor="#d2d2d2" stroked="false">
                <v:path arrowok="t"/>
                <v:fill type="solid"/>
              </v:shape>
            </v:group>
            <v:group style="position:absolute;left:1171;top:12993;width:1268;height:3846" coordorigin="1171,12993" coordsize="1268,3846">
              <v:shape style="position:absolute;left:1171;top:12993;width:1268;height:3846" coordorigin="1171,12993" coordsize="1268,3846" path="m2439,16838l2439,12993,1171,12993,1171,16838,2439,16838xe" filled="true" fillcolor="#d2d2d2" stroked="false">
                <v:path arrowok="t"/>
                <v:fill type="solid"/>
              </v:shape>
            </v:group>
            <w10:wrap type="none"/>
          </v:group>
        </w:pict>
      </w: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80"/>
      </w:tblGrid>
      <w:tr>
        <w:trPr>
          <w:trHeight w:val="2235"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190"/>
              <w:jc w:val="left"/>
              <w:rPr>
                <w:rFonts w:ascii="宋体" w:hAnsi="宋体" w:cs="宋体" w:eastAsia="宋体" w:hint="default"/>
                <w:sz w:val="18"/>
                <w:szCs w:val="18"/>
              </w:rPr>
            </w:pPr>
            <w:r>
              <w:rPr>
                <w:rFonts w:ascii="宋体" w:hAnsi="宋体" w:cs="宋体" w:eastAsia="宋体" w:hint="default"/>
                <w:sz w:val="18"/>
                <w:szCs w:val="18"/>
              </w:rPr>
              <w:t>项发生之日起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个工作日内停止在公司领取股 </w:t>
            </w:r>
            <w:r>
              <w:rPr>
                <w:rFonts w:ascii="宋体" w:hAnsi="宋体" w:cs="宋体" w:eastAsia="宋体" w:hint="default"/>
                <w:spacing w:val="-6"/>
                <w:sz w:val="18"/>
                <w:szCs w:val="18"/>
              </w:rPr>
              <w:t>东分红（如有），以及当年薪酬的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予以扣 留，同时其持有的公司股份（如有）不得转让</w:t>
            </w:r>
          </w:p>
          <w:p>
            <w:pPr>
              <w:pStyle w:val="TableParagraph"/>
              <w:spacing w:line="316" w:lineRule="auto" w:before="31"/>
              <w:ind w:left="23" w:right="99"/>
              <w:jc w:val="left"/>
              <w:rPr>
                <w:rFonts w:ascii="宋体" w:hAnsi="宋体" w:cs="宋体" w:eastAsia="宋体" w:hint="default"/>
                <w:sz w:val="18"/>
                <w:szCs w:val="18"/>
              </w:rPr>
            </w:pPr>
            <w:r>
              <w:rPr>
                <w:rFonts w:ascii="宋体" w:hAnsi="宋体" w:cs="宋体" w:eastAsia="宋体" w:hint="default"/>
                <w:sz w:val="18"/>
                <w:szCs w:val="18"/>
              </w:rPr>
              <w:t>（因继承、被强制执行、上市公司重组、为履 行对公司或投资者承诺等必须转股的情形除 </w:t>
            </w:r>
            <w:r>
              <w:rPr>
                <w:rFonts w:ascii="宋体" w:hAnsi="宋体" w:cs="宋体" w:eastAsia="宋体" w:hint="default"/>
                <w:spacing w:val="-5"/>
                <w:sz w:val="18"/>
                <w:szCs w:val="18"/>
              </w:rPr>
              <w:t>外），直至其按上述预案的规定采取相应的稳定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股价措施并实施完毕时为止。</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275"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6" w:right="197"/>
              <w:jc w:val="both"/>
              <w:rPr>
                <w:rFonts w:ascii="宋体" w:hAnsi="宋体" w:cs="宋体" w:eastAsia="宋体" w:hint="default"/>
                <w:sz w:val="18"/>
                <w:szCs w:val="18"/>
              </w:rPr>
            </w:pPr>
            <w:r>
              <w:rPr>
                <w:rFonts w:ascii="宋体" w:hAnsi="宋体" w:cs="宋体" w:eastAsia="宋体" w:hint="default"/>
                <w:sz w:val="18"/>
                <w:szCs w:val="18"/>
              </w:rPr>
              <w:t>深圳华大基 因股份有限 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98"/>
              <w:jc w:val="both"/>
              <w:rPr>
                <w:rFonts w:ascii="宋体" w:hAnsi="宋体" w:cs="宋体" w:eastAsia="宋体" w:hint="default"/>
                <w:sz w:val="18"/>
                <w:szCs w:val="18"/>
              </w:rPr>
            </w:pPr>
            <w:r>
              <w:rPr>
                <w:rFonts w:ascii="宋体" w:hAnsi="宋体" w:cs="宋体" w:eastAsia="宋体" w:hint="default"/>
                <w:sz w:val="18"/>
                <w:szCs w:val="18"/>
              </w:rPr>
              <w:t>填补被摊 薄即期回 报的承诺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0"/>
              <w:jc w:val="both"/>
              <w:rPr>
                <w:rFonts w:ascii="宋体" w:hAnsi="宋体" w:cs="宋体" w:eastAsia="宋体" w:hint="default"/>
                <w:sz w:val="18"/>
                <w:szCs w:val="18"/>
              </w:rPr>
            </w:pPr>
            <w:r>
              <w:rPr>
                <w:rFonts w:ascii="宋体" w:hAnsi="宋体" w:cs="宋体" w:eastAsia="宋体" w:hint="default"/>
                <w:sz w:val="18"/>
                <w:szCs w:val="18"/>
              </w:rPr>
              <w:t>公司将履行填补被摊薄即期回报措施，若未履 行填补被摊薄即期回报措施，将在公司股东大 会上公开说明未履行填补被摊薄即期回报措施 的具体原因并向公司股东和社会公众投资者道 歉；如果未履行相关承诺事项，致使投资者在 证券交易中遭受损失的，公司将依法赔偿。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651" w:hRule="exact"/>
        </w:trPr>
        <w:tc>
          <w:tcPr>
            <w:tcW w:w="1275"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197"/>
              <w:jc w:val="both"/>
              <w:rPr>
                <w:rFonts w:ascii="宋体" w:hAnsi="宋体" w:cs="宋体" w:eastAsia="宋体" w:hint="default"/>
                <w:sz w:val="18"/>
                <w:szCs w:val="18"/>
              </w:rPr>
            </w:pPr>
            <w:r>
              <w:rPr>
                <w:rFonts w:ascii="宋体" w:hAnsi="宋体" w:cs="宋体" w:eastAsia="宋体" w:hint="default"/>
                <w:sz w:val="18"/>
                <w:szCs w:val="18"/>
              </w:rPr>
              <w:t>深圳华大基 因科技有限 公司、汪建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98"/>
              <w:jc w:val="both"/>
              <w:rPr>
                <w:rFonts w:ascii="宋体" w:hAnsi="宋体" w:cs="宋体" w:eastAsia="宋体" w:hint="default"/>
                <w:sz w:val="18"/>
                <w:szCs w:val="18"/>
              </w:rPr>
            </w:pPr>
            <w:r>
              <w:rPr>
                <w:rFonts w:ascii="宋体" w:hAnsi="宋体" w:cs="宋体" w:eastAsia="宋体" w:hint="default"/>
                <w:sz w:val="18"/>
                <w:szCs w:val="18"/>
              </w:rPr>
              <w:t>填补被摊 薄即期回 报的承诺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保证不越权干预公司经营管理活动，不侵占公 司利益，切实履行对公司填补回报的相关措 施。若违反上述承诺并给公司或者投资者造成 损失的，其愿意依法承担对公司或者投资者的 补偿责任及监管机构的相应处罚。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706" w:hRule="exact"/>
        </w:trPr>
        <w:tc>
          <w:tcPr>
            <w:tcW w:w="1275"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97"/>
              <w:jc w:val="left"/>
              <w:rPr>
                <w:rFonts w:ascii="宋体" w:hAnsi="宋体" w:cs="宋体" w:eastAsia="宋体" w:hint="default"/>
                <w:sz w:val="18"/>
                <w:szCs w:val="18"/>
              </w:rPr>
            </w:pPr>
            <w:r>
              <w:rPr>
                <w:rFonts w:ascii="宋体" w:hAnsi="宋体" w:cs="宋体" w:eastAsia="宋体" w:hint="default"/>
                <w:sz w:val="18"/>
                <w:szCs w:val="18"/>
              </w:rPr>
              <w:t>公司董事、 高级管理人 员：汪建、 尹烨、孙英 俊、王俊、 吴淳、李英 睿、赵谦、 王洪涛、金 春保、陈鹏 辉、王石、 徐爱民、蒋 昌建、谢 宏、吴育 辉、张凌、 刘娜、陈轶 青、李治 平、王威、 徐茜</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98"/>
              <w:jc w:val="both"/>
              <w:rPr>
                <w:rFonts w:ascii="宋体" w:hAnsi="宋体" w:cs="宋体" w:eastAsia="宋体" w:hint="default"/>
                <w:sz w:val="18"/>
                <w:szCs w:val="18"/>
              </w:rPr>
            </w:pPr>
            <w:r>
              <w:rPr>
                <w:rFonts w:ascii="宋体" w:hAnsi="宋体" w:cs="宋体" w:eastAsia="宋体" w:hint="default"/>
                <w:sz w:val="18"/>
                <w:szCs w:val="18"/>
              </w:rPr>
              <w:t>填补被摊 薄即期回 报的承诺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60"/>
              <w:ind w:left="23"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、承诺不无偿或以不公平条件向其他单位或者 个人输送利益，也不采用其他方式损害公司利 益；</w:t>
            </w:r>
            <w:r>
              <w:rPr>
                <w:rFonts w:ascii="Times New Roman" w:hAnsi="Times New Roman" w:cs="Times New Roman" w:eastAsia="Times New Roman" w:hint="default"/>
                <w:sz w:val="18"/>
                <w:szCs w:val="18"/>
              </w:rPr>
              <w:t>2</w:t>
            </w:r>
            <w:r>
              <w:rPr>
                <w:rFonts w:ascii="宋体" w:hAnsi="宋体" w:cs="宋体" w:eastAsia="宋体" w:hint="default"/>
                <w:sz w:val="18"/>
                <w:szCs w:val="18"/>
              </w:rPr>
              <w:t>、接受对自身的职务消费行为进行约束； </w:t>
            </w:r>
            <w:r>
              <w:rPr>
                <w:rFonts w:ascii="Times New Roman" w:hAnsi="Times New Roman" w:cs="Times New Roman" w:eastAsia="Times New Roman" w:hint="default"/>
                <w:sz w:val="18"/>
                <w:szCs w:val="18"/>
              </w:rPr>
              <w:t>3</w:t>
            </w:r>
            <w:r>
              <w:rPr>
                <w:rFonts w:ascii="宋体" w:hAnsi="宋体" w:cs="宋体" w:eastAsia="宋体" w:hint="default"/>
                <w:sz w:val="18"/>
                <w:szCs w:val="18"/>
              </w:rPr>
              <w:t>、承诺不动用公司资产从事与本人履行职责无 关的投资、消费活动；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、承诺由董事会或提名 与薪酬考核委员会制定的薪酬制度与公司填补 回报措施的执行情况相挂钩；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、承诺如公司未 来实施股权激励，则股权激励的行权条件与公 司填补回报措施的执行情况相挂钩。</w:t>
            </w:r>
            <w:r>
              <w:rPr>
                <w:rFonts w:ascii="Times New Roman" w:hAnsi="Times New Roman" w:cs="Times New Roman" w:eastAsia="Times New Roman" w:hint="default"/>
                <w:sz w:val="18"/>
                <w:szCs w:val="18"/>
              </w:rPr>
              <w:t>6</w:t>
            </w:r>
            <w:r>
              <w:rPr>
                <w:rFonts w:ascii="宋体" w:hAnsi="宋体" w:cs="宋体" w:eastAsia="宋体" w:hint="default"/>
                <w:sz w:val="18"/>
                <w:szCs w:val="18"/>
              </w:rPr>
              <w:t>、若违反 上述承诺并给公司或者投资者造成损失的，其 愿意依法承担对公司或者投资者的补偿责任及 监管机构的相应处罚。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235"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6" w:right="197"/>
              <w:jc w:val="both"/>
              <w:rPr>
                <w:rFonts w:ascii="宋体" w:hAnsi="宋体" w:cs="宋体" w:eastAsia="宋体" w:hint="default"/>
                <w:sz w:val="18"/>
                <w:szCs w:val="18"/>
              </w:rPr>
            </w:pPr>
            <w:r>
              <w:rPr>
                <w:rFonts w:ascii="宋体" w:hAnsi="宋体" w:cs="宋体" w:eastAsia="宋体" w:hint="default"/>
                <w:sz w:val="18"/>
                <w:szCs w:val="18"/>
              </w:rPr>
              <w:t>深圳华大基 因股份有限 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9"/>
              <w:jc w:val="left"/>
              <w:rPr>
                <w:rFonts w:ascii="宋体" w:hAnsi="宋体" w:cs="宋体" w:eastAsia="宋体" w:hint="default"/>
                <w:sz w:val="18"/>
                <w:szCs w:val="18"/>
              </w:rPr>
            </w:pPr>
            <w:r>
              <w:rPr>
                <w:rFonts w:ascii="宋体" w:hAnsi="宋体" w:cs="宋体" w:eastAsia="宋体" w:hint="default"/>
                <w:sz w:val="18"/>
                <w:szCs w:val="18"/>
              </w:rPr>
              <w:t>将严格遵守上市后适用的《公司章程》以及股 东大会审议通过的《深圳华大基因股份有限公 </w:t>
            </w:r>
            <w:r>
              <w:rPr>
                <w:rFonts w:ascii="宋体" w:hAnsi="宋体" w:cs="宋体" w:eastAsia="宋体" w:hint="default"/>
                <w:spacing w:val="-5"/>
                <w:sz w:val="18"/>
                <w:szCs w:val="18"/>
              </w:rPr>
              <w:t>司上市后前三年股东分红回报规划》，实行积极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的利润分配政策。根据《公司章程》，公司的利</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润分配政策如下：（一）利润分配原则：公司实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行连续、稳定的利润分配政策，具体利润分配 方式应结合公司利润实现状况、现金流量状况</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78"/>
      </w:tblGrid>
      <w:tr>
        <w:trPr>
          <w:trHeight w:val="317"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38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和股本规模进行决定。公司董事会和股东大会</w:t>
            </w: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在利润分配政策的决策和论证过程中应当充分</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考虑独立董事和公众投资者的意见</w:t>
            </w:r>
            <w:r>
              <w:rPr>
                <w:rFonts w:ascii="宋体" w:hAnsi="宋体" w:cs="宋体" w:eastAsia="宋体" w:hint="default"/>
                <w:spacing w:val="-92"/>
                <w:sz w:val="18"/>
                <w:szCs w:val="18"/>
              </w:rPr>
              <w:t>。</w:t>
            </w:r>
            <w:r>
              <w:rPr>
                <w:rFonts w:ascii="宋体" w:hAnsi="宋体" w:cs="宋体" w:eastAsia="宋体" w:hint="default"/>
                <w:sz w:val="18"/>
                <w:szCs w:val="18"/>
              </w:rPr>
              <w:t>（二）利润</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分配的形式：公司采取现金回报规划、股票或</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者现金与股票相结合的方式分配股利。凡具备</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现金分红条件的，公司优先采取现金分红的利</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润分配方式；在公司有重大投资计划或重大现</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金支出等事项发生或者出现其它需满足公司正</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常生产经营的资金需求情况时，公司可以采取</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股票方式分配股利</w:t>
            </w:r>
            <w:r>
              <w:rPr>
                <w:rFonts w:ascii="宋体" w:hAnsi="宋体" w:cs="宋体" w:eastAsia="宋体" w:hint="default"/>
                <w:spacing w:val="-92"/>
                <w:sz w:val="18"/>
                <w:szCs w:val="18"/>
              </w:rPr>
              <w:t>。</w:t>
            </w:r>
            <w:r>
              <w:rPr>
                <w:rFonts w:ascii="宋体" w:hAnsi="宋体" w:cs="宋体" w:eastAsia="宋体" w:hint="default"/>
                <w:sz w:val="18"/>
                <w:szCs w:val="18"/>
              </w:rPr>
              <w:t>（三）现</w:t>
            </w:r>
            <w:r>
              <w:rPr>
                <w:rFonts w:ascii="宋体" w:hAnsi="宋体" w:cs="宋体" w:eastAsia="宋体" w:hint="default"/>
                <w:spacing w:val="2"/>
                <w:sz w:val="18"/>
                <w:szCs w:val="18"/>
              </w:rPr>
              <w:t>金</w:t>
            </w:r>
            <w:r>
              <w:rPr>
                <w:rFonts w:ascii="宋体" w:hAnsi="宋体" w:cs="宋体" w:eastAsia="宋体" w:hint="default"/>
                <w:sz w:val="18"/>
                <w:szCs w:val="18"/>
              </w:rPr>
              <w:t>分配的条件：满</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足以下条件的，公司应该进行现金分配，在不</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满足以下条件的情况下，公司可根据实际情况</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确定是否进行现金分配：</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、公司该年度实现的</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可分配利润（即公司弥补亏损、提取公积金后</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所余的税后利润）为正值；</w:t>
            </w:r>
            <w:r>
              <w:rPr>
                <w:rFonts w:ascii="Times New Roman" w:hAnsi="Times New Roman" w:cs="Times New Roman" w:eastAsia="Times New Roman" w:hint="default"/>
                <w:sz w:val="18"/>
                <w:szCs w:val="18"/>
              </w:rPr>
              <w:t>2</w:t>
            </w:r>
            <w:r>
              <w:rPr>
                <w:rFonts w:ascii="宋体" w:hAnsi="宋体" w:cs="宋体" w:eastAsia="宋体" w:hint="default"/>
                <w:sz w:val="18"/>
                <w:szCs w:val="18"/>
              </w:rPr>
              <w:t>、审计机构对公司</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的该年度财务报告出具标准无保留意见的审计</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Times New Roman" w:hAnsi="Times New Roman" w:cs="Times New Roman" w:eastAsia="Times New Roman" w:hint="default"/>
                <w:sz w:val="18"/>
                <w:szCs w:val="18"/>
              </w:rPr>
              <w:t>3</w:t>
            </w:r>
            <w:r>
              <w:rPr>
                <w:rFonts w:ascii="宋体" w:hAnsi="宋体" w:cs="宋体" w:eastAsia="宋体" w:hint="default"/>
                <w:sz w:val="18"/>
                <w:szCs w:val="18"/>
              </w:rPr>
              <w:t>、公司无重大投资计划或重大现金支出</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等事项发生（募集资金项目除外</w:t>
            </w:r>
            <w:r>
              <w:rPr>
                <w:rFonts w:ascii="宋体" w:hAnsi="宋体" w:cs="宋体" w:eastAsia="宋体" w:hint="default"/>
                <w:spacing w:val="-92"/>
                <w:sz w:val="18"/>
                <w:szCs w:val="18"/>
              </w:rPr>
              <w:t>）</w:t>
            </w:r>
            <w:r>
              <w:rPr>
                <w:rFonts w:ascii="宋体" w:hAnsi="宋体" w:cs="宋体" w:eastAsia="宋体" w:hint="default"/>
                <w:sz w:val="18"/>
                <w:szCs w:val="18"/>
              </w:rPr>
              <w:t>。其中，重大</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投资计划或重大现金支出是指</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）公司未来</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十二个月内拟对外资本投资、实业投资、收购</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资产或者购买设备的累计支出达到或者超过公</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司最近一期末经审计净资产的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，且超过</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万元人民币</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）公司</w:t>
            </w:r>
            <w:r>
              <w:rPr>
                <w:rFonts w:ascii="宋体" w:hAnsi="宋体" w:cs="宋体" w:eastAsia="宋体" w:hint="default"/>
                <w:spacing w:val="-3"/>
                <w:sz w:val="18"/>
                <w:szCs w:val="18"/>
              </w:rPr>
              <w:t>未</w:t>
            </w:r>
            <w:r>
              <w:rPr>
                <w:rFonts w:ascii="宋体" w:hAnsi="宋体" w:cs="宋体" w:eastAsia="宋体" w:hint="default"/>
                <w:sz w:val="18"/>
                <w:szCs w:val="18"/>
              </w:rPr>
              <w:t>来十二个月内拟</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对外资本投资、实业投资、收购资产或者购买</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设备的累计支出达到或者超过公司最近一期末</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经审计总资产的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（四）利润分配的时间间</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隔：公司原则进行年度利润分配，在有条件的</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情况下，公司董事会可以根据公司经营状况提</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议公司进行中期利润分配</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五</w:t>
            </w:r>
            <w:r>
              <w:rPr>
                <w:rFonts w:ascii="宋体" w:hAnsi="宋体" w:cs="宋体" w:eastAsia="宋体" w:hint="default"/>
                <w:sz w:val="18"/>
                <w:szCs w:val="18"/>
              </w:rPr>
              <w:t>）利润分配的比</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pacing w:val="89"/>
                <w:sz w:val="18"/>
                <w:szCs w:val="18"/>
              </w:rPr>
              <w:t> </w:t>
            </w:r>
            <w:r>
              <w:rPr>
                <w:rFonts w:ascii="宋体" w:hAnsi="宋体" w:cs="宋体" w:eastAsia="宋体" w:hint="default"/>
                <w:sz w:val="18"/>
                <w:szCs w:val="18"/>
              </w:rPr>
              <w:t>公司董事会应当综合考虑所处行业特点、</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发展阶段、自身经营模式、盈利水平以及是否</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有重大资金支出安排等因素，区分下列情形，</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并按照《公司章程》规定的程序，提出差异化</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的现金分红政策：</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、公司发展阶段属成熟期且</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无重大资金支出安排的，进行利润分配时，现</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金分红在本次利润分配中所占比例最低应达到</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、公司发展阶段属成熟期且有重大资金</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支出安排的，进行利润分配时，现金分红在本</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次利润分配中所占比例最低应达到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司发展阶段属成长期且有重大资金支出安排</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的，进行利润分配时，现金分红在本次利润分</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配中所占比例最低应达到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。公司发展阶段</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不易区分但有重大资金支出安排的，可以按照</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8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前项规定处理</w:t>
            </w:r>
            <w:r>
              <w:rPr>
                <w:rFonts w:ascii="宋体" w:hAnsi="宋体" w:cs="宋体" w:eastAsia="宋体" w:hint="default"/>
                <w:spacing w:val="-92"/>
                <w:sz w:val="18"/>
                <w:szCs w:val="18"/>
              </w:rPr>
              <w:t>。</w:t>
            </w:r>
            <w:r>
              <w:rPr>
                <w:rFonts w:ascii="宋体" w:hAnsi="宋体" w:cs="宋体" w:eastAsia="宋体" w:hint="default"/>
                <w:sz w:val="18"/>
                <w:szCs w:val="18"/>
              </w:rPr>
              <w:t>（六）利润分</w:t>
            </w:r>
            <w:r>
              <w:rPr>
                <w:rFonts w:ascii="宋体" w:hAnsi="宋体" w:cs="宋体" w:eastAsia="宋体" w:hint="default"/>
                <w:spacing w:val="2"/>
                <w:sz w:val="18"/>
                <w:szCs w:val="18"/>
              </w:rPr>
              <w:t>配</w:t>
            </w:r>
            <w:r>
              <w:rPr>
                <w:rFonts w:ascii="宋体" w:hAnsi="宋体" w:cs="宋体" w:eastAsia="宋体" w:hint="default"/>
                <w:sz w:val="18"/>
                <w:szCs w:val="18"/>
              </w:rPr>
              <w:t>方案的决策程序</w:t>
            </w: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3.4pt;height:769.45pt;mso-position-horizontal-relative:page;mso-position-vertical-relative:page;z-index:-1276120" coordorigin="1171,1450" coordsize="1268,15389">
            <v:group style="position:absolute;left:1171;top:1450;width:1268;height:8467" coordorigin="1171,1450" coordsize="1268,8467">
              <v:shape style="position:absolute;left:1171;top:1450;width:1268;height:8467" coordorigin="1171,1450" coordsize="1268,8467" path="m1171,9916l2439,9916,2439,1450,1171,1450,1171,9916xe" filled="true" fillcolor="#d2d2d2" stroked="false">
                <v:path arrowok="t"/>
                <v:fill type="solid"/>
              </v:shape>
            </v:group>
            <v:group style="position:absolute;left:1171;top:9916;width:1268;height:6923" coordorigin="1171,9916" coordsize="1268,6923">
              <v:shape style="position:absolute;left:1171;top:9916;width:1268;height:6923" coordorigin="1171,9916" coordsize="1268,6923" path="m2439,16838l2439,9916,1171,9916,1171,16838,2439,16838xe" filled="true" fillcolor="#d2d2d2" stroked="false">
                <v:path arrowok="t"/>
                <v:fill type="solid"/>
              </v:shape>
            </v:group>
            <w10:wrap type="none"/>
          </v:group>
        </w:pict>
      </w: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78"/>
      </w:tblGrid>
      <w:tr>
        <w:trPr>
          <w:trHeight w:val="8476"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3" w:right="99"/>
              <w:jc w:val="left"/>
              <w:rPr>
                <w:rFonts w:ascii="宋体" w:hAnsi="宋体" w:cs="宋体" w:eastAsia="宋体" w:hint="default"/>
                <w:sz w:val="18"/>
                <w:szCs w:val="18"/>
              </w:rPr>
            </w:pPr>
            <w:r>
              <w:rPr>
                <w:rFonts w:ascii="宋体" w:hAnsi="宋体" w:cs="宋体" w:eastAsia="宋体" w:hint="default"/>
                <w:sz w:val="18"/>
                <w:szCs w:val="18"/>
              </w:rPr>
              <w:t>和机制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、公司董事会应根据所处行业特点、 发展阶段和自身经营模式、盈利水平、资金需 求等因素，研究和论证公司现金分红的时机、 条件和最低比例、调整的条件及其决策程序要 求等事宜，拟定利润分配预案，独立董事发表 明确意见后，提交股东大会审议。独立董事可 以征集中小股东的意见，提出分红提案，并直 接提交董事会审议。</w:t>
            </w:r>
            <w:r>
              <w:rPr>
                <w:rFonts w:ascii="Times New Roman" w:hAnsi="Times New Roman" w:cs="Times New Roman" w:eastAsia="Times New Roman" w:hint="default"/>
                <w:sz w:val="18"/>
                <w:szCs w:val="18"/>
              </w:rPr>
              <w:t>2</w:t>
            </w:r>
            <w:r>
              <w:rPr>
                <w:rFonts w:ascii="宋体" w:hAnsi="宋体" w:cs="宋体" w:eastAsia="宋体" w:hint="default"/>
                <w:sz w:val="18"/>
                <w:szCs w:val="18"/>
              </w:rPr>
              <w:t>、股东大会审议利润分配 方案前，应通过多种渠道主动与股东特别是中 小股东进行沟通和交流，充分听取中小股东的 意见和诉求，及时答复中小股东关心的问题。 </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、公司因特殊情况无法按照既定的现金分红政 策或最低现金分红比例确定当年利润分配方案 时，应当披露具体原因以及独立董事的明确意 见。</w:t>
            </w:r>
            <w:r>
              <w:rPr>
                <w:rFonts w:ascii="Times New Roman" w:hAnsi="Times New Roman" w:cs="Times New Roman" w:eastAsia="Times New Roman" w:hint="default"/>
                <w:sz w:val="18"/>
                <w:szCs w:val="18"/>
              </w:rPr>
              <w:t>4</w:t>
            </w:r>
            <w:r>
              <w:rPr>
                <w:rFonts w:ascii="宋体" w:hAnsi="宋体" w:cs="宋体" w:eastAsia="宋体" w:hint="default"/>
                <w:sz w:val="18"/>
                <w:szCs w:val="18"/>
              </w:rPr>
              <w:t>、如对《公司章程》确定的现金分红政策 进行调整或者变更的，应当经过详细论证后履 行相应的决策程序，并经出席股东大会的股东 所持表决权的</w:t>
            </w:r>
            <w:r>
              <w:rPr>
                <w:rFonts w:ascii="宋体" w:hAnsi="宋体" w:cs="宋体" w:eastAsia="宋体" w:hint="default"/>
                <w:spacing w:val="-41"/>
                <w:sz w:val="18"/>
                <w:szCs w:val="18"/>
              </w:rPr>
              <w:t> </w:t>
            </w:r>
            <w:r>
              <w:rPr>
                <w:rFonts w:ascii="Times New Roman" w:hAnsi="Times New Roman" w:cs="Times New Roman" w:eastAsia="Times New Roman" w:hint="default"/>
                <w:spacing w:val="-1"/>
                <w:w w:val="100"/>
                <w:sz w:val="18"/>
                <w:szCs w:val="18"/>
              </w:rPr>
              <w:t>2/3</w:t>
            </w:r>
            <w:r>
              <w:rPr>
                <w:rFonts w:ascii="Times New Roman" w:hAnsi="Times New Roman" w:cs="Times New Roman" w:eastAsia="Times New Roman" w:hint="default"/>
                <w:spacing w:val="5"/>
                <w:w w:val="100"/>
                <w:sz w:val="18"/>
                <w:szCs w:val="18"/>
              </w:rPr>
              <w:t> </w:t>
            </w:r>
            <w:r>
              <w:rPr>
                <w:rFonts w:ascii="宋体" w:hAnsi="宋体" w:cs="宋体" w:eastAsia="宋体" w:hint="default"/>
                <w:spacing w:val="-8"/>
                <w:sz w:val="18"/>
                <w:szCs w:val="18"/>
              </w:rPr>
              <w:t>以上通过。（七）公司利润分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配政策的变更机制</w:t>
            </w:r>
            <w:r>
              <w:rPr>
                <w:rFonts w:ascii="宋体" w:hAnsi="宋体" w:cs="宋体" w:eastAsia="宋体" w:hint="default"/>
                <w:spacing w:val="1"/>
                <w:sz w:val="18"/>
                <w:szCs w:val="18"/>
              </w:rPr>
              <w:t> </w:t>
            </w:r>
            <w:r>
              <w:rPr>
                <w:rFonts w:ascii="宋体" w:hAnsi="宋体" w:cs="宋体" w:eastAsia="宋体" w:hint="default"/>
                <w:sz w:val="18"/>
                <w:szCs w:val="18"/>
              </w:rPr>
              <w:t>公司如因外部环境变化或自</w:t>
            </w:r>
            <w:r>
              <w:rPr>
                <w:rFonts w:ascii="宋体" w:hAnsi="宋体" w:cs="宋体" w:eastAsia="宋体" w:hint="default"/>
                <w:sz w:val="18"/>
                <w:szCs w:val="18"/>
              </w:rPr>
              <w:t> 身经营情况、投资规划和长期发展而需要对利 润分配政策进行调整的，公司可对利润分配政 策进行调整。公司调整利润分配政策应当以保 护股东利益和公司整体利益为出发点，充分考 虑股东特别是中小股东、独立董事的意见，由 董事会在研究论证后拟定新的利润分配政策， 并经独立董事发表明确意见后，提交股东大会 审议通过。</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6" w:right="197"/>
              <w:jc w:val="both"/>
              <w:rPr>
                <w:rFonts w:ascii="宋体" w:hAnsi="宋体" w:cs="宋体" w:eastAsia="宋体" w:hint="default"/>
                <w:sz w:val="18"/>
                <w:szCs w:val="18"/>
              </w:rPr>
            </w:pPr>
            <w:r>
              <w:rPr>
                <w:rFonts w:ascii="宋体" w:hAnsi="宋体" w:cs="宋体" w:eastAsia="宋体" w:hint="default"/>
                <w:sz w:val="18"/>
                <w:szCs w:val="18"/>
              </w:rPr>
              <w:t>深圳华大基 因科技有限 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、若其所持华大基因股票在锁定期满后两年内 减持的，其每年减持股票数量不超过华大基因 首次公开发行股票前其持有华大基因股份的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、减持价格：该等股票的最低减持价格 为首次公开发行股票的发行价，期间公司如有 派发股利、送股、转增股本等除权除息事项， 上述价格相应调整。减持方式：包括证券交易 所集中竞价交易系统或大宗交易系统等方式。 信息披露：及时、充分履行股份减持的信息披 露义务，在持有股份超过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以上期间，减持前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个交易日将发布减持提示性公告。在减持股份 期间，其将严格遵守有关法律法规及华大基因 规章制度。</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、本公司将遵守中国证监会《上市 </w:t>
            </w:r>
            <w:r>
              <w:rPr>
                <w:rFonts w:ascii="宋体" w:hAnsi="宋体" w:cs="宋体" w:eastAsia="宋体" w:hint="default"/>
                <w:spacing w:val="-5"/>
                <w:sz w:val="18"/>
                <w:szCs w:val="18"/>
              </w:rPr>
              <w:t>公司股东、董监高减持股份的若干规定》，深圳</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证券交易所《股票上市规则》、《深圳证券交易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所上市公司股东及董事、监事、高级管理人员 减持股份实施细则》的相关规定。</w:t>
            </w:r>
            <w:r>
              <w:rPr>
                <w:rFonts w:ascii="Times New Roman" w:hAnsi="Times New Roman" w:cs="Times New Roman" w:eastAsia="Times New Roman" w:hint="default"/>
                <w:sz w:val="18"/>
                <w:szCs w:val="18"/>
              </w:rPr>
              <w:t>4</w:t>
            </w:r>
            <w:r>
              <w:rPr>
                <w:rFonts w:ascii="宋体" w:hAnsi="宋体" w:cs="宋体" w:eastAsia="宋体" w:hint="default"/>
                <w:sz w:val="18"/>
                <w:szCs w:val="18"/>
              </w:rPr>
              <w:t>、如果其未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2024</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3.4pt;height:769.45pt;mso-position-horizontal-relative:page;mso-position-vertical-relative:page;z-index:-1276096" coordorigin="1171,1450" coordsize="1268,15389">
            <v:group style="position:absolute;left:1171;top:1450;width:1268;height:1290" coordorigin="1171,1450" coordsize="1268,1290">
              <v:shape style="position:absolute;left:1171;top:1450;width:1268;height:1290" coordorigin="1171,1450" coordsize="1268,1290" path="m1171,2739l2439,2739,2439,1450,1171,1450,1171,2739xe" filled="true" fillcolor="#d2d2d2" stroked="false">
                <v:path arrowok="t"/>
                <v:fill type="solid"/>
              </v:shape>
            </v:group>
            <v:group style="position:absolute;left:1171;top:2739;width:1268;height:6330" coordorigin="1171,2739" coordsize="1268,6330">
              <v:shape style="position:absolute;left:1171;top:2739;width:1268;height:6330" coordorigin="1171,2739" coordsize="1268,6330" path="m1171,9069l2439,9069,2439,2739,1171,2739,1171,9069xe" filled="true" fillcolor="#d2d2d2" stroked="false">
                <v:path arrowok="t"/>
                <v:fill type="solid"/>
              </v:shape>
            </v:group>
            <v:group style="position:absolute;left:1171;top:9069;width:1268;height:7770" coordorigin="1171,9069" coordsize="1268,7770">
              <v:shape style="position:absolute;left:1171;top:9069;width:1268;height:7770" coordorigin="1171,9069" coordsize="1268,7770" path="m2439,16838l2439,9069,1171,9069,1171,16838,2439,16838xe" filled="true" fillcolor="#d2d2d2" stroked="false">
                <v:path arrowok="t"/>
                <v:fill type="solid"/>
              </v:shape>
            </v:group>
            <w10:wrap type="none"/>
          </v:group>
        </w:pict>
      </w: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80"/>
      </w:tblGrid>
      <w:tr>
        <w:trPr>
          <w:trHeight w:val="1299"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90"/>
              <w:jc w:val="both"/>
              <w:rPr>
                <w:rFonts w:ascii="宋体" w:hAnsi="宋体" w:cs="宋体" w:eastAsia="宋体" w:hint="default"/>
                <w:sz w:val="18"/>
                <w:szCs w:val="18"/>
              </w:rPr>
            </w:pPr>
            <w:r>
              <w:rPr>
                <w:rFonts w:ascii="宋体" w:hAnsi="宋体" w:cs="宋体" w:eastAsia="宋体" w:hint="default"/>
                <w:sz w:val="18"/>
                <w:szCs w:val="18"/>
              </w:rPr>
              <w:t>履行上述承诺减持华大基因股票，将把该部分 出售股票所取得的收益（如有）上缴华大基因 所有，并承担相应法律后果，赔偿因未履行承 诺而给华大基因或投资者带来的损失。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1275"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6" w:right="197"/>
              <w:jc w:val="both"/>
              <w:rPr>
                <w:rFonts w:ascii="宋体" w:hAnsi="宋体" w:cs="宋体" w:eastAsia="宋体" w:hint="default"/>
                <w:sz w:val="18"/>
                <w:szCs w:val="18"/>
              </w:rPr>
            </w:pPr>
            <w:r>
              <w:rPr>
                <w:rFonts w:ascii="宋体" w:hAnsi="宋体" w:cs="宋体" w:eastAsia="宋体" w:hint="default"/>
                <w:sz w:val="18"/>
                <w:szCs w:val="18"/>
              </w:rPr>
              <w:t>深圳前海华 大基因投资 企业（有限 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、其可在所持华大基因股票的锁定期满后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内，减持所持华大基因的股票，最高可减持所 持的全部股份。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、减持价格：该等股票的减持 价格不低于发行价格，期间公司如有派发股 利、送股、转增股本等除权除息事项，上述价 格相应调整。减持方式：包括证券交易所集中 竞价交易系统或大宗交易系统等方式。信息披 露：及时、充分履行股份减持的信息披露义 务，在持有股份超过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以上期间，减持前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交易日将发布减持提示性公告。在减持股份期 间，其将严格遵守有关法律法规及公司规章制 度。</w:t>
            </w:r>
            <w:r>
              <w:rPr>
                <w:rFonts w:ascii="Times New Roman" w:hAnsi="Times New Roman" w:cs="Times New Roman" w:eastAsia="Times New Roman" w:hint="default"/>
                <w:sz w:val="18"/>
                <w:szCs w:val="18"/>
              </w:rPr>
              <w:t>3</w:t>
            </w:r>
            <w:r>
              <w:rPr>
                <w:rFonts w:ascii="宋体" w:hAnsi="宋体" w:cs="宋体" w:eastAsia="宋体" w:hint="default"/>
                <w:sz w:val="18"/>
                <w:szCs w:val="18"/>
              </w:rPr>
              <w:t>、本企业将遵守中国证监会《上市公司股 </w:t>
            </w:r>
            <w:r>
              <w:rPr>
                <w:rFonts w:ascii="宋体" w:hAnsi="宋体" w:cs="宋体" w:eastAsia="宋体" w:hint="default"/>
                <w:spacing w:val="-5"/>
                <w:sz w:val="18"/>
                <w:szCs w:val="18"/>
              </w:rPr>
              <w:t>东、董监高减持股份的若干规定》，深圳证券交</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易所《股票上市规则》、《深圳证券交易所上市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公司股东及董事、监事、高级管理人员减持股 份实施细则》的相关规定。</w:t>
            </w:r>
            <w:r>
              <w:rPr>
                <w:rFonts w:ascii="Times New Roman" w:hAnsi="Times New Roman" w:cs="Times New Roman" w:eastAsia="Times New Roman" w:hint="default"/>
                <w:sz w:val="18"/>
                <w:szCs w:val="18"/>
              </w:rPr>
              <w:t>4</w:t>
            </w:r>
            <w:r>
              <w:rPr>
                <w:rFonts w:ascii="宋体" w:hAnsi="宋体" w:cs="宋体" w:eastAsia="宋体" w:hint="default"/>
                <w:sz w:val="18"/>
                <w:szCs w:val="18"/>
              </w:rPr>
              <w:t>、如果其未履行上 述承诺减持公司股票，将把该部分出售股票所 取得的收益（如有）上缴公司所有，并承担相 应法律后果，赔偿因未履行承诺而给公司或投 资者带来的损失。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979"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6" w:right="197"/>
              <w:jc w:val="both"/>
              <w:rPr>
                <w:rFonts w:ascii="宋体" w:hAnsi="宋体" w:cs="宋体" w:eastAsia="宋体" w:hint="default"/>
                <w:sz w:val="18"/>
                <w:szCs w:val="18"/>
              </w:rPr>
            </w:pPr>
            <w:r>
              <w:rPr>
                <w:rFonts w:ascii="宋体" w:hAnsi="宋体" w:cs="宋体" w:eastAsia="宋体" w:hint="default"/>
                <w:sz w:val="18"/>
                <w:szCs w:val="18"/>
              </w:rPr>
              <w:t>深圳和玉高 林股权投资 合伙企业</w:t>
            </w:r>
          </w:p>
          <w:p>
            <w:pPr>
              <w:pStyle w:val="TableParagraph"/>
              <w:spacing w:line="316" w:lineRule="auto" w:before="19"/>
              <w:ind w:left="26" w:right="377"/>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、其将在所持华大基因股票的锁定期满后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内，最高减持完毕所持华大基因的全部股票。 </w:t>
            </w:r>
            <w:r>
              <w:rPr>
                <w:rFonts w:ascii="Times New Roman" w:hAnsi="Times New Roman" w:cs="Times New Roman" w:eastAsia="Times New Roman" w:hint="default"/>
                <w:sz w:val="18"/>
                <w:szCs w:val="18"/>
              </w:rPr>
              <w:t>2</w:t>
            </w:r>
            <w:r>
              <w:rPr>
                <w:rFonts w:ascii="宋体" w:hAnsi="宋体" w:cs="宋体" w:eastAsia="宋体" w:hint="default"/>
                <w:sz w:val="18"/>
                <w:szCs w:val="18"/>
              </w:rPr>
              <w:t>、减持价格：该等股票的减持价格不低于发行 价格的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，期间公司如有派发股利、送股、 转增股本等除权除息事项，上述价格相应调 整。减持方式：包括证券交易所集中竞价交易 系统或大宗交易系统等方式。信息披露：及 时、充分履行股份减持的信息披露义务，在持 有股份超过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以上期间，减持前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个交易日将 发布减持提示性公告。在减持股份期间，其将 严格遵守有关法律法规及公司规章制度。</w:t>
            </w:r>
            <w:r>
              <w:rPr>
                <w:rFonts w:ascii="Times New Roman" w:hAnsi="Times New Roman" w:cs="Times New Roman" w:eastAsia="Times New Roman" w:hint="default"/>
                <w:sz w:val="18"/>
                <w:szCs w:val="18"/>
              </w:rPr>
              <w:t>3</w:t>
            </w:r>
            <w:r>
              <w:rPr>
                <w:rFonts w:ascii="宋体" w:hAnsi="宋体" w:cs="宋体" w:eastAsia="宋体" w:hint="default"/>
                <w:sz w:val="18"/>
                <w:szCs w:val="18"/>
              </w:rPr>
              <w:t>、本 企业将遵守中国证监会《上市公司股东、董监 </w:t>
            </w:r>
            <w:r>
              <w:rPr>
                <w:rFonts w:ascii="宋体" w:hAnsi="宋体" w:cs="宋体" w:eastAsia="宋体" w:hint="default"/>
                <w:spacing w:val="-5"/>
                <w:sz w:val="18"/>
                <w:szCs w:val="18"/>
              </w:rPr>
              <w:t>高减持股份的若干规定》，深圳证券交易所《股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9"/>
                <w:sz w:val="18"/>
                <w:szCs w:val="18"/>
              </w:rPr>
              <w:t>票上市规则》、《深圳证券交易所上市公司股东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及董事、监事、高级管理人员减持股份实施细 则》的相关规定。</w:t>
            </w:r>
            <w:r>
              <w:rPr>
                <w:rFonts w:ascii="Times New Roman" w:hAnsi="Times New Roman" w:cs="Times New Roman" w:eastAsia="Times New Roman" w:hint="default"/>
                <w:sz w:val="18"/>
                <w:szCs w:val="18"/>
              </w:rPr>
              <w:t>4</w:t>
            </w:r>
            <w:r>
              <w:rPr>
                <w:rFonts w:ascii="宋体" w:hAnsi="宋体" w:cs="宋体" w:eastAsia="宋体" w:hint="default"/>
                <w:sz w:val="18"/>
                <w:szCs w:val="18"/>
              </w:rPr>
              <w:t>、如果其未履行上述承诺减 持公司股票，将把该部分出售股票所取得的收 益（如有）上缴公司所有，并承担相应法律后 果，赔偿因未履行承诺而给公司或投资者带来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3.4pt;height:769.45pt;mso-position-horizontal-relative:page;mso-position-vertical-relative:page;z-index:-1276072" coordorigin="1171,1450" coordsize="1268,15389">
            <v:group style="position:absolute;left:1171;top:1450;width:1268;height:354" coordorigin="1171,1450" coordsize="1268,354">
              <v:shape style="position:absolute;left:1171;top:1450;width:1268;height:354" coordorigin="1171,1450" coordsize="1268,354" path="m1171,1803l2439,1803,2439,1450,1171,1450,1171,1803xe" filled="true" fillcolor="#d2d2d2" stroked="false">
                <v:path arrowok="t"/>
                <v:fill type="solid"/>
              </v:shape>
            </v:group>
            <v:group style="position:absolute;left:1171;top:1803;width:1268;height:6954" coordorigin="1171,1803" coordsize="1268,6954">
              <v:shape style="position:absolute;left:1171;top:1803;width:1268;height:6954" coordorigin="1171,1803" coordsize="1268,6954" path="m1171,8757l2439,8757,2439,1803,1171,1803,1171,8757xe" filled="true" fillcolor="#d2d2d2" stroked="false">
                <v:path arrowok="t"/>
                <v:fill type="solid"/>
              </v:shape>
            </v:group>
            <v:group style="position:absolute;left:1171;top:8757;width:1268;height:8082" coordorigin="1171,8757" coordsize="1268,8082">
              <v:shape style="position:absolute;left:1171;top:8757;width:1268;height:8082" coordorigin="1171,8757" coordsize="1268,8082" path="m2439,16838l2439,8757,1171,8757,1171,16838,2439,16838xe" filled="true" fillcolor="#d2d2d2" stroked="false">
                <v:path arrowok="t"/>
                <v:fill type="solid"/>
              </v:shape>
            </v:group>
            <w10:wrap type="none"/>
          </v:group>
        </w:pict>
      </w: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80"/>
      </w:tblGrid>
      <w:tr>
        <w:trPr>
          <w:trHeight w:val="363"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的损失。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954" w:hRule="exact"/>
        </w:trPr>
        <w:tc>
          <w:tcPr>
            <w:tcW w:w="1275"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6" w:right="197"/>
              <w:jc w:val="both"/>
              <w:rPr>
                <w:rFonts w:ascii="宋体" w:hAnsi="宋体" w:cs="宋体" w:eastAsia="宋体" w:hint="default"/>
                <w:sz w:val="18"/>
                <w:szCs w:val="18"/>
              </w:rPr>
            </w:pPr>
            <w:r>
              <w:rPr>
                <w:rFonts w:ascii="宋体" w:hAnsi="宋体" w:cs="宋体" w:eastAsia="宋体" w:hint="default"/>
                <w:sz w:val="18"/>
                <w:szCs w:val="18"/>
              </w:rPr>
              <w:t>深圳华大基 因股份有限 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、如果本次发行的招股意向书有虚假记载、误 导性陈述或者重大遗漏，对判断本公司是否符 合法律规定的发行条件构成重大、实质影响 的，在中国证监会对本公司作出行政处罚决定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日内，本公司将依法启动回购首次公 开发行的全部新股的程序，本公司将通过深圳 证券交易所以发行价并加算银行同期存款利息 回购首次公开发行的全部新股。在此期间，本 公司如发生除权除息事项的，上述回购价格及 回购股份数量相应进行调整。</w:t>
            </w:r>
            <w:r>
              <w:rPr>
                <w:rFonts w:ascii="Times New Roman" w:hAnsi="Times New Roman" w:cs="Times New Roman" w:eastAsia="Times New Roman" w:hint="default"/>
                <w:sz w:val="18"/>
                <w:szCs w:val="18"/>
              </w:rPr>
              <w:t>2</w:t>
            </w:r>
            <w:r>
              <w:rPr>
                <w:rFonts w:ascii="宋体" w:hAnsi="宋体" w:cs="宋体" w:eastAsia="宋体" w:hint="default"/>
                <w:sz w:val="18"/>
                <w:szCs w:val="18"/>
              </w:rPr>
              <w:t>、如果本次发行 的招股意向书有虚假记载、误导性陈述或者重 大遗漏，致使投资者在证券交易中遭受损失 的，本公司将依法赔偿投资者损失。</w:t>
            </w:r>
            <w:r>
              <w:rPr>
                <w:rFonts w:ascii="Times New Roman" w:hAnsi="Times New Roman" w:cs="Times New Roman" w:eastAsia="Times New Roman" w:hint="default"/>
                <w:sz w:val="18"/>
                <w:szCs w:val="18"/>
              </w:rPr>
              <w:t>3</w:t>
            </w:r>
            <w:r>
              <w:rPr>
                <w:rFonts w:ascii="宋体" w:hAnsi="宋体" w:cs="宋体" w:eastAsia="宋体" w:hint="default"/>
                <w:sz w:val="18"/>
                <w:szCs w:val="18"/>
              </w:rPr>
              <w:t>、如果本 公司未能履行上述承诺，将在公司股东大会及 中国证监会指定报刊上公开说明未履行的具体 原因并向股东和社会公众投资者道歉，并按证 券监督管理部门及司法机关认定的实际损失向 投资者依法进行赔偿。若法律、法规、规范性 文件及中国证监会或深圳证券交易所对本公司 因违反上述承诺而应承担的相关责任及后果有 不同规定，本公司自愿无条件地遵从该等规 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6603"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6" w:right="197"/>
              <w:jc w:val="both"/>
              <w:rPr>
                <w:rFonts w:ascii="宋体" w:hAnsi="宋体" w:cs="宋体" w:eastAsia="宋体" w:hint="default"/>
                <w:sz w:val="18"/>
                <w:szCs w:val="18"/>
              </w:rPr>
            </w:pPr>
            <w:r>
              <w:rPr>
                <w:rFonts w:ascii="宋体" w:hAnsi="宋体" w:cs="宋体" w:eastAsia="宋体" w:hint="default"/>
                <w:sz w:val="18"/>
                <w:szCs w:val="18"/>
              </w:rPr>
              <w:t>深圳华大基 因科技有限 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、如果本次发行招股意向书有虚假记载、误导 性陈述或者重大遗漏，对判断发行人是否符合 法律规定的发行条件构成重大、实质影响的， 在中国证监会对发行人作出行政处罚决定之日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日内，其将以发行价并加算银行同期存款 利息依法购回锁定期结束后其在二级市场减持 的股份（不包括本次公开发行时其他股东公开 </w:t>
            </w:r>
            <w:r>
              <w:rPr>
                <w:rFonts w:ascii="宋体" w:hAnsi="宋体" w:cs="宋体" w:eastAsia="宋体" w:hint="default"/>
                <w:spacing w:val="-5"/>
                <w:sz w:val="18"/>
                <w:szCs w:val="18"/>
              </w:rPr>
              <w:t>发售部分）。在此期间，发行人如发生除权除息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事项的，上述回购价格及回购股份数量相应进 行调整。</w:t>
            </w:r>
            <w:r>
              <w:rPr>
                <w:rFonts w:ascii="Times New Roman" w:hAnsi="Times New Roman" w:cs="Times New Roman" w:eastAsia="Times New Roman" w:hint="default"/>
                <w:sz w:val="18"/>
                <w:szCs w:val="18"/>
              </w:rPr>
              <w:t>2</w:t>
            </w:r>
            <w:r>
              <w:rPr>
                <w:rFonts w:ascii="宋体" w:hAnsi="宋体" w:cs="宋体" w:eastAsia="宋体" w:hint="default"/>
                <w:sz w:val="18"/>
                <w:szCs w:val="18"/>
              </w:rPr>
              <w:t>、如果本次发行的招股意向书有虚假 记载、误导性陈述或者重大遗漏，致使投资者 在证券交易中遭受损失的，其将依法赔偿投资 者损失。</w:t>
            </w:r>
            <w:r>
              <w:rPr>
                <w:rFonts w:ascii="Times New Roman" w:hAnsi="Times New Roman" w:cs="Times New Roman" w:eastAsia="Times New Roman" w:hint="default"/>
                <w:sz w:val="18"/>
                <w:szCs w:val="18"/>
              </w:rPr>
              <w:t>3</w:t>
            </w:r>
            <w:r>
              <w:rPr>
                <w:rFonts w:ascii="宋体" w:hAnsi="宋体" w:cs="宋体" w:eastAsia="宋体" w:hint="default"/>
                <w:sz w:val="18"/>
                <w:szCs w:val="18"/>
              </w:rPr>
              <w:t>、如果其未能履行上述承诺，将在发 行人股东大会及中国证监会指定报刊上公开说 明未履行的具体原因并向股东和社会公众投资 者道歉，并在违反上述承诺发生之日起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 作日内，停止在发行人处领取股东分红，同时 其直接或间接所持有的发行人股份将不得转 让，直至其按上述承诺采取相应的赔偿措施并 实施完毕时为止。若法律、法规、规范性文件 及中国证监会或深圳证券交易所对其因违反上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3.4pt;height:769.45pt;mso-position-horizontal-relative:page;mso-position-vertical-relative:page;z-index:-1276048" coordorigin="1171,1450" coordsize="1268,15389">
            <v:group style="position:absolute;left:1171;top:1450;width:1268;height:666" coordorigin="1171,1450" coordsize="1268,666">
              <v:shape style="position:absolute;left:1171;top:1450;width:1268;height:666" coordorigin="1171,1450" coordsize="1268,666" path="m1171,2115l2439,2115,2439,1450,1171,1450,1171,2115xe" filled="true" fillcolor="#d2d2d2" stroked="false">
                <v:path arrowok="t"/>
                <v:fill type="solid"/>
              </v:shape>
            </v:group>
            <v:group style="position:absolute;left:1171;top:2115;width:1268;height:7578" coordorigin="1171,2115" coordsize="1268,7578">
              <v:shape style="position:absolute;left:1171;top:2115;width:1268;height:7578" coordorigin="1171,2115" coordsize="1268,7578" path="m1171,9693l2439,9693,2439,2115,1171,2115,1171,9693xe" filled="true" fillcolor="#d2d2d2" stroked="false">
                <v:path arrowok="t"/>
                <v:fill type="solid"/>
              </v:shape>
            </v:group>
            <v:group style="position:absolute;left:1171;top:9693;width:1268;height:7146" coordorigin="1171,9693" coordsize="1268,7146">
              <v:shape style="position:absolute;left:1171;top:9693;width:1268;height:7146" coordorigin="1171,9693" coordsize="1268,7146" path="m2439,16838l2439,9693,1171,9693,1171,16838,2439,16838xe" filled="true" fillcolor="#d2d2d2" stroked="false">
                <v:path arrowok="t"/>
                <v:fill type="solid"/>
              </v:shape>
            </v:group>
            <w10:wrap type="none"/>
          </v:group>
        </w:pict>
      </w: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80"/>
      </w:tblGrid>
      <w:tr>
        <w:trPr>
          <w:trHeight w:val="675"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370"/>
              <w:jc w:val="left"/>
              <w:rPr>
                <w:rFonts w:ascii="宋体" w:hAnsi="宋体" w:cs="宋体" w:eastAsia="宋体" w:hint="default"/>
                <w:sz w:val="18"/>
                <w:szCs w:val="18"/>
              </w:rPr>
            </w:pPr>
            <w:r>
              <w:rPr>
                <w:rFonts w:ascii="宋体" w:hAnsi="宋体" w:cs="宋体" w:eastAsia="宋体" w:hint="default"/>
                <w:sz w:val="18"/>
                <w:szCs w:val="18"/>
              </w:rPr>
              <w:t>述承诺而应承担的相关责任及后果有不同规 定，其自愿无条件地遵从该等规定。</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578" w:hRule="exact"/>
        </w:trPr>
        <w:tc>
          <w:tcPr>
            <w:tcW w:w="1275"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6"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、如果本次发行招股意向书有虚假记载、误导 性陈述或者重大遗漏，对判断发行人是否符合 法律规定的发行条件构成重大、实质影响的， 在中国证监会对发行人作出行政处罚决定之日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日内，本人将以发行价并加算银行同期存 款利息依法购回锁定期结束后本人在二级市场 减持的股份（不包括本次公开发行时其他股东 </w:t>
            </w:r>
            <w:r>
              <w:rPr>
                <w:rFonts w:ascii="宋体" w:hAnsi="宋体" w:cs="宋体" w:eastAsia="宋体" w:hint="default"/>
                <w:spacing w:val="-5"/>
                <w:sz w:val="18"/>
                <w:szCs w:val="18"/>
              </w:rPr>
              <w:t>公开发售部分）。在此期间，发行人如发生除权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除息事项的，上述回购价格及回购股份数量相 应进行调整。</w:t>
            </w:r>
            <w:r>
              <w:rPr>
                <w:rFonts w:ascii="Times New Roman" w:hAnsi="Times New Roman" w:cs="Times New Roman" w:eastAsia="Times New Roman" w:hint="default"/>
                <w:sz w:val="18"/>
                <w:szCs w:val="18"/>
              </w:rPr>
              <w:t>2</w:t>
            </w:r>
            <w:r>
              <w:rPr>
                <w:rFonts w:ascii="宋体" w:hAnsi="宋体" w:cs="宋体" w:eastAsia="宋体" w:hint="default"/>
                <w:sz w:val="18"/>
                <w:szCs w:val="18"/>
              </w:rPr>
              <w:t>、如果本次发行的招股意向书有 虚假记载、误导性陈述或者重大遗漏，致使投 资者在证券交易中遭受损失的，本人将依法赔 偿投资者损失。</w:t>
            </w:r>
            <w:r>
              <w:rPr>
                <w:rFonts w:ascii="Times New Roman" w:hAnsi="Times New Roman" w:cs="Times New Roman" w:eastAsia="Times New Roman" w:hint="default"/>
                <w:sz w:val="18"/>
                <w:szCs w:val="18"/>
              </w:rPr>
              <w:t>3</w:t>
            </w:r>
            <w:r>
              <w:rPr>
                <w:rFonts w:ascii="宋体" w:hAnsi="宋体" w:cs="宋体" w:eastAsia="宋体" w:hint="default"/>
                <w:sz w:val="18"/>
                <w:szCs w:val="18"/>
              </w:rPr>
              <w:t>、如果本人未能履行上述承 诺，将在发行人股东大会及中国证监会指定报 刊上公开说明未履行的具体原因并向股东和社 会公众投资者道歉，并在违反上述承诺发生之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个工作日内，停止在发行人处领取薪 酬、津贴及股东分红，同时本人直接或间接所 持有的发行人股份将不得转让，直至本人按上 述承诺采取相应的赔偿措施并实施完毕时为 止。若法律、法规、规范性文件及中国证监会 或深圳证券交易所对本人因违反上述承诺而应 承担的相关责任及后果有不同规定，本人自愿 无条件地遵从该等规定。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667"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97"/>
              <w:jc w:val="left"/>
              <w:rPr>
                <w:rFonts w:ascii="宋体" w:hAnsi="宋体" w:cs="宋体" w:eastAsia="宋体" w:hint="default"/>
                <w:sz w:val="18"/>
                <w:szCs w:val="18"/>
              </w:rPr>
            </w:pPr>
            <w:r>
              <w:rPr>
                <w:rFonts w:ascii="宋体" w:hAnsi="宋体" w:cs="宋体" w:eastAsia="宋体" w:hint="default"/>
                <w:sz w:val="18"/>
                <w:szCs w:val="18"/>
              </w:rPr>
              <w:t>公司董事、 监事、高级 管理人员： 公司董事、 高级管理人 员：汪建、 尹烨、孙英 俊、王俊、 吴淳、李英 睿、赵谦、 王洪涛、金 春保、陈鹏 辉、王石、 徐爱民、蒋 昌建、谢 宏、吴育 辉、李松 岗、李雯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、公司全体董事、监事、高级管理人员承诺招 股意向书不存在虚假记载、误导性陈述或重大 遗漏，并对其真实性、准确性、完整性、及时 性承担个别和连带的法律责任。如果招股意向 书有虚假记载、误导性陈述或者重大遗漏，致 使投资者遭受损失的，公司全体董事、监事、 高级管理人员将依法赔偿投资者损失，不因职 务变更、离职等原因而放弃履行已作出的承 诺。</w:t>
            </w:r>
            <w:r>
              <w:rPr>
                <w:rFonts w:ascii="Times New Roman" w:hAnsi="Times New Roman" w:cs="Times New Roman" w:eastAsia="Times New Roman" w:hint="default"/>
                <w:sz w:val="18"/>
                <w:szCs w:val="18"/>
              </w:rPr>
              <w:t>2</w:t>
            </w:r>
            <w:r>
              <w:rPr>
                <w:rFonts w:ascii="宋体" w:hAnsi="宋体" w:cs="宋体" w:eastAsia="宋体" w:hint="default"/>
                <w:sz w:val="18"/>
                <w:szCs w:val="18"/>
              </w:rPr>
              <w:t>、如果发行人全体董事、监事、高级管理 人员未能履行上述承诺，将在公司股东大会及 中国证监会指定报刊上公开说明未履行的具体 原因并向公司股东和社会公众投资者道歉，并 在违反上述承诺发生之日起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个工作日内，停 止在公司处领取薪酬、津贴及股东分红，同时 发行人全体董事、监事、高级管理人员直接或 间接所持有的公司股份将不得转让，直至按上 述承诺采取相应的赔偿措施并实施完毕时为 止。若法律、法规、规范性文件及中国证监会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3.4pt;height:769.45pt;mso-position-horizontal-relative:page;mso-position-vertical-relative:page;z-index:-1276024" coordorigin="1171,1450" coordsize="1268,15389">
            <v:group style="position:absolute;left:1171;top:1450;width:1268;height:1914" coordorigin="1171,1450" coordsize="1268,1914">
              <v:shape style="position:absolute;left:1171;top:1450;width:1268;height:1914" coordorigin="1171,1450" coordsize="1268,1914" path="m1171,3363l2439,3363,2439,1450,1171,1450,1171,3363xe" filled="true" fillcolor="#d2d2d2" stroked="false">
                <v:path arrowok="t"/>
                <v:fill type="solid"/>
              </v:shape>
            </v:group>
            <v:group style="position:absolute;left:1171;top:3363;width:1268;height:3834" coordorigin="1171,3363" coordsize="1268,3834">
              <v:shape style="position:absolute;left:1171;top:3363;width:1268;height:3834" coordorigin="1171,3363" coordsize="1268,3834" path="m1171,7196l2439,7196,2439,3363,1171,3363,1171,7196xe" filled="true" fillcolor="#d2d2d2" stroked="false">
                <v:path arrowok="t"/>
                <v:fill type="solid"/>
              </v:shape>
            </v:group>
            <v:group style="position:absolute;left:1171;top:7196;width:1268;height:9643" coordorigin="1171,7196" coordsize="1268,9643">
              <v:shape style="position:absolute;left:1171;top:7196;width:1268;height:9643" coordorigin="1171,7196" coordsize="1268,9643" path="m2439,16838l2439,7196,1171,7196,1171,16838,2439,16838xe" filled="true" fillcolor="#d2d2d2" stroked="false">
                <v:path arrowok="t"/>
                <v:fill type="solid"/>
              </v:shape>
            </v:group>
            <w10:wrap type="none"/>
          </v:group>
        </w:pict>
      </w: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80"/>
      </w:tblGrid>
      <w:tr>
        <w:trPr>
          <w:trHeight w:val="1923"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6" w:right="197"/>
              <w:jc w:val="left"/>
              <w:rPr>
                <w:rFonts w:ascii="宋体" w:hAnsi="宋体" w:cs="宋体" w:eastAsia="宋体" w:hint="default"/>
                <w:sz w:val="18"/>
                <w:szCs w:val="18"/>
              </w:rPr>
            </w:pPr>
            <w:r>
              <w:rPr>
                <w:rFonts w:ascii="宋体" w:hAnsi="宋体" w:cs="宋体" w:eastAsia="宋体" w:hint="default"/>
                <w:sz w:val="18"/>
                <w:szCs w:val="18"/>
              </w:rPr>
              <w:t>琪、胡宇 洁、张凌、 刘娜、陈轶 青、李治 平、王威、 徐茜</w:t>
            </w: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90"/>
              <w:jc w:val="left"/>
              <w:rPr>
                <w:rFonts w:ascii="宋体" w:hAnsi="宋体" w:cs="宋体" w:eastAsia="宋体" w:hint="default"/>
                <w:sz w:val="18"/>
                <w:szCs w:val="18"/>
              </w:rPr>
            </w:pPr>
            <w:r>
              <w:rPr>
                <w:rFonts w:ascii="宋体" w:hAnsi="宋体" w:cs="宋体" w:eastAsia="宋体" w:hint="default"/>
                <w:sz w:val="18"/>
                <w:szCs w:val="18"/>
              </w:rPr>
              <w:t>或深圳证券交易所对发行人全体董事、监事、 高级管理人员因违反上述承诺而应承担的相关 责任及后果有不同规定，发行人全体董事、监 事、高级管理人员自愿无条件地遵从该等规 定。</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1275"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97"/>
              <w:jc w:val="left"/>
              <w:rPr>
                <w:rFonts w:ascii="宋体" w:hAnsi="宋体" w:cs="宋体" w:eastAsia="宋体" w:hint="default"/>
                <w:sz w:val="18"/>
                <w:szCs w:val="18"/>
              </w:rPr>
            </w:pPr>
            <w:r>
              <w:rPr>
                <w:rFonts w:ascii="宋体" w:hAnsi="宋体" w:cs="宋体" w:eastAsia="宋体" w:hint="default"/>
                <w:sz w:val="18"/>
                <w:szCs w:val="18"/>
              </w:rPr>
              <w:t>中信证券股 份有限公</w:t>
            </w:r>
          </w:p>
          <w:p>
            <w:pPr>
              <w:pStyle w:val="TableParagraph"/>
              <w:spacing w:line="319" w:lineRule="auto" w:before="19"/>
              <w:ind w:left="26" w:right="107"/>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1"/>
                <w:sz w:val="18"/>
                <w:szCs w:val="18"/>
              </w:rPr>
              <w:t> </w:t>
            </w:r>
            <w:r>
              <w:rPr>
                <w:rFonts w:ascii="宋体" w:hAnsi="宋体" w:cs="宋体" w:eastAsia="宋体" w:hint="default"/>
                <w:sz w:val="18"/>
                <w:szCs w:val="18"/>
              </w:rPr>
              <w:t>、安永华</w:t>
            </w:r>
            <w:r>
              <w:rPr>
                <w:rFonts w:ascii="宋体" w:hAnsi="宋体" w:cs="宋体" w:eastAsia="宋体" w:hint="default"/>
                <w:sz w:val="18"/>
                <w:szCs w:val="18"/>
              </w:rPr>
              <w:t> 明会计师事 务所（特殊 </w:t>
            </w:r>
            <w:r>
              <w:rPr>
                <w:rFonts w:ascii="宋体" w:hAnsi="宋体" w:cs="宋体" w:eastAsia="宋体" w:hint="default"/>
                <w:spacing w:val="-16"/>
                <w:sz w:val="18"/>
                <w:szCs w:val="18"/>
              </w:rPr>
              <w:t>普通合伙）、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国浩律师</w:t>
            </w:r>
          </w:p>
          <w:p>
            <w:pPr>
              <w:pStyle w:val="TableParagraph"/>
              <w:spacing w:line="316" w:lineRule="auto" w:before="17"/>
              <w:ind w:left="26" w:right="197"/>
              <w:jc w:val="both"/>
              <w:rPr>
                <w:rFonts w:ascii="宋体" w:hAnsi="宋体" w:cs="宋体" w:eastAsia="宋体" w:hint="default"/>
                <w:sz w:val="18"/>
                <w:szCs w:val="18"/>
              </w:rPr>
            </w:pPr>
            <w:r>
              <w:rPr>
                <w:rFonts w:ascii="宋体" w:hAnsi="宋体" w:cs="宋体" w:eastAsia="宋体" w:hint="default"/>
                <w:sz w:val="18"/>
                <w:szCs w:val="18"/>
              </w:rPr>
              <w:t>（深圳）事 务所、深圳 德正信国际 资产评估有 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99"/>
              <w:jc w:val="left"/>
              <w:rPr>
                <w:rFonts w:ascii="宋体" w:hAnsi="宋体" w:cs="宋体" w:eastAsia="宋体" w:hint="default"/>
                <w:sz w:val="18"/>
                <w:szCs w:val="18"/>
              </w:rPr>
            </w:pPr>
            <w:r>
              <w:rPr>
                <w:rFonts w:ascii="宋体" w:hAnsi="宋体" w:cs="宋体" w:eastAsia="宋体" w:hint="default"/>
                <w:sz w:val="18"/>
                <w:szCs w:val="18"/>
              </w:rPr>
              <w:t>中信证券股份有限公司承诺，因其为发行人首 次公开发行制作、出具的文件有虚假陈述、误 导性陈述或者重大遗漏，给投资者造成损失 的，将先行赔偿投资者损失。中信证券股份有 限公司、国浩律师（深圳）事务所、安永华明 </w:t>
            </w:r>
            <w:r>
              <w:rPr>
                <w:rFonts w:ascii="宋体" w:hAnsi="宋体" w:cs="宋体" w:eastAsia="宋体" w:hint="default"/>
                <w:spacing w:val="-5"/>
                <w:sz w:val="18"/>
                <w:szCs w:val="18"/>
              </w:rPr>
              <w:t>会计师事务所（特殊普通合伙）、深圳德正信国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际资产评估有限公司承诺，因其为发行人首次 公开发行制作、出具的文件存在虚假记载、误 导性陈述或者重大遗漏，并因此给投资者造成 损失的，其将依法承担相应责任。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8164"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9" w:lineRule="auto"/>
              <w:ind w:left="26" w:right="197"/>
              <w:jc w:val="both"/>
              <w:rPr>
                <w:rFonts w:ascii="宋体" w:hAnsi="宋体" w:cs="宋体" w:eastAsia="宋体" w:hint="default"/>
                <w:sz w:val="18"/>
                <w:szCs w:val="18"/>
              </w:rPr>
            </w:pPr>
            <w:r>
              <w:rPr>
                <w:rFonts w:ascii="宋体" w:hAnsi="宋体" w:cs="宋体" w:eastAsia="宋体" w:hint="default"/>
                <w:sz w:val="18"/>
                <w:szCs w:val="18"/>
              </w:rPr>
              <w:t>深圳华大基 因科技有限 公司、汪建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关于避免 同业竞争 的承诺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为避免同业竞争，维护公司及其他股东的利 益，公司控股股东华大控股、实际控制人汪建 </w:t>
            </w:r>
            <w:r>
              <w:rPr>
                <w:rFonts w:ascii="宋体" w:hAnsi="宋体" w:cs="宋体" w:eastAsia="宋体" w:hint="default"/>
                <w:spacing w:val="-5"/>
                <w:sz w:val="18"/>
                <w:szCs w:val="18"/>
              </w:rPr>
              <w:t>先生出具了《关于避免同业竞争的承诺函》。其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中，公司的控股股东华大控股承诺如下：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、华 大控股及其控制的其他企业目前没有，将来也 不从事与华大基因及其控制的其他企业主营业 务相同或相似的生产经营活动，华大控股及其 控制的其他企业也不会通过投资于其它经济实 体、机构、经济组织从事或参与和华大基因及 其控制的其他企业主营业务相同的竞争性业 务。</w:t>
            </w:r>
            <w:r>
              <w:rPr>
                <w:rFonts w:ascii="Times New Roman" w:hAnsi="Times New Roman" w:cs="Times New Roman" w:eastAsia="Times New Roman" w:hint="default"/>
                <w:sz w:val="18"/>
                <w:szCs w:val="18"/>
              </w:rPr>
              <w:t>2</w:t>
            </w:r>
            <w:r>
              <w:rPr>
                <w:rFonts w:ascii="宋体" w:hAnsi="宋体" w:cs="宋体" w:eastAsia="宋体" w:hint="default"/>
                <w:sz w:val="18"/>
                <w:szCs w:val="18"/>
              </w:rPr>
              <w:t>、如果华大基因及其控制的其他企业在其 现有业务的基础上进一步拓展其经营业务范 围，而华大控股及其控制的其他企业对此已经 进行生产、经营的，只要其仍然是华大基因的 控股股东，华大控股及其控制的其他企业同意 在合理期限内对该相关业务进行转让且华大基 因在同等商业条件下有优先收购权。</w:t>
            </w:r>
            <w:r>
              <w:rPr>
                <w:rFonts w:ascii="Times New Roman" w:hAnsi="Times New Roman" w:cs="Times New Roman" w:eastAsia="Times New Roman" w:hint="default"/>
                <w:sz w:val="18"/>
                <w:szCs w:val="18"/>
              </w:rPr>
              <w:t>3</w:t>
            </w:r>
            <w:r>
              <w:rPr>
                <w:rFonts w:ascii="宋体" w:hAnsi="宋体" w:cs="宋体" w:eastAsia="宋体" w:hint="default"/>
                <w:sz w:val="18"/>
                <w:szCs w:val="18"/>
              </w:rPr>
              <w:t>、对于华 大基因及其控制的其他企业在其现有业务范围 的基础上进一步拓展其经营业务范围，而华大 控股及其控制的其他企业目前尚未对此进行生 产、经营的，只要其仍然是华大基因的控股股 东，华大控股及其控制的其他企业将不从事与 华大基因及其控制的其他企业相竞争的该等新 业务。</w:t>
            </w:r>
            <w:r>
              <w:rPr>
                <w:rFonts w:ascii="Times New Roman" w:hAnsi="Times New Roman" w:cs="Times New Roman" w:eastAsia="Times New Roman" w:hint="default"/>
                <w:sz w:val="18"/>
                <w:szCs w:val="18"/>
              </w:rPr>
              <w:t>4</w:t>
            </w:r>
            <w:r>
              <w:rPr>
                <w:rFonts w:ascii="宋体" w:hAnsi="宋体" w:cs="宋体" w:eastAsia="宋体" w:hint="default"/>
                <w:sz w:val="18"/>
                <w:szCs w:val="18"/>
              </w:rPr>
              <w:t>、华大控股及其控制的其他企业目前没 有，将来也不向其他业务与华大基因及其控制 的其他企业主营业务相同、类似的公司、企业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9"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78"/>
      </w:tblGrid>
      <w:tr>
        <w:trPr>
          <w:trHeight w:val="317"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38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或其他机构、组织或个人提供专有技术或提供</w:t>
            </w: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销售渠道、客户信息等商业机密。</w:t>
            </w:r>
            <w:r>
              <w:rPr>
                <w:rFonts w:ascii="Times New Roman" w:hAnsi="Times New Roman" w:cs="Times New Roman" w:eastAsia="Times New Roman" w:hint="default"/>
                <w:sz w:val="18"/>
                <w:szCs w:val="18"/>
              </w:rPr>
              <w:t>5</w:t>
            </w:r>
            <w:r>
              <w:rPr>
                <w:rFonts w:ascii="宋体" w:hAnsi="宋体" w:cs="宋体" w:eastAsia="宋体" w:hint="default"/>
                <w:sz w:val="18"/>
                <w:szCs w:val="18"/>
              </w:rPr>
              <w:t>、华大基因</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股票在深圳证券交易所上市交易后且其依照所</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适用的上市规则被认定为华大基因的控股股东</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期间，其将不会变更、解除本承诺。</w:t>
            </w:r>
            <w:r>
              <w:rPr>
                <w:rFonts w:ascii="Times New Roman" w:hAnsi="Times New Roman" w:cs="Times New Roman" w:eastAsia="Times New Roman" w:hint="default"/>
                <w:sz w:val="18"/>
                <w:szCs w:val="18"/>
              </w:rPr>
              <w:t>6</w:t>
            </w:r>
            <w:r>
              <w:rPr>
                <w:rFonts w:ascii="宋体" w:hAnsi="宋体" w:cs="宋体" w:eastAsia="宋体" w:hint="default"/>
                <w:sz w:val="18"/>
                <w:szCs w:val="18"/>
              </w:rPr>
              <w:t>、其将忠</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实履行上述承诺，并承担相应的法律责任，若</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不履行本承诺所赋予的义务和责任，其将承担</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华大基因、华大基因其他股东或利益相关方因</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此所受到的任何损失。公司的实际控制人汪建</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先生承诺如下：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、本人、本人控制的其他企业</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及与本人关系密切的近亲属（</w:t>
            </w:r>
            <w:r>
              <w:rPr>
                <w:rFonts w:ascii="Times New Roman" w:hAnsi="Times New Roman" w:cs="Times New Roman" w:eastAsia="Times New Roman" w:hint="default"/>
                <w:sz w:val="18"/>
                <w:szCs w:val="18"/>
              </w:rPr>
              <w:t>“</w:t>
            </w:r>
            <w:r>
              <w:rPr>
                <w:rFonts w:ascii="宋体" w:hAnsi="宋体" w:cs="宋体" w:eastAsia="宋体" w:hint="default"/>
                <w:sz w:val="18"/>
                <w:szCs w:val="18"/>
              </w:rPr>
              <w:t>关系密切的家庭</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成员</w:t>
            </w:r>
            <w:r>
              <w:rPr>
                <w:rFonts w:ascii="Times New Roman" w:hAnsi="Times New Roman" w:cs="Times New Roman" w:eastAsia="Times New Roman" w:hint="default"/>
                <w:sz w:val="18"/>
                <w:szCs w:val="18"/>
              </w:rPr>
              <w:t>”</w:t>
            </w:r>
            <w:r>
              <w:rPr>
                <w:rFonts w:ascii="宋体" w:hAnsi="宋体" w:cs="宋体" w:eastAsia="宋体" w:hint="default"/>
                <w:sz w:val="18"/>
                <w:szCs w:val="18"/>
              </w:rPr>
              <w:t>指配偶、父母及配偶的父母、兄弟姐妹及</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其配偶、年满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周岁的子女及其配偶、配偶的</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兄弟姐妹和子女配偶的父母）目前没有，将来</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也不从事与华大基因及其控制的其他企业主营</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业务相同或相似的生产经营活动，本人及本人</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控制的其他企业也不会通过投资于其它经济实</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体、机构、经济组织从事或参与和华大基因及</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其控制的其他企业主营业务相同的竞争性业</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务，本人也不会在该等与华大基因有竞争关系</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的经济实体、机构、经济组织担任董事、高级</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管理人员或核心技术人员。</w:t>
            </w:r>
            <w:r>
              <w:rPr>
                <w:rFonts w:ascii="Times New Roman" w:hAnsi="Times New Roman" w:cs="Times New Roman" w:eastAsia="Times New Roman" w:hint="default"/>
                <w:sz w:val="18"/>
                <w:szCs w:val="18"/>
              </w:rPr>
              <w:t>2</w:t>
            </w:r>
            <w:r>
              <w:rPr>
                <w:rFonts w:ascii="宋体" w:hAnsi="宋体" w:cs="宋体" w:eastAsia="宋体" w:hint="default"/>
                <w:sz w:val="18"/>
                <w:szCs w:val="18"/>
              </w:rPr>
              <w:t>、如果华大基因及</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其控制的其他企业在其现有业务的基础上进一</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步拓展其经营业务范围，而本人、本人控制的</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其他企业及与本人关系密切的近亲属对此已经</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进行生产、经营的，只要本人仍然是华大基因</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的实际控制人，本人、本人控制的其他企业及</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与本人关系密切的近亲属同意在合理期限内对</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该相关业务进行转让且华大基因在同等商业条</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件下有优先收购权。</w:t>
            </w:r>
            <w:r>
              <w:rPr>
                <w:rFonts w:ascii="Times New Roman" w:hAnsi="Times New Roman" w:cs="Times New Roman" w:eastAsia="Times New Roman" w:hint="default"/>
                <w:sz w:val="18"/>
                <w:szCs w:val="18"/>
              </w:rPr>
              <w:t>3</w:t>
            </w:r>
            <w:r>
              <w:rPr>
                <w:rFonts w:ascii="宋体" w:hAnsi="宋体" w:cs="宋体" w:eastAsia="宋体" w:hint="default"/>
                <w:sz w:val="18"/>
                <w:szCs w:val="18"/>
              </w:rPr>
              <w:t>、对于华大基因及其控制</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的其他企业在其现有业务范围的基础上进一步</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拓展其经营业务范围，而本人、本人控制的其</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他企业及与本人关系密切的近亲属目前尚未对</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此进行生产、经营的，只要本人仍然是华大基</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因的实际控制人，本人、本人控制的其他企业</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及与本人关系密切的近亲属将不从事与华大基</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因及其控制的其他企业相竞争的该等新业务。</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、本人、本人控制的其他企业及与本人关系密</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切的近亲属目前没有，将来也不向其他业务与</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华大基因及其控制的其他企业主营业务相同、</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类似的公司、企业或其他机构、组织或个人提</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供专有技术或提供销售渠道、客户信息等商业</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机密。</w:t>
            </w:r>
            <w:r>
              <w:rPr>
                <w:rFonts w:ascii="Times New Roman" w:hAnsi="Times New Roman" w:cs="Times New Roman" w:eastAsia="Times New Roman" w:hint="default"/>
                <w:sz w:val="18"/>
                <w:szCs w:val="18"/>
              </w:rPr>
              <w:t>5</w:t>
            </w:r>
            <w:r>
              <w:rPr>
                <w:rFonts w:ascii="宋体" w:hAnsi="宋体" w:cs="宋体" w:eastAsia="宋体" w:hint="default"/>
                <w:sz w:val="18"/>
                <w:szCs w:val="18"/>
              </w:rPr>
              <w:t>、华大基因股票在深圳证券交易所上市</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8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交易后且本人依照所适用的上市规则被认定为</w:t>
            </w: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3.4pt;height:769.45pt;mso-position-horizontal-relative:page;mso-position-vertical-relative:page;z-index:-1276000" coordorigin="1171,1450" coordsize="1268,15389">
            <v:group style="position:absolute;left:1171;top:1450;width:1268;height:1914" coordorigin="1171,1450" coordsize="1268,1914">
              <v:shape style="position:absolute;left:1171;top:1450;width:1268;height:1914" coordorigin="1171,1450" coordsize="1268,1914" path="m1171,3363l2439,3363,2439,1450,1171,1450,1171,3363xe" filled="true" fillcolor="#d2d2d2" stroked="false">
                <v:path arrowok="t"/>
                <v:fill type="solid"/>
              </v:shape>
            </v:group>
            <v:group style="position:absolute;left:1171;top:3363;width:1268;height:13476" coordorigin="1171,3363" coordsize="1268,13476">
              <v:shape style="position:absolute;left:1171;top:3363;width:1268;height:13476" coordorigin="1171,3363" coordsize="1268,13476" path="m2439,16838l2439,3363,1171,3363,1171,16838,2439,16838xe" filled="true" fillcolor="#d2d2d2" stroked="false">
                <v:path arrowok="t"/>
                <v:fill type="solid"/>
              </v:shape>
            </v:group>
            <w10:wrap type="none"/>
          </v:group>
        </w:pict>
      </w: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78"/>
      </w:tblGrid>
      <w:tr>
        <w:trPr>
          <w:trHeight w:val="1923"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3" w:right="190"/>
              <w:jc w:val="left"/>
              <w:rPr>
                <w:rFonts w:ascii="宋体" w:hAnsi="宋体" w:cs="宋体" w:eastAsia="宋体" w:hint="default"/>
                <w:sz w:val="18"/>
                <w:szCs w:val="18"/>
              </w:rPr>
            </w:pPr>
            <w:r>
              <w:rPr>
                <w:rFonts w:ascii="宋体" w:hAnsi="宋体" w:cs="宋体" w:eastAsia="宋体" w:hint="default"/>
                <w:sz w:val="18"/>
                <w:szCs w:val="18"/>
              </w:rPr>
              <w:t>华大基因的实际控制人期间，本人将不会变 更、解除本承诺。</w:t>
            </w:r>
            <w:r>
              <w:rPr>
                <w:rFonts w:ascii="Times New Roman" w:hAnsi="Times New Roman" w:cs="Times New Roman" w:eastAsia="Times New Roman" w:hint="default"/>
                <w:sz w:val="18"/>
                <w:szCs w:val="18"/>
              </w:rPr>
              <w:t>6</w:t>
            </w:r>
            <w:r>
              <w:rPr>
                <w:rFonts w:ascii="宋体" w:hAnsi="宋体" w:cs="宋体" w:eastAsia="宋体" w:hint="default"/>
                <w:sz w:val="18"/>
                <w:szCs w:val="18"/>
              </w:rPr>
              <w:t>、本人将忠实履行上述承 诺，并承担相应的法律责任，若不履行本承诺 所约定的义务和责任，本人将承担华大基因、 华大基因其他股东或利益相关方因此所受到的 任何损失。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1908"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6" w:right="197"/>
              <w:jc w:val="both"/>
              <w:rPr>
                <w:rFonts w:ascii="宋体" w:hAnsi="宋体" w:cs="宋体" w:eastAsia="宋体" w:hint="default"/>
                <w:sz w:val="18"/>
                <w:szCs w:val="18"/>
              </w:rPr>
            </w:pPr>
            <w:r>
              <w:rPr>
                <w:rFonts w:ascii="宋体" w:hAnsi="宋体" w:cs="宋体" w:eastAsia="宋体" w:hint="default"/>
                <w:sz w:val="18"/>
                <w:szCs w:val="18"/>
              </w:rPr>
              <w:t>深圳华大基 因科技有限 公司、汪建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关于避免 或减少关 联交易的 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为避免或减少将来可能与公司及其全资、控股 子公司产生的关联交易，公司控股股东华大控 股、实际控制人汪建先生出具了《关于避免或 </w:t>
            </w:r>
            <w:r>
              <w:rPr>
                <w:rFonts w:ascii="宋体" w:hAnsi="宋体" w:cs="宋体" w:eastAsia="宋体" w:hint="default"/>
                <w:spacing w:val="-5"/>
                <w:sz w:val="18"/>
                <w:szCs w:val="18"/>
              </w:rPr>
              <w:t>减少关联交易的承诺函》。其中，公司的控股股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东华大控股承诺如下：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、不利用自身的地位及 控制性影响谋求华大基因及其控制的其他企业 在业务合作等方面给予华大控股及其控制的其 他企业优于市场第三方的权利；</w:t>
            </w:r>
            <w:r>
              <w:rPr>
                <w:rFonts w:ascii="Times New Roman" w:hAnsi="Times New Roman" w:cs="Times New Roman" w:eastAsia="Times New Roman" w:hint="default"/>
                <w:sz w:val="18"/>
                <w:szCs w:val="18"/>
              </w:rPr>
              <w:t>2</w:t>
            </w:r>
            <w:r>
              <w:rPr>
                <w:rFonts w:ascii="宋体" w:hAnsi="宋体" w:cs="宋体" w:eastAsia="宋体" w:hint="default"/>
                <w:sz w:val="18"/>
                <w:szCs w:val="18"/>
              </w:rPr>
              <w:t>、不利用自身 的地位及控制性影响谋求华大控股及其控制的 其他企业与华大基因及其控制的其他企业达成 交易的优先权利；</w:t>
            </w:r>
            <w:r>
              <w:rPr>
                <w:rFonts w:ascii="Times New Roman" w:hAnsi="Times New Roman" w:cs="Times New Roman" w:eastAsia="Times New Roman" w:hint="default"/>
                <w:sz w:val="18"/>
                <w:szCs w:val="18"/>
              </w:rPr>
              <w:t>3</w:t>
            </w:r>
            <w:r>
              <w:rPr>
                <w:rFonts w:ascii="宋体" w:hAnsi="宋体" w:cs="宋体" w:eastAsia="宋体" w:hint="default"/>
                <w:sz w:val="18"/>
                <w:szCs w:val="18"/>
              </w:rPr>
              <w:t>、华大控股及其控制的其他 企业不以低于或高于市场价格的条件与华大基 因及其控制的其他企业进行交易，不会利用关 联交易转移、输送利润，亦不利用关联交易从 事任何损害华大基因及其控制的其他企业利益 的行为；</w:t>
            </w:r>
            <w:r>
              <w:rPr>
                <w:rFonts w:ascii="Times New Roman" w:hAnsi="Times New Roman" w:cs="Times New Roman" w:eastAsia="Times New Roman" w:hint="default"/>
                <w:sz w:val="18"/>
                <w:szCs w:val="18"/>
              </w:rPr>
              <w:t>4</w:t>
            </w:r>
            <w:r>
              <w:rPr>
                <w:rFonts w:ascii="宋体" w:hAnsi="宋体" w:cs="宋体" w:eastAsia="宋体" w:hint="default"/>
                <w:sz w:val="18"/>
                <w:szCs w:val="18"/>
              </w:rPr>
              <w:t>、华大控股及其控制的其他企业将尽 量避免或减少并规范与华大基因及其控制的其 他企业之间的关联交易。如果有不可避免的关 联交易发生，所涉及的关联交易均会按照相关 </w:t>
            </w:r>
            <w:r>
              <w:rPr>
                <w:rFonts w:ascii="宋体" w:hAnsi="宋体" w:cs="宋体" w:eastAsia="宋体" w:hint="default"/>
                <w:spacing w:val="-5"/>
                <w:sz w:val="18"/>
                <w:szCs w:val="18"/>
              </w:rPr>
              <w:t>法律法规、《公司章程》和《关联交易管理制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度》等文件的相关规定履行合法程序，及时进 行信息披露，保证不通过关联交易损害华大基 因及其他股东的合法权益；</w:t>
            </w:r>
            <w:r>
              <w:rPr>
                <w:rFonts w:ascii="Times New Roman" w:hAnsi="Times New Roman" w:cs="Times New Roman" w:eastAsia="Times New Roman" w:hint="default"/>
                <w:sz w:val="18"/>
                <w:szCs w:val="18"/>
              </w:rPr>
              <w:t>5</w:t>
            </w:r>
            <w:r>
              <w:rPr>
                <w:rFonts w:ascii="宋体" w:hAnsi="宋体" w:cs="宋体" w:eastAsia="宋体" w:hint="default"/>
                <w:sz w:val="18"/>
                <w:szCs w:val="18"/>
              </w:rPr>
              <w:t>、华大基因股票在 深圳证券交易所上市交易后且华大控股依照所 适用的上市规则被认定为华大基因的控股股东 期间，其将不会变更、解除本承诺；</w:t>
            </w:r>
            <w:r>
              <w:rPr>
                <w:rFonts w:ascii="Times New Roman" w:hAnsi="Times New Roman" w:cs="Times New Roman" w:eastAsia="Times New Roman" w:hint="default"/>
                <w:sz w:val="18"/>
                <w:szCs w:val="18"/>
              </w:rPr>
              <w:t>6</w:t>
            </w:r>
            <w:r>
              <w:rPr>
                <w:rFonts w:ascii="宋体" w:hAnsi="宋体" w:cs="宋体" w:eastAsia="宋体" w:hint="default"/>
                <w:sz w:val="18"/>
                <w:szCs w:val="18"/>
              </w:rPr>
              <w:t>、其将忠 实履行上述承诺，并承担相应的法律责任，若 不履行本承诺所赋予的义务和责任，其将承担 华大基因、华大基因其他股东或利益相关方因 此所受到的任何损失。公司的实际控制人汪建 先生承诺如下：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、本人承诺并促使本人控制的 其他企业、与本人关系密切的家庭成员（</w:t>
            </w:r>
            <w:r>
              <w:rPr>
                <w:rFonts w:ascii="Times New Roman" w:hAnsi="Times New Roman" w:cs="Times New Roman" w:eastAsia="Times New Roman" w:hint="default"/>
                <w:sz w:val="18"/>
                <w:szCs w:val="18"/>
              </w:rPr>
              <w:t>“</w:t>
            </w:r>
            <w:r>
              <w:rPr>
                <w:rFonts w:ascii="宋体" w:hAnsi="宋体" w:cs="宋体" w:eastAsia="宋体" w:hint="default"/>
                <w:sz w:val="18"/>
                <w:szCs w:val="18"/>
              </w:rPr>
              <w:t>关系 密切的家庭成员</w:t>
            </w:r>
            <w:r>
              <w:rPr>
                <w:rFonts w:ascii="Times New Roman" w:hAnsi="Times New Roman" w:cs="Times New Roman" w:eastAsia="Times New Roman" w:hint="default"/>
                <w:sz w:val="18"/>
                <w:szCs w:val="18"/>
              </w:rPr>
              <w:t>”</w:t>
            </w:r>
            <w:r>
              <w:rPr>
                <w:rFonts w:ascii="宋体" w:hAnsi="宋体" w:cs="宋体" w:eastAsia="宋体" w:hint="default"/>
                <w:sz w:val="18"/>
                <w:szCs w:val="18"/>
              </w:rPr>
              <w:t>指配偶、父母及配偶的父母、 兄弟姐妹及其配偶、年满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周岁的子女及其配 偶、配偶的兄弟姐妹和子女配偶的父母）不利 用本人的地位及控制性影响谋求华大基因及其 控制的其他企业在业务合作等方面给予优于市 场第三方的权利；</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、本人承诺并促使本人控制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3.4pt;height:769.45pt;mso-position-horizontal-relative:page;mso-position-vertical-relative:page;z-index:-1275976" coordorigin="1171,1450" coordsize="1268,15389">
            <v:group style="position:absolute;left:1171;top:1450;width:1268;height:7531" coordorigin="1171,1450" coordsize="1268,7531">
              <v:shape style="position:absolute;left:1171;top:1450;width:1268;height:7531" coordorigin="1171,1450" coordsize="1268,7531" path="m1171,8980l2439,8980,2439,1450,1171,1450,1171,8980xe" filled="true" fillcolor="#d2d2d2" stroked="false">
                <v:path arrowok="t"/>
                <v:fill type="solid"/>
              </v:shape>
            </v:group>
            <v:group style="position:absolute;left:1171;top:8980;width:1268;height:3834" coordorigin="1171,8980" coordsize="1268,3834">
              <v:shape style="position:absolute;left:1171;top:8980;width:1268;height:3834" coordorigin="1171,8980" coordsize="1268,3834" path="m1171,12813l2439,12813,2439,8980,1171,8980,1171,12813xe" filled="true" fillcolor="#d2d2d2" stroked="false">
                <v:path arrowok="t"/>
                <v:fill type="solid"/>
              </v:shape>
            </v:group>
            <v:group style="position:absolute;left:1171;top:12813;width:1268;height:4026" coordorigin="1171,12813" coordsize="1268,4026">
              <v:shape style="position:absolute;left:1171;top:12813;width:1268;height:4026" coordorigin="1171,12813" coordsize="1268,4026" path="m2439,16838l2439,12813,1171,12813,1171,16838,2439,16838xe" filled="true" fillcolor="#d2d2d2" stroked="false">
                <v:path arrowok="t"/>
                <v:fill type="solid"/>
              </v:shape>
            </v:group>
            <w10:wrap type="none"/>
          </v:group>
        </w:pict>
      </w: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78"/>
      </w:tblGrid>
      <w:tr>
        <w:trPr>
          <w:trHeight w:val="7540"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3" w:right="98"/>
              <w:jc w:val="left"/>
              <w:rPr>
                <w:rFonts w:ascii="宋体" w:hAnsi="宋体" w:cs="宋体" w:eastAsia="宋体" w:hint="default"/>
                <w:sz w:val="18"/>
                <w:szCs w:val="18"/>
              </w:rPr>
            </w:pPr>
            <w:r>
              <w:rPr>
                <w:rFonts w:ascii="宋体" w:hAnsi="宋体" w:cs="宋体" w:eastAsia="宋体" w:hint="default"/>
                <w:sz w:val="18"/>
                <w:szCs w:val="18"/>
              </w:rPr>
              <w:t>的其他企业、与本人关系密切的家庭成员不利 用本人的地位及控制性影响谋求与华大基因及 其控制的其他企业达成交易的优先权利；</w:t>
            </w:r>
            <w:r>
              <w:rPr>
                <w:rFonts w:ascii="Times New Roman" w:hAnsi="Times New Roman" w:cs="Times New Roman" w:eastAsia="Times New Roman" w:hint="default"/>
                <w:sz w:val="18"/>
                <w:szCs w:val="18"/>
              </w:rPr>
              <w:t>3</w:t>
            </w:r>
            <w:r>
              <w:rPr>
                <w:rFonts w:ascii="宋体" w:hAnsi="宋体" w:cs="宋体" w:eastAsia="宋体" w:hint="default"/>
                <w:sz w:val="18"/>
                <w:szCs w:val="18"/>
              </w:rPr>
              <w:t>、本 人承诺并促使本人控制的其他企业、与本人关 系密切的家庭成员不以低于或高于市场价格的 条件与华大基因及其控制的其他企业进行交 易，不会利用关联交易转移、输送利润，亦不 利用关联交易从事任何损害华大基因及其控制 的其他企业利益的行为；</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、本人承诺并促使本 人控制的其他企业、与本人关系密切的家庭成 员尽量避免或减少并规范与华大基因及其控制 的其他企业之间的关联交易。如果有不可避免 的关联交易发生，所涉及的关联交易均会按照 </w:t>
            </w:r>
            <w:r>
              <w:rPr>
                <w:rFonts w:ascii="宋体" w:hAnsi="宋体" w:cs="宋体" w:eastAsia="宋体" w:hint="default"/>
                <w:spacing w:val="-5"/>
                <w:sz w:val="18"/>
                <w:szCs w:val="18"/>
              </w:rPr>
              <w:t>相关法律法规、《公司章程》和《关联交易管理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制度》等文件的相关规定履行合法程序，及时 进行信息披露，保证不通过关联交易损害华大 基因及其他股东的合法权益；</w:t>
            </w:r>
            <w:r>
              <w:rPr>
                <w:rFonts w:ascii="Times New Roman" w:hAnsi="Times New Roman" w:cs="Times New Roman" w:eastAsia="Times New Roman" w:hint="default"/>
                <w:sz w:val="18"/>
                <w:szCs w:val="18"/>
              </w:rPr>
              <w:t>5</w:t>
            </w:r>
            <w:r>
              <w:rPr>
                <w:rFonts w:ascii="宋体" w:hAnsi="宋体" w:cs="宋体" w:eastAsia="宋体" w:hint="default"/>
                <w:sz w:val="18"/>
                <w:szCs w:val="18"/>
              </w:rPr>
              <w:t>、华大基因股票 在深圳证券交易所上市交易后且本人依照所适 用的上市规则被认定为华大基因的实际控制人 期间，本人将不会变更、解除本承诺；</w:t>
            </w:r>
            <w:r>
              <w:rPr>
                <w:rFonts w:ascii="Times New Roman" w:hAnsi="Times New Roman" w:cs="Times New Roman" w:eastAsia="Times New Roman" w:hint="default"/>
                <w:sz w:val="18"/>
                <w:szCs w:val="18"/>
              </w:rPr>
              <w:t>6</w:t>
            </w:r>
            <w:r>
              <w:rPr>
                <w:rFonts w:ascii="宋体" w:hAnsi="宋体" w:cs="宋体" w:eastAsia="宋体" w:hint="default"/>
                <w:sz w:val="18"/>
                <w:szCs w:val="18"/>
              </w:rPr>
              <w:t>、本人 将忠实履行上述承诺，并承担相应的法律责 任，若不履行本承诺所约定的义务和责任，本 人将承担华大基因、华大基因其他股东或利益 相关方因此所受到的任何损失。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1275"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6" w:right="197"/>
              <w:jc w:val="both"/>
              <w:rPr>
                <w:rFonts w:ascii="宋体" w:hAnsi="宋体" w:cs="宋体" w:eastAsia="宋体" w:hint="default"/>
                <w:sz w:val="18"/>
                <w:szCs w:val="18"/>
              </w:rPr>
            </w:pPr>
            <w:r>
              <w:rPr>
                <w:rFonts w:ascii="宋体" w:hAnsi="宋体" w:cs="宋体" w:eastAsia="宋体" w:hint="default"/>
                <w:sz w:val="18"/>
                <w:szCs w:val="18"/>
              </w:rPr>
              <w:t>深圳华大基 因科技有限 公司、汪建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9"/>
              <w:jc w:val="left"/>
              <w:rPr>
                <w:rFonts w:ascii="宋体" w:hAnsi="宋体" w:cs="宋体" w:eastAsia="宋体" w:hint="default"/>
                <w:sz w:val="18"/>
                <w:szCs w:val="18"/>
              </w:rPr>
            </w:pPr>
            <w:r>
              <w:rPr>
                <w:rFonts w:ascii="宋体" w:hAnsi="宋体" w:cs="宋体" w:eastAsia="宋体" w:hint="default"/>
                <w:sz w:val="18"/>
                <w:szCs w:val="18"/>
              </w:rPr>
              <w:t>避免欠缴员工社保和住房公积金对公司未来经 营业绩造成影响，公司控股股东华大控股和实 际控制人汪建先生承诺：在华大基因首次公开 发行股票并上市前，如因华大基因（含华大基 因前身）及其控股子公司、分公司未依法为员 工缴纳社会保险费及</w:t>
            </w:r>
            <w:r>
              <w:rPr>
                <w:rFonts w:ascii="Times New Roman" w:hAnsi="Times New Roman" w:cs="Times New Roman" w:eastAsia="Times New Roman" w:hint="default"/>
                <w:sz w:val="18"/>
                <w:szCs w:val="18"/>
              </w:rPr>
              <w:t>/</w:t>
            </w:r>
            <w:r>
              <w:rPr>
                <w:rFonts w:ascii="宋体" w:hAnsi="宋体" w:cs="宋体" w:eastAsia="宋体" w:hint="default"/>
                <w:sz w:val="18"/>
                <w:szCs w:val="18"/>
              </w:rPr>
              <w:t>或住房公积金，根据有权 部门的要求或决定，华大基因及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或其控股子公 司、分公司产生补缴义务或遭受任何罚款或损 失的，其愿意在毋须华大基因及其控股子公 司、分公司支付对价的情况下，无条件、自愿 承担所有补缴金额和相关所有费用及</w:t>
            </w:r>
            <w:r>
              <w:rPr>
                <w:rFonts w:ascii="Times New Roman" w:hAnsi="Times New Roman" w:cs="Times New Roman" w:eastAsia="Times New Roman" w:hint="default"/>
                <w:sz w:val="18"/>
                <w:szCs w:val="18"/>
              </w:rPr>
              <w:t>/</w:t>
            </w:r>
            <w:r>
              <w:rPr>
                <w:rFonts w:ascii="宋体" w:hAnsi="宋体" w:cs="宋体" w:eastAsia="宋体" w:hint="default"/>
                <w:sz w:val="18"/>
                <w:szCs w:val="18"/>
              </w:rPr>
              <w:t>或相关的 经济赔偿责任。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547"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26" w:right="197"/>
              <w:jc w:val="both"/>
              <w:rPr>
                <w:rFonts w:ascii="宋体" w:hAnsi="宋体" w:cs="宋体" w:eastAsia="宋体" w:hint="default"/>
                <w:sz w:val="18"/>
                <w:szCs w:val="18"/>
              </w:rPr>
            </w:pPr>
            <w:r>
              <w:rPr>
                <w:rFonts w:ascii="宋体" w:hAnsi="宋体" w:cs="宋体" w:eastAsia="宋体" w:hint="default"/>
                <w:sz w:val="18"/>
                <w:szCs w:val="18"/>
              </w:rPr>
              <w:t>深圳华大基 因科技有限 公司、汪建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5"/>
              <w:jc w:val="left"/>
              <w:rPr>
                <w:rFonts w:ascii="宋体" w:hAnsi="宋体" w:cs="宋体" w:eastAsia="宋体" w:hint="default"/>
                <w:sz w:val="18"/>
                <w:szCs w:val="18"/>
              </w:rPr>
            </w:pPr>
            <w:r>
              <w:rPr>
                <w:rFonts w:ascii="宋体" w:hAnsi="宋体" w:cs="宋体" w:eastAsia="宋体" w:hint="default"/>
                <w:sz w:val="18"/>
                <w:szCs w:val="18"/>
              </w:rPr>
              <w:t>对于上述租赁房产存在的法律瑕疵，公司控股 股东和实际控制人已出具了书面承诺，承诺如 下：</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若华大基因因租赁未取得房屋产权证书 的物业被有权部门处罚，并责令搬迁，本人愿 意在毋需华大基因支付任何对价的情况下承担 华大基因因不能继续承租该等物业而搬迁所产 生的成本与费用，并对其搬迁期间因此造成的 经济损失承担足额、全面的经济补偿；</w:t>
            </w:r>
            <w:r>
              <w:rPr>
                <w:rFonts w:ascii="Times New Roman" w:hAnsi="Times New Roman" w:cs="Times New Roman" w:eastAsia="Times New Roman" w:hint="default"/>
                <w:sz w:val="18"/>
                <w:szCs w:val="18"/>
              </w:rPr>
              <w:t>2</w:t>
            </w:r>
            <w:r>
              <w:rPr>
                <w:rFonts w:ascii="宋体" w:hAnsi="宋体" w:cs="宋体" w:eastAsia="宋体" w:hint="default"/>
                <w:sz w:val="18"/>
                <w:szCs w:val="18"/>
              </w:rPr>
              <w:t>．若华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275"/>
        <w:gridCol w:w="1135"/>
        <w:gridCol w:w="853"/>
        <w:gridCol w:w="3826"/>
        <w:gridCol w:w="850"/>
        <w:gridCol w:w="852"/>
        <w:gridCol w:w="778"/>
      </w:tblGrid>
      <w:tr>
        <w:trPr>
          <w:trHeight w:val="2859" w:hRule="exact"/>
        </w:trPr>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90"/>
              <w:jc w:val="both"/>
              <w:rPr>
                <w:rFonts w:ascii="Times New Roman" w:hAnsi="Times New Roman" w:cs="Times New Roman" w:eastAsia="Times New Roman" w:hint="default"/>
                <w:sz w:val="18"/>
                <w:szCs w:val="18"/>
              </w:rPr>
            </w:pPr>
            <w:r>
              <w:rPr>
                <w:rFonts w:ascii="宋体" w:hAnsi="宋体" w:cs="宋体" w:eastAsia="宋体" w:hint="default"/>
                <w:sz w:val="18"/>
                <w:szCs w:val="18"/>
              </w:rPr>
              <w:t>大基因因租赁合同被有权部门认定为无效而与 出租方产生诉讼、仲裁等纠纷或因租赁合同存 在的法律瑕疵而与出租方或其他第三方发生诉 讼、仲裁等纠纷的，本人愿意在毋需华大基因 支付任何对价的情况下承担华大基因因该等纠 纷而支付的律师费、诉讼费、案件受理费等所 有成本与费用，以保证华大基因不因该等租赁 合同可能存在的瑕疵而遭受任何损失或潜在损 失。</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59"/>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76"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如承诺超期未 履行完毕的， 应当详细说明 未完成履行的 具体原因及下 一步的工作计 划</w:t>
            </w:r>
          </w:p>
        </w:tc>
        <w:tc>
          <w:tcPr>
            <w:tcW w:w="829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不存在承诺超期未履行完毕的情形</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41"/>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1"/>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41"/>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0" w:footer="974" w:top="1100" w:bottom="1160" w:left="980" w:right="980"/>
        </w:sectPr>
      </w:pPr>
    </w:p>
    <w:p>
      <w:pPr>
        <w:spacing w:line="240" w:lineRule="auto" w:before="12"/>
        <w:rPr>
          <w:rFonts w:ascii="宋体" w:hAnsi="宋体" w:cs="宋体" w:eastAsia="宋体" w:hint="default"/>
          <w:sz w:val="19"/>
          <w:szCs w:val="19"/>
        </w:rPr>
      </w:pPr>
    </w:p>
    <w:p>
      <w:pPr>
        <w:pStyle w:val="Heading2"/>
        <w:spacing w:line="240" w:lineRule="auto" w:before="26"/>
        <w:ind w:right="94"/>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468" w:lineRule="exact" w:before="54"/>
        <w:ind w:left="513" w:right="94"/>
        <w:jc w:val="left"/>
      </w:pPr>
      <w:r>
        <w:rPr/>
        <w:t>（一）资产处置损益列报方式变更 根据《财政部关于修订印发一般企业财务报表格式的通知》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[2017]30</w:t>
      </w:r>
      <w:r>
        <w:rPr/>
        <w:t>号</w:t>
      </w:r>
      <w:r>
        <w:rPr>
          <w:rFonts w:ascii="Times New Roman" w:hAnsi="Times New Roman" w:cs="Times New Roman" w:eastAsia="Times New Roman" w:hint="default"/>
        </w:rPr>
        <w:t>)</w:t>
      </w:r>
      <w:r>
        <w:rPr/>
        <w:t>要求，公司在利润表中的</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项目</w:t>
      </w:r>
    </w:p>
    <w:p>
      <w:pPr>
        <w:pStyle w:val="BodyText"/>
        <w:spacing w:line="300" w:lineRule="auto" w:before="8"/>
        <w:ind w:right="175"/>
        <w:jc w:val="left"/>
      </w:pPr>
      <w:r>
        <w:rPr/>
        <w:t>之上单独列报</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项目，原在</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的部分非流动资产处置损益，改为在</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中列报；公司相应追溯重述了比较利润表。该会计政策变更对合并及公司净利润和股东权益无影响。</w:t>
      </w:r>
    </w:p>
    <w:p>
      <w:pPr>
        <w:pStyle w:val="BodyText"/>
        <w:spacing w:line="468" w:lineRule="exact" w:before="23"/>
        <w:ind w:left="513" w:right="94"/>
        <w:jc w:val="left"/>
      </w:pPr>
      <w:r>
        <w:rPr/>
        <w:t>（二）政府补助列报方式变更 </w:t>
      </w:r>
      <w:r>
        <w:rPr>
          <w:spacing w:val="-1"/>
        </w:rPr>
        <w:t>根据《关于印发修订〈企业会计准则第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政府补助〉的通知》</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[2017]15</w:t>
      </w:r>
      <w:r>
        <w:rPr>
          <w:spacing w:val="-1"/>
        </w:rPr>
        <w:t>号</w:t>
      </w:r>
      <w:r>
        <w:rPr>
          <w:rFonts w:ascii="Times New Roman" w:hAnsi="Times New Roman" w:cs="Times New Roman" w:eastAsia="Times New Roman" w:hint="default"/>
          <w:spacing w:val="-1"/>
        </w:rPr>
        <w:t>)</w:t>
      </w:r>
      <w:r>
        <w:rPr>
          <w:spacing w:val="-1"/>
        </w:rPr>
        <w:t>要求，公司在利润表中的</w:t>
      </w:r>
      <w:r>
        <w:rPr>
          <w:rFonts w:ascii="Times New Roman" w:hAnsi="Times New Roman" w:cs="Times New Roman" w:eastAsia="Times New Roman" w:hint="default"/>
          <w:spacing w:val="-1"/>
        </w:rPr>
        <w:t>“</w:t>
      </w:r>
      <w:r>
        <w:rPr>
          <w:spacing w:val="-1"/>
        </w:rPr>
        <w:t>营业利</w:t>
      </w:r>
    </w:p>
    <w:p>
      <w:pPr>
        <w:pStyle w:val="BodyText"/>
        <w:spacing w:line="300" w:lineRule="auto" w:before="8"/>
        <w:ind w:right="94"/>
        <w:jc w:val="left"/>
      </w:pPr>
      <w:r>
        <w:rPr>
          <w:spacing w:val="-1"/>
        </w:rPr>
        <w:t>润</w:t>
      </w:r>
      <w:r>
        <w:rPr>
          <w:rFonts w:ascii="Times New Roman" w:hAnsi="Times New Roman" w:cs="Times New Roman" w:eastAsia="Times New Roman" w:hint="default"/>
          <w:spacing w:val="-1"/>
        </w:rPr>
        <w:t>”</w:t>
      </w:r>
      <w:r>
        <w:rPr>
          <w:spacing w:val="-1"/>
        </w:rPr>
        <w:t>项目之上单独列报</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w:t>
      </w:r>
      <w:r>
        <w:rPr>
          <w:spacing w:val="-1"/>
        </w:rPr>
        <w:t>项目，与企业日常活动相关的政府补助由在</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w:t>
      </w:r>
      <w:r>
        <w:rPr>
          <w:spacing w:val="-1"/>
        </w:rPr>
        <w:t>中列报改为在</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w:t>
      </w:r>
      <w:r>
        <w:rPr>
          <w:spacing w:val="-1"/>
        </w:rPr>
        <w:t>中列报；</w:t>
      </w:r>
      <w:r>
        <w:rPr>
          <w:spacing w:val="-47"/>
        </w:rPr>
        <w:t> </w:t>
      </w:r>
      <w:r>
        <w:rPr>
          <w:spacing w:val="-47"/>
        </w:rPr>
      </w:r>
      <w:r>
        <w:rPr/>
        <w:t>按照该准则的衔接规定，公司对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日存在的政府补助采用未来适用法处理，对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日至该准则施行日</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w:t>
      </w:r>
      <w:r>
        <w:rPr/>
        <w:t>之间新增的政府补助根据本准则进行调整。</w:t>
      </w:r>
      <w:r>
        <w:rPr>
          <w:rFonts w:ascii="Times New Roman" w:hAnsi="Times New Roman" w:cs="Times New Roman" w:eastAsia="Times New Roman" w:hint="default"/>
        </w:rPr>
        <w:t>2017</w:t>
      </w:r>
      <w:r>
        <w:rPr/>
        <w:t>年度和</w:t>
      </w:r>
      <w:r>
        <w:rPr>
          <w:rFonts w:ascii="Times New Roman" w:hAnsi="Times New Roman" w:cs="Times New Roman" w:eastAsia="Times New Roman" w:hint="default"/>
        </w:rPr>
        <w:t>2016</w:t>
      </w:r>
      <w:r>
        <w:rPr/>
        <w:t>年度的</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以及</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项 目列报的内容有所不同，但对</w:t>
      </w:r>
      <w:r>
        <w:rPr>
          <w:rFonts w:ascii="Times New Roman" w:hAnsi="Times New Roman" w:cs="Times New Roman" w:eastAsia="Times New Roman" w:hint="default"/>
        </w:rPr>
        <w:t>2017</w:t>
      </w:r>
      <w:r>
        <w:rPr/>
        <w:t>年度和</w:t>
      </w:r>
      <w:r>
        <w:rPr>
          <w:rFonts w:ascii="Times New Roman" w:hAnsi="Times New Roman" w:cs="Times New Roman" w:eastAsia="Times New Roman" w:hint="default"/>
        </w:rPr>
        <w:t>2016</w:t>
      </w:r>
      <w:r>
        <w:rPr/>
        <w:t>年度合并及公司净利润无影响。</w:t>
      </w:r>
    </w:p>
    <w:p>
      <w:pPr>
        <w:pStyle w:val="BodyText"/>
        <w:spacing w:line="468" w:lineRule="exact" w:before="5"/>
        <w:ind w:left="513" w:right="94"/>
        <w:jc w:val="left"/>
      </w:pPr>
      <w:r>
        <w:rPr/>
        <w:t>（三）终止经营列报方式变更 根据《关于印发〈企业会计准则第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[2017]13</w:t>
      </w:r>
      <w:r>
        <w:rPr/>
        <w:t>号</w:t>
      </w:r>
      <w:r>
        <w:rPr>
          <w:rFonts w:ascii="Times New Roman" w:hAnsi="Times New Roman" w:cs="Times New Roman" w:eastAsia="Times New Roman" w:hint="default"/>
        </w:rPr>
        <w:t>)</w:t>
      </w:r>
      <w:r>
        <w:rPr/>
        <w:t>要</w:t>
      </w:r>
    </w:p>
    <w:p>
      <w:pPr>
        <w:pStyle w:val="BodyText"/>
        <w:spacing w:line="240" w:lineRule="auto" w:before="8"/>
        <w:ind w:right="0"/>
        <w:jc w:val="left"/>
      </w:pPr>
      <w:r>
        <w:rPr>
          <w:spacing w:val="-2"/>
        </w:rPr>
        <w:t>求，公司在利润表中的</w:t>
      </w:r>
      <w:r>
        <w:rPr>
          <w:rFonts w:ascii="Times New Roman" w:hAnsi="Times New Roman" w:cs="Times New Roman" w:eastAsia="Times New Roman" w:hint="default"/>
          <w:spacing w:val="-2"/>
        </w:rPr>
        <w:t>“</w:t>
      </w:r>
      <w:r>
        <w:rPr>
          <w:spacing w:val="-2"/>
        </w:rPr>
        <w:t>净利润</w:t>
      </w:r>
      <w:r>
        <w:rPr>
          <w:rFonts w:ascii="Times New Roman" w:hAnsi="Times New Roman" w:cs="Times New Roman" w:eastAsia="Times New Roman" w:hint="default"/>
          <w:spacing w:val="-2"/>
        </w:rPr>
        <w:t>”</w:t>
      </w:r>
      <w:r>
        <w:rPr>
          <w:spacing w:val="-2"/>
        </w:rPr>
        <w:t>项目之下新增</w:t>
      </w:r>
      <w:r>
        <w:rPr>
          <w:rFonts w:ascii="Times New Roman" w:hAnsi="Times New Roman" w:cs="Times New Roman" w:eastAsia="Times New Roman" w:hint="default"/>
          <w:spacing w:val="-2"/>
        </w:rPr>
        <w:t>“</w:t>
      </w:r>
      <w:r>
        <w:rPr>
          <w:spacing w:val="-2"/>
        </w:rPr>
        <w:t>持续经营净利润</w:t>
      </w:r>
      <w:r>
        <w:rPr>
          <w:rFonts w:ascii="Times New Roman" w:hAnsi="Times New Roman" w:cs="Times New Roman" w:eastAsia="Times New Roman" w:hint="default"/>
          <w:spacing w:val="-2"/>
        </w:rPr>
        <w:t>”</w:t>
      </w:r>
      <w:r>
        <w:rPr>
          <w:spacing w:val="-2"/>
        </w:rPr>
        <w:t>项目，公司</w:t>
      </w:r>
      <w:r>
        <w:rPr>
          <w:rFonts w:ascii="Times New Roman" w:hAnsi="Times New Roman" w:cs="Times New Roman" w:eastAsia="Times New Roman" w:hint="default"/>
          <w:spacing w:val="-2"/>
        </w:rPr>
        <w:t>2017</w:t>
      </w:r>
      <w:r>
        <w:rPr>
          <w:spacing w:val="-2"/>
        </w:rPr>
        <w:t>年度和</w:t>
      </w:r>
      <w:r>
        <w:rPr>
          <w:rFonts w:ascii="Times New Roman" w:hAnsi="Times New Roman" w:cs="Times New Roman" w:eastAsia="Times New Roman" w:hint="default"/>
          <w:spacing w:val="-2"/>
        </w:rPr>
        <w:t>2016</w:t>
      </w:r>
      <w:r>
        <w:rPr>
          <w:spacing w:val="-2"/>
        </w:rPr>
        <w:t>年度没有</w:t>
      </w:r>
      <w:r>
        <w:rPr>
          <w:rFonts w:ascii="Times New Roman" w:hAnsi="Times New Roman" w:cs="Times New Roman" w:eastAsia="Times New Roman" w:hint="default"/>
          <w:spacing w:val="-2"/>
        </w:rPr>
        <w:t>“</w:t>
      </w:r>
      <w:r>
        <w:rPr>
          <w:spacing w:val="-2"/>
        </w:rPr>
        <w:t>终止经营净利润</w:t>
      </w:r>
      <w:r>
        <w:rPr>
          <w:rFonts w:ascii="Times New Roman" w:hAnsi="Times New Roman" w:cs="Times New Roman" w:eastAsia="Times New Roman" w:hint="default"/>
          <w:spacing w:val="-2"/>
        </w:rPr>
        <w:t>”</w:t>
      </w:r>
      <w:r>
        <w:rPr>
          <w:spacing w:val="-2"/>
        </w:rPr>
        <w:t>项目。</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公司报告期无合并报表范围发生变化的情况。</w:t>
      </w:r>
    </w:p>
    <w:p>
      <w:pPr>
        <w:spacing w:line="240" w:lineRule="auto" w:before="4"/>
        <w:rPr>
          <w:rFonts w:ascii="宋体" w:hAnsi="宋体" w:cs="宋体" w:eastAsia="宋体" w:hint="default"/>
          <w:sz w:val="19"/>
          <w:szCs w:val="19"/>
        </w:rPr>
      </w:pPr>
    </w:p>
    <w:p>
      <w:pPr>
        <w:pStyle w:val="Heading2"/>
        <w:spacing w:line="240" w:lineRule="auto"/>
        <w:ind w:right="94"/>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220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李剑光</w:t>
            </w:r>
            <w:r>
              <w:rPr>
                <w:rFonts w:ascii="宋体" w:hAnsi="宋体" w:cs="宋体" w:eastAsia="宋体" w:hint="default"/>
                <w:spacing w:val="1"/>
                <w:sz w:val="18"/>
                <w:szCs w:val="18"/>
              </w:rPr>
              <w:t> </w:t>
            </w:r>
            <w:r>
              <w:rPr>
                <w:rFonts w:ascii="宋体" w:hAnsi="宋体" w:cs="宋体" w:eastAsia="宋体" w:hint="default"/>
                <w:sz w:val="18"/>
                <w:szCs w:val="18"/>
              </w:rPr>
              <w:t>、邓冬梅</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李剑光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年、邓冬梅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94"/>
        <w:jc w:val="left"/>
      </w:pPr>
      <w:r>
        <w:rPr/>
        <w:t>是否改聘会计师事务所</w:t>
      </w:r>
    </w:p>
    <w:p>
      <w:pPr>
        <w:pStyle w:val="BodyText"/>
        <w:spacing w:line="340" w:lineRule="auto" w:before="115"/>
        <w:ind w:right="53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0" w:footer="974" w:top="1100" w:bottom="1160" w:left="980" w:right="940"/>
        </w:sectPr>
      </w:pPr>
    </w:p>
    <w:p>
      <w:pPr>
        <w:spacing w:line="240" w:lineRule="auto" w:before="12"/>
        <w:rPr>
          <w:rFonts w:ascii="宋体" w:hAnsi="宋体" w:cs="宋体" w:eastAsia="宋体" w:hint="default"/>
          <w:sz w:val="19"/>
          <w:szCs w:val="19"/>
        </w:rPr>
      </w:pPr>
    </w:p>
    <w:p>
      <w:pPr>
        <w:pStyle w:val="Heading2"/>
        <w:spacing w:line="240" w:lineRule="auto" w:before="26"/>
        <w:ind w:right="141"/>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41"/>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spacing w:line="348" w:lineRule="auto" w:before="0"/>
        <w:ind w:left="152" w:right="6894" w:firstLine="0"/>
        <w:jc w:val="left"/>
        <w:rPr>
          <w:rFonts w:ascii="宋体" w:hAnsi="宋体" w:cs="宋体" w:eastAsia="宋体" w:hint="default"/>
          <w:sz w:val="18"/>
          <w:szCs w:val="18"/>
        </w:rPr>
      </w:pPr>
      <w:r>
        <w:rPr/>
        <w:pict>
          <v:shape style="position:absolute;margin-left:367.269989pt;margin-top:128.261703pt;width:100.35pt;height:171.05pt;mso-position-horizontal-relative:page;mso-position-vertical-relative:paragraph;z-index:-12759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BodyText"/>
                    <w:spacing w:line="240" w:lineRule="auto"/>
                    <w:ind w:left="0" w:right="0"/>
                    <w:jc w:val="left"/>
                  </w:pPr>
                  <w:r>
                    <w:rPr/>
                    <w:t>应支付费用。</w:t>
                  </w:r>
                </w:p>
              </w:txbxContent>
            </v:textbox>
            <w10:wrap type="none"/>
          </v:shape>
        </w:pict>
      </w:r>
      <w:r>
        <w:rPr/>
        <w:pict>
          <v:group style="position:absolute;margin-left:418.51001pt;margin-top:128.261703pt;width:49.15pt;height:171.05pt;mso-position-horizontal-relative:page;mso-position-vertical-relative:paragraph;z-index:-1275928" coordorigin="8370,2565" coordsize="983,3421">
            <v:group style="position:absolute;left:8370;top:2565;width:983;height:3421" coordorigin="8370,2565" coordsize="983,3421">
              <v:shape style="position:absolute;left:8370;top:2565;width:983;height:3421" coordorigin="8370,2565" coordsize="983,3421" path="m8370,5986l9352,5986,9352,2565,8370,2565,8370,5986xe" filled="true" fillcolor="#ffffff" stroked="false">
                <v:path arrowok="t"/>
                <v:fill type="solid"/>
              </v:shape>
            </v:group>
            <v:group style="position:absolute;left:8394;top:3662;width:937;height:612" coordorigin="8394,3662" coordsize="937,612">
              <v:shape style="position:absolute;left:8394;top:3662;width:937;height:612" coordorigin="8394,3662" coordsize="937,612" path="m8394,4274l9331,4274,9331,3662,8394,3662,8394,4274xe" filled="true" fillcolor="#ffffff" stroked="false">
                <v:path arrowok="t"/>
                <v:fill type="solid"/>
              </v:shape>
            </v:group>
            <v:group style="position:absolute;left:8394;top:4274;width:937;height:615" coordorigin="8394,4274" coordsize="937,615">
              <v:shape style="position:absolute;left:8394;top:4274;width:937;height:615" coordorigin="8394,4274" coordsize="937,615" path="m8394,4889l9331,4889,9331,4274,8394,4274,8394,4889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 </w:t>
      </w:r>
      <w:r>
        <w:rPr>
          <w:rFonts w:ascii="宋体" w:hAnsi="宋体" w:cs="宋体" w:eastAsia="宋体" w:hint="default"/>
          <w:b/>
          <w:bCs/>
          <w:sz w:val="18"/>
          <w:szCs w:val="18"/>
        </w:rPr>
        <w:t>报告期内其他诉讼事项说明</w:t>
      </w:r>
      <w:r>
        <w:rPr>
          <w:rFonts w:ascii="宋体" w:hAnsi="宋体" w:cs="宋体" w:eastAsia="宋体" w:hint="default"/>
          <w:sz w:val="18"/>
          <w:szCs w:val="18"/>
        </w:rPr>
      </w:r>
    </w:p>
    <w:tbl>
      <w:tblPr>
        <w:tblW w:w="0" w:type="auto"/>
        <w:jc w:val="left"/>
        <w:tblInd w:w="181" w:type="dxa"/>
        <w:tblLayout w:type="fixed"/>
        <w:tblCellMar>
          <w:top w:w="0" w:type="dxa"/>
          <w:left w:w="0" w:type="dxa"/>
          <w:bottom w:w="0" w:type="dxa"/>
          <w:right w:w="0" w:type="dxa"/>
        </w:tblCellMar>
        <w:tblLook w:val="01E0"/>
      </w:tblPr>
      <w:tblGrid>
        <w:gridCol w:w="1450"/>
        <w:gridCol w:w="1085"/>
        <w:gridCol w:w="836"/>
        <w:gridCol w:w="1133"/>
        <w:gridCol w:w="1644"/>
        <w:gridCol w:w="1051"/>
        <w:gridCol w:w="992"/>
        <w:gridCol w:w="1380"/>
      </w:tblGrid>
      <w:tr>
        <w:trPr>
          <w:trHeight w:val="155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300" w:lineRule="auto"/>
              <w:ind w:left="24" w:right="14"/>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w:t>
            </w:r>
            <w:r>
              <w:rPr>
                <w:rFonts w:ascii="宋体" w:hAnsi="宋体" w:cs="宋体" w:eastAsia="宋体" w:hint="default"/>
                <w:spacing w:val="-76"/>
                <w:sz w:val="18"/>
                <w:szCs w:val="18"/>
              </w:rPr>
              <w:t> </w:t>
            </w:r>
            <w:r>
              <w:rPr>
                <w:rFonts w:ascii="宋体" w:hAnsi="宋体" w:cs="宋体" w:eastAsia="宋体" w:hint="default"/>
                <w:sz w:val="18"/>
                <w:szCs w:val="18"/>
              </w:rPr>
              <w:t>况</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316" w:lineRule="auto"/>
              <w:ind w:left="26" w:right="2"/>
              <w:jc w:val="left"/>
              <w:rPr>
                <w:rFonts w:ascii="宋体" w:hAnsi="宋体" w:cs="宋体" w:eastAsia="宋体" w:hint="default"/>
                <w:sz w:val="18"/>
                <w:szCs w:val="18"/>
              </w:rPr>
            </w:pPr>
            <w:r>
              <w:rPr>
                <w:rFonts w:ascii="宋体" w:hAnsi="宋体" w:cs="宋体" w:eastAsia="宋体" w:hint="default"/>
                <w:spacing w:val="14"/>
                <w:sz w:val="18"/>
                <w:szCs w:val="18"/>
              </w:rPr>
              <w:t>是否形成</w:t>
            </w:r>
            <w:r>
              <w:rPr>
                <w:rFonts w:ascii="宋体" w:hAnsi="宋体" w:cs="宋体" w:eastAsia="宋体" w:hint="default"/>
                <w:spacing w:val="-71"/>
                <w:sz w:val="18"/>
                <w:szCs w:val="18"/>
              </w:rPr>
              <w:t> </w:t>
            </w:r>
            <w:r>
              <w:rPr>
                <w:rFonts w:ascii="宋体" w:hAnsi="宋体" w:cs="宋体" w:eastAsia="宋体" w:hint="default"/>
                <w:sz w:val="18"/>
                <w:szCs w:val="18"/>
              </w:rPr>
              <w:t>预计负债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300" w:lineRule="auto"/>
              <w:ind w:left="23" w:right="19"/>
              <w:jc w:val="left"/>
              <w:rPr>
                <w:rFonts w:ascii="宋体" w:hAnsi="宋体" w:cs="宋体" w:eastAsia="宋体" w:hint="default"/>
                <w:sz w:val="18"/>
                <w:szCs w:val="18"/>
              </w:rPr>
            </w:pPr>
            <w:r>
              <w:rPr>
                <w:rFonts w:ascii="宋体" w:hAnsi="宋体" w:cs="宋体" w:eastAsia="宋体" w:hint="default"/>
                <w:spacing w:val="7"/>
                <w:sz w:val="18"/>
                <w:szCs w:val="18"/>
              </w:rPr>
              <w:t>诉讼</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仲裁</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进</w:t>
            </w:r>
            <w:r>
              <w:rPr>
                <w:rFonts w:ascii="宋体" w:hAnsi="宋体" w:cs="宋体" w:eastAsia="宋体" w:hint="default"/>
                <w:spacing w:val="-86"/>
                <w:sz w:val="18"/>
                <w:szCs w:val="18"/>
              </w:rPr>
              <w:t> </w:t>
            </w:r>
            <w:r>
              <w:rPr>
                <w:rFonts w:ascii="宋体" w:hAnsi="宋体" w:cs="宋体" w:eastAsia="宋体" w:hint="default"/>
                <w:sz w:val="18"/>
                <w:szCs w:val="18"/>
              </w:rPr>
              <w:t>展</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300" w:lineRule="auto"/>
              <w:ind w:left="24" w:right="22"/>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审理结果</w:t>
            </w:r>
            <w:r>
              <w:rPr>
                <w:rFonts w:ascii="宋体" w:hAnsi="宋体" w:cs="宋体" w:eastAsia="宋体" w:hint="default"/>
                <w:sz w:val="18"/>
                <w:szCs w:val="18"/>
              </w:rPr>
              <w:t> 及影响</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309" w:lineRule="auto"/>
              <w:ind w:left="26" w:right="-5"/>
              <w:jc w:val="both"/>
              <w:rPr>
                <w:rFonts w:ascii="宋体" w:hAnsi="宋体" w:cs="宋体" w:eastAsia="宋体" w:hint="default"/>
                <w:sz w:val="18"/>
                <w:szCs w:val="18"/>
              </w:rPr>
            </w:pPr>
            <w:r>
              <w:rPr>
                <w:rFonts w:ascii="宋体" w:hAnsi="宋体" w:cs="宋体" w:eastAsia="宋体" w:hint="default"/>
                <w:spacing w:val="15"/>
                <w:sz w:val="18"/>
                <w:szCs w:val="18"/>
              </w:rPr>
              <w:t>诉讼</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pacing w:val="15"/>
                <w:sz w:val="18"/>
                <w:szCs w:val="18"/>
              </w:rPr>
              <w:t>仲裁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 </w:t>
            </w:r>
            <w:r>
              <w:rPr>
                <w:rFonts w:ascii="宋体" w:hAnsi="宋体" w:cs="宋体" w:eastAsia="宋体" w:hint="default"/>
                <w:spacing w:val="19"/>
                <w:sz w:val="18"/>
                <w:szCs w:val="18"/>
              </w:rPr>
              <w:t>判决执行情</w:t>
            </w:r>
            <w:r>
              <w:rPr>
                <w:rFonts w:ascii="宋体" w:hAnsi="宋体" w:cs="宋体" w:eastAsia="宋体" w:hint="default"/>
                <w:spacing w:val="-66"/>
                <w:sz w:val="18"/>
                <w:szCs w:val="18"/>
              </w:rPr>
              <w:t> </w:t>
            </w:r>
            <w:r>
              <w:rPr>
                <w:rFonts w:ascii="宋体" w:hAnsi="宋体" w:cs="宋体" w:eastAsia="宋体" w:hint="default"/>
                <w:sz w:val="18"/>
                <w:szCs w:val="18"/>
              </w:rPr>
              <w:t>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430"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319" w:lineRule="auto"/>
              <w:ind w:left="24" w:right="-24"/>
              <w:jc w:val="both"/>
              <w:rPr>
                <w:rFonts w:ascii="宋体" w:hAnsi="宋体" w:cs="宋体" w:eastAsia="宋体" w:hint="default"/>
                <w:sz w:val="18"/>
                <w:szCs w:val="18"/>
              </w:rPr>
            </w:pPr>
            <w:r>
              <w:rPr>
                <w:rFonts w:ascii="宋体" w:hAnsi="宋体" w:cs="宋体" w:eastAsia="宋体" w:hint="default"/>
                <w:spacing w:val="14"/>
                <w:sz w:val="18"/>
                <w:szCs w:val="18"/>
              </w:rPr>
              <w:t>雅士能</w:t>
            </w:r>
            <w:r>
              <w:rPr>
                <w:rFonts w:ascii="宋体" w:hAnsi="宋体" w:cs="宋体" w:eastAsia="宋体" w:hint="default"/>
                <w:spacing w:val="-67"/>
                <w:sz w:val="18"/>
                <w:szCs w:val="18"/>
              </w:rPr>
              <w:t> </w:t>
            </w:r>
            <w:r>
              <w:rPr>
                <w:rFonts w:ascii="宋体" w:hAnsi="宋体" w:cs="宋体" w:eastAsia="宋体" w:hint="default"/>
                <w:spacing w:val="15"/>
                <w:sz w:val="18"/>
                <w:szCs w:val="18"/>
              </w:rPr>
              <w:t>基因科技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有限公司（“雅士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能”）、香港中文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大学诉香港医学、 </w:t>
            </w:r>
            <w:r>
              <w:rPr>
                <w:rFonts w:ascii="宋体" w:hAnsi="宋体" w:cs="宋体" w:eastAsia="宋体" w:hint="default"/>
                <w:spacing w:val="14"/>
                <w:sz w:val="18"/>
                <w:szCs w:val="18"/>
              </w:rPr>
              <w:t>香港华</w:t>
            </w:r>
            <w:r>
              <w:rPr>
                <w:rFonts w:ascii="宋体" w:hAnsi="宋体" w:cs="宋体" w:eastAsia="宋体" w:hint="default"/>
                <w:spacing w:val="-67"/>
                <w:sz w:val="18"/>
                <w:szCs w:val="18"/>
              </w:rPr>
              <w:t> </w:t>
            </w:r>
            <w:r>
              <w:rPr>
                <w:rFonts w:ascii="宋体" w:hAnsi="宋体" w:cs="宋体" w:eastAsia="宋体" w:hint="default"/>
                <w:spacing w:val="15"/>
                <w:sz w:val="18"/>
                <w:szCs w:val="18"/>
              </w:rPr>
              <w:t>大专利侵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权案件</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原</w:t>
            </w:r>
            <w:r>
              <w:rPr>
                <w:rFonts w:ascii="宋体" w:hAnsi="宋体" w:cs="宋体" w:eastAsia="宋体" w:hint="default"/>
                <w:spacing w:val="-60"/>
                <w:sz w:val="18"/>
                <w:szCs w:val="18"/>
              </w:rPr>
              <w:t> </w:t>
            </w:r>
            <w:r>
              <w:rPr>
                <w:rFonts w:ascii="宋体" w:hAnsi="宋体" w:cs="宋体" w:eastAsia="宋体" w:hint="default"/>
                <w:sz w:val="18"/>
                <w:szCs w:val="18"/>
              </w:rPr>
              <w:t>告</w:t>
            </w:r>
            <w:r>
              <w:rPr>
                <w:rFonts w:ascii="宋体" w:hAnsi="宋体" w:cs="宋体" w:eastAsia="宋体" w:hint="default"/>
                <w:spacing w:val="-60"/>
                <w:sz w:val="18"/>
                <w:szCs w:val="18"/>
              </w:rPr>
              <w:t> </w:t>
            </w:r>
            <w:r>
              <w:rPr>
                <w:rFonts w:ascii="宋体" w:hAnsi="宋体" w:cs="宋体" w:eastAsia="宋体" w:hint="default"/>
                <w:sz w:val="18"/>
                <w:szCs w:val="18"/>
              </w:rPr>
              <w:t>起</w:t>
            </w:r>
            <w:r>
              <w:rPr>
                <w:rFonts w:ascii="宋体" w:hAnsi="宋体" w:cs="宋体" w:eastAsia="宋体" w:hint="default"/>
                <w:spacing w:val="-57"/>
                <w:sz w:val="18"/>
                <w:szCs w:val="18"/>
              </w:rPr>
              <w:t> </w:t>
            </w:r>
            <w:r>
              <w:rPr>
                <w:rFonts w:ascii="宋体" w:hAnsi="宋体" w:cs="宋体" w:eastAsia="宋体" w:hint="default"/>
                <w:sz w:val="18"/>
                <w:szCs w:val="18"/>
              </w:rPr>
              <w:t>诉</w:t>
            </w:r>
            <w:r>
              <w:rPr>
                <w:rFonts w:ascii="宋体" w:hAnsi="宋体" w:cs="宋体" w:eastAsia="宋体" w:hint="default"/>
                <w:spacing w:val="-60"/>
                <w:sz w:val="18"/>
                <w:szCs w:val="18"/>
              </w:rPr>
              <w:t> </w:t>
            </w:r>
            <w:r>
              <w:rPr>
                <w:rFonts w:ascii="宋体" w:hAnsi="宋体" w:cs="宋体" w:eastAsia="宋体" w:hint="default"/>
                <w:sz w:val="18"/>
                <w:szCs w:val="18"/>
              </w:rPr>
              <w:t>金</w:t>
            </w:r>
            <w:r>
              <w:rPr>
                <w:rFonts w:ascii="宋体" w:hAnsi="宋体" w:cs="宋体" w:eastAsia="宋体" w:hint="default"/>
                <w:sz w:val="18"/>
                <w:szCs w:val="18"/>
              </w:rPr>
              <w:t> 额未明确</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319" w:lineRule="auto"/>
              <w:ind w:left="23" w:right="17"/>
              <w:jc w:val="both"/>
              <w:rPr>
                <w:rFonts w:ascii="宋体" w:hAnsi="宋体" w:cs="宋体" w:eastAsia="宋体" w:hint="default"/>
                <w:sz w:val="18"/>
                <w:szCs w:val="18"/>
              </w:rPr>
            </w:pPr>
            <w:r>
              <w:rPr>
                <w:rFonts w:ascii="宋体" w:hAnsi="宋体" w:cs="宋体" w:eastAsia="宋体" w:hint="default"/>
                <w:sz w:val="18"/>
                <w:szCs w:val="18"/>
              </w:rPr>
              <w:t>已达成和解， 原</w:t>
            </w:r>
            <w:r>
              <w:rPr>
                <w:rFonts w:ascii="宋体" w:hAnsi="宋体" w:cs="宋体" w:eastAsia="宋体" w:hint="default"/>
                <w:spacing w:val="-45"/>
                <w:sz w:val="18"/>
                <w:szCs w:val="18"/>
              </w:rPr>
              <w:t> </w:t>
            </w:r>
            <w:r>
              <w:rPr>
                <w:rFonts w:ascii="宋体" w:hAnsi="宋体" w:cs="宋体" w:eastAsia="宋体" w:hint="default"/>
                <w:sz w:val="18"/>
                <w:szCs w:val="18"/>
              </w:rPr>
              <w:t>被</w:t>
            </w:r>
            <w:r>
              <w:rPr>
                <w:rFonts w:ascii="宋体" w:hAnsi="宋体" w:cs="宋体" w:eastAsia="宋体" w:hint="default"/>
                <w:spacing w:val="-45"/>
                <w:sz w:val="18"/>
                <w:szCs w:val="18"/>
              </w:rPr>
              <w:t> </w:t>
            </w:r>
            <w:r>
              <w:rPr>
                <w:rFonts w:ascii="宋体" w:hAnsi="宋体" w:cs="宋体" w:eastAsia="宋体" w:hint="default"/>
                <w:sz w:val="18"/>
                <w:szCs w:val="18"/>
              </w:rPr>
              <w:t>告</w:t>
            </w:r>
            <w:r>
              <w:rPr>
                <w:rFonts w:ascii="宋体" w:hAnsi="宋体" w:cs="宋体" w:eastAsia="宋体" w:hint="default"/>
                <w:spacing w:val="-47"/>
                <w:sz w:val="18"/>
                <w:szCs w:val="18"/>
              </w:rPr>
              <w:t> </w:t>
            </w:r>
            <w:r>
              <w:rPr>
                <w:rFonts w:ascii="宋体" w:hAnsi="宋体" w:cs="宋体" w:eastAsia="宋体" w:hint="default"/>
                <w:sz w:val="18"/>
                <w:szCs w:val="18"/>
              </w:rPr>
              <w:t>双</w:t>
            </w:r>
            <w:r>
              <w:rPr>
                <w:rFonts w:ascii="宋体" w:hAnsi="宋体" w:cs="宋体" w:eastAsia="宋体" w:hint="default"/>
                <w:spacing w:val="-45"/>
                <w:sz w:val="18"/>
                <w:szCs w:val="18"/>
              </w:rPr>
              <w:t> </w:t>
            </w:r>
            <w:r>
              <w:rPr>
                <w:rFonts w:ascii="宋体" w:hAnsi="宋体" w:cs="宋体" w:eastAsia="宋体" w:hint="default"/>
                <w:sz w:val="18"/>
                <w:szCs w:val="18"/>
              </w:rPr>
              <w:t>方</w:t>
            </w:r>
            <w:r>
              <w:rPr>
                <w:rFonts w:ascii="宋体" w:hAnsi="宋体" w:cs="宋体" w:eastAsia="宋体" w:hint="default"/>
                <w:sz w:val="18"/>
                <w:szCs w:val="18"/>
              </w:rPr>
              <w:t> 撤诉</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304" w:lineRule="auto"/>
              <w:ind w:left="24" w:right="-3"/>
              <w:jc w:val="both"/>
              <w:rPr>
                <w:rFonts w:ascii="宋体" w:hAnsi="宋体" w:cs="宋体" w:eastAsia="宋体" w:hint="default"/>
                <w:sz w:val="18"/>
                <w:szCs w:val="18"/>
              </w:rPr>
            </w:pPr>
            <w:r>
              <w:rPr>
                <w:rFonts w:ascii="宋体" w:hAnsi="宋体" w:cs="宋体" w:eastAsia="宋体" w:hint="default"/>
                <w:spacing w:val="-8"/>
                <w:sz w:val="18"/>
                <w:szCs w:val="18"/>
              </w:rPr>
              <w:t>根据《和解协议》</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年支付原告 </w:t>
            </w:r>
            <w:r>
              <w:rPr>
                <w:rFonts w:ascii="宋体" w:hAnsi="宋体" w:cs="宋体" w:eastAsia="宋体" w:hint="default"/>
                <w:spacing w:val="18"/>
                <w:sz w:val="18"/>
                <w:szCs w:val="18"/>
              </w:rPr>
              <w:t>方的费用低于公司</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8"/>
                <w:sz w:val="18"/>
                <w:szCs w:val="18"/>
              </w:rPr>
              <w:t> </w:t>
            </w:r>
            <w:r>
              <w:rPr>
                <w:rFonts w:ascii="宋体" w:hAnsi="宋体" w:cs="宋体" w:eastAsia="宋体" w:hint="default"/>
                <w:spacing w:val="9"/>
                <w:sz w:val="18"/>
                <w:szCs w:val="18"/>
              </w:rPr>
              <w:t>年利润总额的</w:t>
            </w:r>
            <w:r>
              <w:rPr>
                <w:rFonts w:ascii="宋体" w:hAnsi="宋体" w:cs="宋体" w:eastAsia="宋体" w:hint="default"/>
                <w:sz w:val="18"/>
                <w:szCs w:val="18"/>
              </w:rPr>
            </w:r>
          </w:p>
          <w:p>
            <w:pPr>
              <w:pStyle w:val="TableParagraph"/>
              <w:spacing w:line="240" w:lineRule="auto" w:before="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w:t>
            </w:r>
          </w:p>
          <w:p>
            <w:pPr>
              <w:pStyle w:val="TableParagraph"/>
              <w:spacing w:line="316" w:lineRule="auto" w:before="63"/>
              <w:ind w:left="24" w:right="-3"/>
              <w:jc w:val="both"/>
              <w:rPr>
                <w:rFonts w:ascii="宋体" w:hAnsi="宋体" w:cs="宋体" w:eastAsia="宋体" w:hint="default"/>
                <w:sz w:val="18"/>
                <w:szCs w:val="18"/>
              </w:rPr>
            </w:pPr>
            <w:r>
              <w:rPr>
                <w:rFonts w:ascii="宋体" w:hAnsi="宋体" w:cs="宋体" w:eastAsia="宋体" w:hint="default"/>
                <w:spacing w:val="18"/>
                <w:sz w:val="18"/>
                <w:szCs w:val="18"/>
              </w:rPr>
              <w:t>预计每年支付原告</w:t>
            </w:r>
            <w:r>
              <w:rPr>
                <w:rFonts w:ascii="宋体" w:hAnsi="宋体" w:cs="宋体" w:eastAsia="宋体" w:hint="default"/>
                <w:spacing w:val="-88"/>
                <w:sz w:val="18"/>
                <w:szCs w:val="18"/>
              </w:rPr>
              <w:t> </w:t>
            </w:r>
            <w:r>
              <w:rPr>
                <w:rFonts w:ascii="宋体" w:hAnsi="宋体" w:cs="宋体" w:eastAsia="宋体" w:hint="default"/>
                <w:spacing w:val="18"/>
                <w:sz w:val="18"/>
                <w:szCs w:val="18"/>
              </w:rPr>
              <w:t>方的费用低于公司</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8"/>
                <w:sz w:val="18"/>
                <w:szCs w:val="18"/>
              </w:rPr>
              <w:t> </w:t>
            </w:r>
            <w:r>
              <w:rPr>
                <w:rFonts w:ascii="宋体" w:hAnsi="宋体" w:cs="宋体" w:eastAsia="宋体" w:hint="default"/>
                <w:spacing w:val="9"/>
                <w:sz w:val="18"/>
                <w:szCs w:val="18"/>
              </w:rPr>
              <w:t>年利润总额的</w:t>
            </w:r>
            <w:r>
              <w:rPr>
                <w:rFonts w:ascii="宋体" w:hAnsi="宋体" w:cs="宋体" w:eastAsia="宋体" w:hint="default"/>
                <w:sz w:val="18"/>
                <w:szCs w:val="18"/>
              </w:rPr>
            </w:r>
          </w:p>
          <w:p>
            <w:pPr>
              <w:pStyle w:val="TableParagraph"/>
              <w:spacing w:line="240" w:lineRule="auto" w:before="41"/>
              <w:ind w:left="24" w:right="0"/>
              <w:jc w:val="both"/>
              <w:rPr>
                <w:rFonts w:ascii="Times New Roman" w:hAnsi="Times New Roman" w:cs="Times New Roman" w:eastAsia="Times New Roman" w:hint="default"/>
                <w:sz w:val="18"/>
                <w:szCs w:val="18"/>
              </w:rPr>
            </w:pPr>
            <w:r>
              <w:rPr>
                <w:rFonts w:ascii="Times New Roman"/>
                <w:sz w:val="18"/>
              </w:rPr>
              <w:t>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316" w:lineRule="auto"/>
              <w:ind w:left="26" w:right="-5"/>
              <w:jc w:val="left"/>
              <w:rPr>
                <w:rFonts w:ascii="宋体" w:hAnsi="宋体" w:cs="宋体" w:eastAsia="宋体" w:hint="default"/>
                <w:sz w:val="18"/>
                <w:szCs w:val="18"/>
              </w:rPr>
            </w:pPr>
            <w:r>
              <w:rPr>
                <w:rFonts w:ascii="宋体" w:hAnsi="宋体" w:cs="宋体" w:eastAsia="宋体" w:hint="default"/>
                <w:spacing w:val="19"/>
                <w:sz w:val="18"/>
                <w:szCs w:val="18"/>
              </w:rPr>
              <w:t>公司已支付</w:t>
            </w:r>
            <w:r>
              <w:rPr>
                <w:rFonts w:ascii="宋体" w:hAnsi="宋体" w:cs="宋体" w:eastAsia="宋体" w:hint="default"/>
                <w:spacing w:val="-66"/>
                <w:sz w:val="18"/>
                <w:szCs w:val="18"/>
              </w:rPr>
              <w:t> </w:t>
            </w:r>
            <w:r>
              <w:rPr>
                <w:rFonts w:ascii="宋体" w:hAnsi="宋体" w:cs="宋体" w:eastAsia="宋体" w:hint="default"/>
                <w:sz w:val="18"/>
                <w:szCs w:val="18"/>
              </w:rPr>
              <w:t>完毕</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319" w:lineRule="auto"/>
              <w:ind w:left="23" w:right="18"/>
              <w:jc w:val="both"/>
              <w:rPr>
                <w:rFonts w:ascii="宋体" w:hAnsi="宋体" w:cs="宋体" w:eastAsia="宋体" w:hint="default"/>
                <w:sz w:val="18"/>
                <w:szCs w:val="18"/>
              </w:rPr>
            </w:pPr>
            <w:r>
              <w:rPr>
                <w:rFonts w:ascii="宋体" w:hAnsi="宋体" w:cs="宋体" w:eastAsia="宋体" w:hint="default"/>
                <w:spacing w:val="8"/>
                <w:sz w:val="18"/>
                <w:szCs w:val="18"/>
              </w:rPr>
              <w:t>深圳华大基因股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份有限公司创业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板首次公开发行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股票招股说明书</w:t>
            </w:r>
          </w:p>
          <w:p>
            <w:pPr>
              <w:pStyle w:val="TableParagraph"/>
              <w:spacing w:line="357" w:lineRule="auto" w:before="17"/>
              <w:ind w:left="23"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http://www.csr</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c.gov.cn/pub/zjhp</w:t>
            </w:r>
            <w:r>
              <w:rPr>
                <w:rFonts w:ascii="Times New Roman" w:hAnsi="Times New Roman" w:cs="Times New Roman" w:eastAsia="Times New Roman" w:hint="default"/>
                <w:sz w:val="18"/>
                <w:szCs w:val="18"/>
              </w:rPr>
              <w:t> ublic/G00306202/ 201703/t2017031</w:t>
            </w:r>
          </w:p>
          <w:p>
            <w:pPr>
              <w:pStyle w:val="TableParagraph"/>
              <w:spacing w:line="214"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4_313596.htm</w:t>
            </w:r>
            <w:r>
              <w:rPr>
                <w:rFonts w:ascii="宋体" w:hAnsi="宋体" w:cs="宋体" w:eastAsia="宋体" w:hint="default"/>
                <w:sz w:val="18"/>
                <w:szCs w:val="18"/>
              </w:rPr>
              <w:t>）</w:t>
            </w:r>
          </w:p>
        </w:tc>
      </w:tr>
      <w:tr>
        <w:trPr>
          <w:trHeight w:val="3430"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312" w:lineRule="auto"/>
              <w:ind w:left="24"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Hou Gerad</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Sophie</w:t>
            </w:r>
            <w:r>
              <w:rPr>
                <w:rFonts w:ascii="Times New Roman" w:hAnsi="Times New Roman" w:cs="Times New Roman" w:eastAsia="Times New Roman" w:hint="default"/>
                <w:sz w:val="18"/>
                <w:szCs w:val="18"/>
              </w:rPr>
              <w:t> Lorraine</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诉深圳临 </w:t>
            </w:r>
            <w:r>
              <w:rPr>
                <w:rFonts w:ascii="宋体" w:hAnsi="宋体" w:cs="宋体" w:eastAsia="宋体" w:hint="default"/>
                <w:spacing w:val="-6"/>
                <w:sz w:val="18"/>
                <w:szCs w:val="18"/>
              </w:rPr>
              <w:t>检、香港医学医疗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损害案件</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319" w:lineRule="auto"/>
              <w:ind w:left="23" w:right="22"/>
              <w:jc w:val="left"/>
              <w:rPr>
                <w:rFonts w:ascii="宋体" w:hAnsi="宋体" w:cs="宋体" w:eastAsia="宋体" w:hint="default"/>
                <w:sz w:val="18"/>
                <w:szCs w:val="18"/>
              </w:rPr>
            </w:pPr>
            <w:r>
              <w:rPr>
                <w:rFonts w:ascii="宋体" w:hAnsi="宋体" w:cs="宋体" w:eastAsia="宋体" w:hint="default"/>
                <w:sz w:val="18"/>
                <w:szCs w:val="18"/>
              </w:rPr>
              <w:t>原</w:t>
            </w:r>
            <w:r>
              <w:rPr>
                <w:rFonts w:ascii="宋体" w:hAnsi="宋体" w:cs="宋体" w:eastAsia="宋体" w:hint="default"/>
                <w:spacing w:val="-60"/>
                <w:sz w:val="18"/>
                <w:szCs w:val="18"/>
              </w:rPr>
              <w:t> </w:t>
            </w:r>
            <w:r>
              <w:rPr>
                <w:rFonts w:ascii="宋体" w:hAnsi="宋体" w:cs="宋体" w:eastAsia="宋体" w:hint="default"/>
                <w:sz w:val="18"/>
                <w:szCs w:val="18"/>
              </w:rPr>
              <w:t>告</w:t>
            </w:r>
            <w:r>
              <w:rPr>
                <w:rFonts w:ascii="宋体" w:hAnsi="宋体" w:cs="宋体" w:eastAsia="宋体" w:hint="default"/>
                <w:spacing w:val="-60"/>
                <w:sz w:val="18"/>
                <w:szCs w:val="18"/>
              </w:rPr>
              <w:t> </w:t>
            </w:r>
            <w:r>
              <w:rPr>
                <w:rFonts w:ascii="宋体" w:hAnsi="宋体" w:cs="宋体" w:eastAsia="宋体" w:hint="default"/>
                <w:sz w:val="18"/>
                <w:szCs w:val="18"/>
              </w:rPr>
              <w:t>起</w:t>
            </w:r>
            <w:r>
              <w:rPr>
                <w:rFonts w:ascii="宋体" w:hAnsi="宋体" w:cs="宋体" w:eastAsia="宋体" w:hint="default"/>
                <w:spacing w:val="-57"/>
                <w:sz w:val="18"/>
                <w:szCs w:val="18"/>
              </w:rPr>
              <w:t> </w:t>
            </w:r>
            <w:r>
              <w:rPr>
                <w:rFonts w:ascii="宋体" w:hAnsi="宋体" w:cs="宋体" w:eastAsia="宋体" w:hint="default"/>
                <w:sz w:val="18"/>
                <w:szCs w:val="18"/>
              </w:rPr>
              <w:t>诉</w:t>
            </w:r>
            <w:r>
              <w:rPr>
                <w:rFonts w:ascii="宋体" w:hAnsi="宋体" w:cs="宋体" w:eastAsia="宋体" w:hint="default"/>
                <w:spacing w:val="-60"/>
                <w:sz w:val="18"/>
                <w:szCs w:val="18"/>
              </w:rPr>
              <w:t> </w:t>
            </w:r>
            <w:r>
              <w:rPr>
                <w:rFonts w:ascii="宋体" w:hAnsi="宋体" w:cs="宋体" w:eastAsia="宋体" w:hint="default"/>
                <w:sz w:val="18"/>
                <w:szCs w:val="18"/>
              </w:rPr>
              <w:t>金</w:t>
            </w:r>
            <w:r>
              <w:rPr>
                <w:rFonts w:ascii="宋体" w:hAnsi="宋体" w:cs="宋体" w:eastAsia="宋体" w:hint="default"/>
                <w:sz w:val="18"/>
                <w:szCs w:val="18"/>
              </w:rPr>
              <w:t> 额未明确</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319" w:lineRule="auto"/>
              <w:ind w:left="23" w:right="17"/>
              <w:jc w:val="both"/>
              <w:rPr>
                <w:rFonts w:ascii="宋体" w:hAnsi="宋体" w:cs="宋体" w:eastAsia="宋体" w:hint="default"/>
                <w:sz w:val="18"/>
                <w:szCs w:val="18"/>
              </w:rPr>
            </w:pPr>
            <w:r>
              <w:rPr>
                <w:rFonts w:ascii="宋体" w:hAnsi="宋体" w:cs="宋体" w:eastAsia="宋体" w:hint="default"/>
                <w:sz w:val="18"/>
                <w:szCs w:val="18"/>
              </w:rPr>
              <w:t>已达成和解， 原</w:t>
            </w:r>
            <w:r>
              <w:rPr>
                <w:rFonts w:ascii="宋体" w:hAnsi="宋体" w:cs="宋体" w:eastAsia="宋体" w:hint="default"/>
                <w:spacing w:val="-45"/>
                <w:sz w:val="18"/>
                <w:szCs w:val="18"/>
              </w:rPr>
              <w:t> </w:t>
            </w:r>
            <w:r>
              <w:rPr>
                <w:rFonts w:ascii="宋体" w:hAnsi="宋体" w:cs="宋体" w:eastAsia="宋体" w:hint="default"/>
                <w:sz w:val="18"/>
                <w:szCs w:val="18"/>
              </w:rPr>
              <w:t>被</w:t>
            </w:r>
            <w:r>
              <w:rPr>
                <w:rFonts w:ascii="宋体" w:hAnsi="宋体" w:cs="宋体" w:eastAsia="宋体" w:hint="default"/>
                <w:spacing w:val="-45"/>
                <w:sz w:val="18"/>
                <w:szCs w:val="18"/>
              </w:rPr>
              <w:t> </w:t>
            </w:r>
            <w:r>
              <w:rPr>
                <w:rFonts w:ascii="宋体" w:hAnsi="宋体" w:cs="宋体" w:eastAsia="宋体" w:hint="default"/>
                <w:sz w:val="18"/>
                <w:szCs w:val="18"/>
              </w:rPr>
              <w:t>告</w:t>
            </w:r>
            <w:r>
              <w:rPr>
                <w:rFonts w:ascii="宋体" w:hAnsi="宋体" w:cs="宋体" w:eastAsia="宋体" w:hint="default"/>
                <w:spacing w:val="-47"/>
                <w:sz w:val="18"/>
                <w:szCs w:val="18"/>
              </w:rPr>
              <w:t> </w:t>
            </w:r>
            <w:r>
              <w:rPr>
                <w:rFonts w:ascii="宋体" w:hAnsi="宋体" w:cs="宋体" w:eastAsia="宋体" w:hint="default"/>
                <w:sz w:val="18"/>
                <w:szCs w:val="18"/>
              </w:rPr>
              <w:t>双</w:t>
            </w:r>
            <w:r>
              <w:rPr>
                <w:rFonts w:ascii="宋体" w:hAnsi="宋体" w:cs="宋体" w:eastAsia="宋体" w:hint="default"/>
                <w:spacing w:val="-45"/>
                <w:sz w:val="18"/>
                <w:szCs w:val="18"/>
              </w:rPr>
              <w:t> </w:t>
            </w:r>
            <w:r>
              <w:rPr>
                <w:rFonts w:ascii="宋体" w:hAnsi="宋体" w:cs="宋体" w:eastAsia="宋体" w:hint="default"/>
                <w:sz w:val="18"/>
                <w:szCs w:val="18"/>
              </w:rPr>
              <w:t>方</w:t>
            </w:r>
            <w:r>
              <w:rPr>
                <w:rFonts w:ascii="宋体" w:hAnsi="宋体" w:cs="宋体" w:eastAsia="宋体" w:hint="default"/>
                <w:sz w:val="18"/>
                <w:szCs w:val="18"/>
              </w:rPr>
              <w:t> 撤诉</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300"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16"/>
                <w:sz w:val="18"/>
                <w:szCs w:val="18"/>
              </w:rPr>
              <w:t>月，各方达</w:t>
            </w:r>
            <w:r>
              <w:rPr>
                <w:rFonts w:ascii="宋体" w:hAnsi="宋体" w:cs="宋体" w:eastAsia="宋体" w:hint="default"/>
                <w:sz w:val="18"/>
                <w:szCs w:val="18"/>
              </w:rPr>
              <w:t> 成和解</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319" w:lineRule="auto"/>
              <w:ind w:left="26" w:right="-5"/>
              <w:jc w:val="both"/>
              <w:rPr>
                <w:rFonts w:ascii="宋体" w:hAnsi="宋体" w:cs="宋体" w:eastAsia="宋体" w:hint="default"/>
                <w:sz w:val="18"/>
                <w:szCs w:val="18"/>
              </w:rPr>
            </w:pPr>
            <w:r>
              <w:rPr>
                <w:rFonts w:ascii="宋体" w:hAnsi="宋体" w:cs="宋体" w:eastAsia="宋体" w:hint="default"/>
                <w:spacing w:val="19"/>
                <w:sz w:val="18"/>
                <w:szCs w:val="18"/>
              </w:rPr>
              <w:t>双方达成和</w:t>
            </w:r>
            <w:r>
              <w:rPr>
                <w:rFonts w:ascii="宋体" w:hAnsi="宋体" w:cs="宋体" w:eastAsia="宋体" w:hint="default"/>
                <w:spacing w:val="-66"/>
                <w:sz w:val="18"/>
                <w:szCs w:val="18"/>
              </w:rPr>
              <w:t> </w:t>
            </w:r>
            <w:r>
              <w:rPr>
                <w:rFonts w:ascii="宋体" w:hAnsi="宋体" w:cs="宋体" w:eastAsia="宋体" w:hint="default"/>
                <w:spacing w:val="-15"/>
                <w:sz w:val="18"/>
                <w:szCs w:val="18"/>
              </w:rPr>
              <w:t>解，并履行完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毕。</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319" w:lineRule="auto"/>
              <w:ind w:left="23" w:right="18"/>
              <w:jc w:val="both"/>
              <w:rPr>
                <w:rFonts w:ascii="宋体" w:hAnsi="宋体" w:cs="宋体" w:eastAsia="宋体" w:hint="default"/>
                <w:sz w:val="18"/>
                <w:szCs w:val="18"/>
              </w:rPr>
            </w:pPr>
            <w:r>
              <w:rPr>
                <w:rFonts w:ascii="宋体" w:hAnsi="宋体" w:cs="宋体" w:eastAsia="宋体" w:hint="default"/>
                <w:spacing w:val="8"/>
                <w:sz w:val="18"/>
                <w:szCs w:val="18"/>
              </w:rPr>
              <w:t>深圳华大基因股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份有限公司创业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板首次公开发行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股票招股说明书</w:t>
            </w:r>
          </w:p>
          <w:p>
            <w:pPr>
              <w:pStyle w:val="TableParagraph"/>
              <w:spacing w:line="357" w:lineRule="auto" w:before="17"/>
              <w:ind w:left="23"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http://www.csr</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c.gov.cn/pub/zjhp</w:t>
            </w:r>
            <w:r>
              <w:rPr>
                <w:rFonts w:ascii="Times New Roman" w:hAnsi="Times New Roman" w:cs="Times New Roman" w:eastAsia="Times New Roman" w:hint="default"/>
                <w:sz w:val="18"/>
                <w:szCs w:val="18"/>
              </w:rPr>
              <w:t> ublic/G00306202/ 201703/t2017031</w:t>
            </w:r>
          </w:p>
          <w:p>
            <w:pPr>
              <w:pStyle w:val="TableParagraph"/>
              <w:spacing w:line="214"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4_313596.htm</w:t>
            </w:r>
            <w:r>
              <w:rPr>
                <w:rFonts w:ascii="宋体" w:hAnsi="宋体" w:cs="宋体" w:eastAsia="宋体" w:hint="default"/>
                <w:sz w:val="18"/>
                <w:szCs w:val="18"/>
              </w:rPr>
              <w:t>）</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pStyle w:val="Heading2"/>
        <w:spacing w:line="240" w:lineRule="auto" w:before="26"/>
        <w:ind w:right="141"/>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after="0" w:line="340" w:lineRule="auto"/>
        <w:jc w:val="left"/>
        <w:sectPr>
          <w:pgSz w:w="11910" w:h="16840"/>
          <w:pgMar w:header="880" w:footer="974" w:top="1100" w:bottom="1160" w:left="980" w:right="980"/>
        </w:sectPr>
      </w:pPr>
    </w:p>
    <w:p>
      <w:pPr>
        <w:spacing w:line="240" w:lineRule="auto" w:before="12"/>
        <w:rPr>
          <w:rFonts w:ascii="宋体" w:hAnsi="宋体" w:cs="宋体" w:eastAsia="宋体" w:hint="default"/>
          <w:sz w:val="19"/>
          <w:szCs w:val="19"/>
        </w:rPr>
      </w:pPr>
    </w:p>
    <w:p>
      <w:pPr>
        <w:pStyle w:val="Heading2"/>
        <w:spacing w:line="240" w:lineRule="auto" w:before="26"/>
        <w:ind w:right="141"/>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28" w:lineRule="auto"/>
        <w:ind w:right="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报告期内，公司及其控股股东、实际控制人的诚信状况良好，不存在未履行法院生效判决、所负数额较大的债务到期未清 偿等情况。</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Heading2"/>
        <w:spacing w:line="240" w:lineRule="auto"/>
        <w:ind w:right="141"/>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3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after="0" w:line="338" w:lineRule="auto"/>
        <w:jc w:val="left"/>
        <w:sectPr>
          <w:pgSz w:w="11910" w:h="16840"/>
          <w:pgMar w:header="880" w:footer="974" w:top="1100" w:bottom="1160" w:left="980" w:right="980"/>
        </w:sectPr>
      </w:pPr>
    </w:p>
    <w:p>
      <w:pPr>
        <w:spacing w:line="240" w:lineRule="auto" w:before="3"/>
        <w:rPr>
          <w:rFonts w:ascii="宋体" w:hAnsi="宋体" w:cs="宋体" w:eastAsia="宋体" w:hint="default"/>
          <w:sz w:val="22"/>
          <w:szCs w:val="22"/>
        </w:rPr>
      </w:pPr>
    </w:p>
    <w:p>
      <w:pPr>
        <w:pStyle w:val="Heading2"/>
        <w:spacing w:line="240" w:lineRule="auto"/>
        <w:ind w:left="140" w:right="-6"/>
        <w:jc w:val="left"/>
        <w:rPr>
          <w:b w:val="0"/>
          <w:bCs w:val="0"/>
        </w:rPr>
      </w:pPr>
      <w:r>
        <w:rPr/>
        <w:pict>
          <v:group style="position:absolute;margin-left:70.559998pt;margin-top:.675608pt;width:700.95pt;height:.1pt;mso-position-horizontal-relative:page;mso-position-vertical-relative:paragraph;z-index:-1275904" coordorigin="1411,14" coordsize="14019,2">
            <v:shape style="position:absolute;left:1411;top:14;width:14019;height:2" coordorigin="1411,14" coordsize="14019,0" path="m1411,14l15430,14e" filled="false" stroked="true" strokeweight=".72pt" strokecolor="#000000">
              <v:path arrowok="t"/>
            </v:shape>
            <w10:wrap type="none"/>
          </v:group>
        </w:pict>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6"/>
        <w:jc w:val="left"/>
        <w:rPr>
          <w:b w:val="0"/>
          <w:bCs w:val="0"/>
        </w:rPr>
      </w:pPr>
      <w:r>
        <w:rPr>
          <w:rFonts w:ascii="Times New Roman" w:hAnsi="Times New Roman" w:cs="Times New Roman" w:eastAsia="Times New Roman" w:hint="default"/>
          <w:spacing w:val="-1"/>
        </w:rPr>
        <w:t>1</w:t>
      </w:r>
      <w:r>
        <w:rPr>
          <w:spacing w:val="-1"/>
        </w:rPr>
        <w:t>、与日常经营相关的关联交易</w:t>
      </w:r>
      <w:r>
        <w:rPr>
          <w:b w:val="0"/>
          <w:bCs w:val="0"/>
          <w:spacing w:val="-1"/>
        </w:rPr>
      </w:r>
    </w:p>
    <w:p>
      <w:pPr>
        <w:spacing w:line="240" w:lineRule="auto" w:before="7"/>
        <w:rPr>
          <w:rFonts w:ascii="宋体" w:hAnsi="宋体" w:cs="宋体" w:eastAsia="宋体" w:hint="default"/>
          <w:b/>
          <w:bCs/>
          <w:sz w:val="26"/>
          <w:szCs w:val="26"/>
        </w:rPr>
      </w:pPr>
    </w:p>
    <w:p>
      <w:pPr>
        <w:pStyle w:val="BodyText"/>
        <w:spacing w:line="240" w:lineRule="auto"/>
        <w:ind w:left="140" w:right="-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17"/>
        <w:ind w:left="140" w:right="0"/>
        <w:jc w:val="left"/>
      </w:pPr>
      <w:r>
        <w:rPr/>
        <w:br w:type="column"/>
      </w:r>
      <w:r>
        <w:rPr/>
        <w:t>深圳华大基因股份有限公司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33"/>
          <w:footerReference w:type="default" r:id="rId34"/>
          <w:pgSz w:w="16840" w:h="11910" w:orient="landscape"/>
          <w:pgMar w:header="0" w:footer="0" w:top="800" w:bottom="280" w:left="1300" w:right="1300"/>
          <w:cols w:num="2" w:equalWidth="0">
            <w:col w:w="2987" w:space="7102"/>
            <w:col w:w="4151"/>
          </w:cols>
        </w:sectPr>
      </w:pPr>
    </w:p>
    <w:p>
      <w:pPr>
        <w:spacing w:line="240" w:lineRule="auto" w:before="12"/>
        <w:rPr>
          <w:rFonts w:ascii="宋体" w:hAnsi="宋体" w:cs="宋体" w:eastAsia="宋体" w:hint="default"/>
          <w:sz w:val="6"/>
          <w:szCs w:val="6"/>
        </w:rPr>
      </w:pPr>
    </w:p>
    <w:tbl>
      <w:tblPr>
        <w:tblW w:w="0" w:type="auto"/>
        <w:jc w:val="left"/>
        <w:tblInd w:w="168" w:type="dxa"/>
        <w:tblLayout w:type="fixed"/>
        <w:tblCellMar>
          <w:top w:w="0" w:type="dxa"/>
          <w:left w:w="0" w:type="dxa"/>
          <w:bottom w:w="0" w:type="dxa"/>
          <w:right w:w="0" w:type="dxa"/>
        </w:tblCellMar>
        <w:tblLook w:val="01E0"/>
      </w:tblPr>
      <w:tblGrid>
        <w:gridCol w:w="660"/>
        <w:gridCol w:w="1042"/>
        <w:gridCol w:w="430"/>
        <w:gridCol w:w="427"/>
        <w:gridCol w:w="504"/>
        <w:gridCol w:w="430"/>
        <w:gridCol w:w="1006"/>
        <w:gridCol w:w="878"/>
        <w:gridCol w:w="1044"/>
        <w:gridCol w:w="507"/>
        <w:gridCol w:w="504"/>
        <w:gridCol w:w="758"/>
        <w:gridCol w:w="1133"/>
        <w:gridCol w:w="4599"/>
      </w:tblGrid>
      <w:tr>
        <w:trPr>
          <w:trHeight w:val="1340" w:hRule="exact"/>
        </w:trPr>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43" w:right="57" w:hanging="92"/>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9"/>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9"/>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9"/>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5" w:right="48"/>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4" w:right="72"/>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7"/>
              <w:jc w:val="center"/>
              <w:rPr>
                <w:rFonts w:ascii="宋体" w:hAnsi="宋体" w:cs="宋体" w:eastAsia="宋体" w:hint="default"/>
                <w:sz w:val="18"/>
                <w:szCs w:val="18"/>
              </w:rPr>
            </w:pPr>
            <w:r>
              <w:rPr>
                <w:rFonts w:ascii="宋体" w:hAnsi="宋体" w:cs="宋体" w:eastAsia="宋体" w:hint="default"/>
                <w:sz w:val="18"/>
                <w:szCs w:val="18"/>
              </w:rPr>
              <w:t>获批的交易 额度（万 元）</w:t>
            </w:r>
          </w:p>
        </w:tc>
        <w:tc>
          <w:tcPr>
            <w:tcW w:w="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7" w:right="69"/>
              <w:jc w:val="both"/>
              <w:rPr>
                <w:rFonts w:ascii="宋体" w:hAnsi="宋体" w:cs="宋体" w:eastAsia="宋体" w:hint="default"/>
                <w:sz w:val="18"/>
                <w:szCs w:val="18"/>
              </w:rPr>
            </w:pPr>
            <w:r>
              <w:rPr>
                <w:rFonts w:ascii="宋体" w:hAnsi="宋体" w:cs="宋体" w:eastAsia="宋体" w:hint="default"/>
                <w:sz w:val="18"/>
                <w:szCs w:val="18"/>
              </w:rPr>
              <w:t>是否 超过 获批 额度</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4" w:right="67"/>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5" w:right="10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4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49"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 w:right="87"/>
              <w:jc w:val="both"/>
              <w:rPr>
                <w:rFonts w:ascii="宋体" w:hAnsi="宋体" w:cs="宋体" w:eastAsia="宋体" w:hint="default"/>
                <w:sz w:val="18"/>
                <w:szCs w:val="18"/>
              </w:rPr>
            </w:pPr>
            <w:r>
              <w:rPr>
                <w:rFonts w:ascii="宋体" w:hAnsi="宋体" w:cs="宋体" w:eastAsia="宋体" w:hint="default"/>
                <w:sz w:val="18"/>
                <w:szCs w:val="18"/>
              </w:rPr>
              <w:t>深圳华 大智造 科技有 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08"/>
              <w:jc w:val="both"/>
              <w:rPr>
                <w:rFonts w:ascii="宋体" w:hAnsi="宋体" w:cs="宋体" w:eastAsia="宋体" w:hint="default"/>
                <w:sz w:val="18"/>
                <w:szCs w:val="18"/>
              </w:rPr>
            </w:pPr>
            <w:r>
              <w:rPr>
                <w:rFonts w:ascii="宋体" w:hAnsi="宋体" w:cs="宋体" w:eastAsia="宋体" w:hint="default"/>
                <w:sz w:val="18"/>
                <w:szCs w:val="18"/>
              </w:rPr>
              <w:t>同受最终控 股股东深圳 华大基因科 技有限公司 控制</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35"/>
              <w:jc w:val="both"/>
              <w:rPr>
                <w:rFonts w:ascii="宋体" w:hAnsi="宋体" w:cs="宋体" w:eastAsia="宋体" w:hint="default"/>
                <w:sz w:val="18"/>
                <w:szCs w:val="18"/>
              </w:rPr>
            </w:pPr>
            <w:r>
              <w:rPr>
                <w:rFonts w:ascii="宋体" w:hAnsi="宋体" w:cs="宋体" w:eastAsia="宋体" w:hint="default"/>
                <w:sz w:val="18"/>
                <w:szCs w:val="18"/>
              </w:rPr>
              <w:t>采购 固定 资产</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35"/>
              <w:jc w:val="both"/>
              <w:rPr>
                <w:rFonts w:ascii="宋体" w:hAnsi="宋体" w:cs="宋体" w:eastAsia="宋体" w:hint="default"/>
                <w:sz w:val="18"/>
                <w:szCs w:val="18"/>
              </w:rPr>
            </w:pPr>
            <w:r>
              <w:rPr>
                <w:rFonts w:ascii="宋体" w:hAnsi="宋体" w:cs="宋体" w:eastAsia="宋体" w:hint="default"/>
                <w:sz w:val="18"/>
                <w:szCs w:val="18"/>
              </w:rPr>
              <w:t>测序 仪组 件</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成本 加成</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34"/>
              <w:jc w:val="left"/>
              <w:rPr>
                <w:rFonts w:ascii="宋体" w:hAnsi="宋体" w:cs="宋体" w:eastAsia="宋体" w:hint="default"/>
                <w:sz w:val="18"/>
                <w:szCs w:val="18"/>
              </w:rPr>
            </w:pPr>
            <w:r>
              <w:rPr>
                <w:rFonts w:ascii="宋体" w:hAnsi="宋体" w:cs="宋体" w:eastAsia="宋体" w:hint="default"/>
                <w:sz w:val="18"/>
                <w:szCs w:val="18"/>
              </w:rPr>
              <w:t>成本 加成</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21,053.66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23.34%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110"/>
              <w:jc w:val="both"/>
              <w:rPr>
                <w:rFonts w:ascii="宋体" w:hAnsi="宋体" w:cs="宋体" w:eastAsia="宋体" w:hint="default"/>
                <w:sz w:val="18"/>
                <w:szCs w:val="18"/>
              </w:rPr>
            </w:pPr>
            <w:r>
              <w:rPr>
                <w:rFonts w:ascii="宋体" w:hAnsi="宋体" w:cs="宋体" w:eastAsia="宋体" w:hint="default"/>
                <w:sz w:val="18"/>
                <w:szCs w:val="18"/>
              </w:rPr>
              <w:t>按协 议结 算</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3" w:right="60"/>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w:t>
            </w:r>
            <w:r>
              <w:rPr>
                <w:rFonts w:ascii="宋体" w:hAnsi="宋体" w:cs="宋体" w:eastAsia="宋体" w:hint="default"/>
                <w:sz w:val="18"/>
                <w:szCs w:val="18"/>
              </w:rPr>
              <w:t>《关于增加</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年度预计 </w:t>
            </w:r>
            <w:r>
              <w:rPr>
                <w:rFonts w:ascii="宋体" w:hAnsi="宋体" w:cs="宋体" w:eastAsia="宋体" w:hint="default"/>
                <w:spacing w:val="-7"/>
                <w:sz w:val="18"/>
                <w:szCs w:val="18"/>
              </w:rPr>
              <w:t>日常关联交易额度的公告》（公告编号：</w:t>
            </w:r>
            <w:r>
              <w:rPr>
                <w:rFonts w:ascii="Times New Roman" w:hAnsi="Times New Roman" w:cs="Times New Roman" w:eastAsia="Times New Roman" w:hint="default"/>
                <w:spacing w:val="-7"/>
                <w:sz w:val="18"/>
                <w:szCs w:val="18"/>
              </w:rPr>
              <w:t>2017-019</w:t>
            </w:r>
            <w:r>
              <w:rPr>
                <w:rFonts w:ascii="宋体" w:hAnsi="宋体" w:cs="宋体" w:eastAsia="宋体" w:hint="default"/>
                <w:spacing w:val="-7"/>
                <w:sz w:val="18"/>
                <w:szCs w:val="18"/>
              </w:rPr>
              <w:t>）；巨潮</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资讯网（</w:t>
            </w:r>
            <w:r>
              <w:rPr>
                <w:rFonts w:ascii="Times New Roman" w:hAnsi="Times New Roman" w:cs="Times New Roman" w:eastAsia="Times New Roman" w:hint="default"/>
                <w:sz w:val="18"/>
                <w:szCs w:val="18"/>
              </w:rPr>
              <w:t>www.cninfo.com):</w:t>
            </w:r>
            <w:r>
              <w:rPr>
                <w:rFonts w:ascii="宋体" w:hAnsi="宋体" w:cs="宋体" w:eastAsia="宋体" w:hint="default"/>
                <w:sz w:val="18"/>
                <w:szCs w:val="18"/>
              </w:rPr>
              <w:t>《关于增加</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年度预计日常 </w:t>
            </w:r>
            <w:r>
              <w:rPr>
                <w:rFonts w:ascii="宋体" w:hAnsi="宋体" w:cs="宋体" w:eastAsia="宋体" w:hint="default"/>
                <w:spacing w:val="-4"/>
                <w:sz w:val="18"/>
                <w:szCs w:val="18"/>
              </w:rPr>
              <w:t>关联交易额度的公告》（公告编号：</w:t>
            </w:r>
            <w:r>
              <w:rPr>
                <w:rFonts w:ascii="Times New Roman" w:hAnsi="Times New Roman" w:cs="Times New Roman" w:eastAsia="Times New Roman" w:hint="default"/>
                <w:spacing w:val="-4"/>
                <w:sz w:val="18"/>
                <w:szCs w:val="18"/>
              </w:rPr>
              <w:t>2017-034</w:t>
            </w:r>
            <w:r>
              <w:rPr>
                <w:rFonts w:ascii="宋体" w:hAnsi="宋体" w:cs="宋体" w:eastAsia="宋体" w:hint="default"/>
                <w:spacing w:val="-4"/>
                <w:sz w:val="18"/>
                <w:szCs w:val="18"/>
              </w:rPr>
              <w:t>）</w:t>
            </w:r>
          </w:p>
        </w:tc>
      </w:tr>
      <w:tr>
        <w:trPr>
          <w:trHeight w:val="165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 w:right="87"/>
              <w:jc w:val="both"/>
              <w:rPr>
                <w:rFonts w:ascii="宋体" w:hAnsi="宋体" w:cs="宋体" w:eastAsia="宋体" w:hint="default"/>
                <w:sz w:val="18"/>
                <w:szCs w:val="18"/>
              </w:rPr>
            </w:pPr>
            <w:r>
              <w:rPr>
                <w:rFonts w:ascii="宋体" w:hAnsi="宋体" w:cs="宋体" w:eastAsia="宋体" w:hint="default"/>
                <w:sz w:val="18"/>
                <w:szCs w:val="18"/>
              </w:rPr>
              <w:t>深圳华 大智造 科技有 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 w:right="108"/>
              <w:jc w:val="both"/>
              <w:rPr>
                <w:rFonts w:ascii="宋体" w:hAnsi="宋体" w:cs="宋体" w:eastAsia="宋体" w:hint="default"/>
                <w:sz w:val="18"/>
                <w:szCs w:val="18"/>
              </w:rPr>
            </w:pPr>
            <w:r>
              <w:rPr>
                <w:rFonts w:ascii="宋体" w:hAnsi="宋体" w:cs="宋体" w:eastAsia="宋体" w:hint="default"/>
                <w:sz w:val="18"/>
                <w:szCs w:val="18"/>
              </w:rPr>
              <w:t>同受最终控 股股东深圳 华大基因科 技有限公司 控制</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35"/>
              <w:jc w:val="left"/>
              <w:rPr>
                <w:rFonts w:ascii="宋体" w:hAnsi="宋体" w:cs="宋体" w:eastAsia="宋体" w:hint="default"/>
                <w:sz w:val="18"/>
                <w:szCs w:val="18"/>
              </w:rPr>
            </w:pPr>
            <w:r>
              <w:rPr>
                <w:rFonts w:ascii="宋体" w:hAnsi="宋体" w:cs="宋体" w:eastAsia="宋体" w:hint="default"/>
                <w:sz w:val="18"/>
                <w:szCs w:val="18"/>
              </w:rPr>
              <w:t>采购 商品</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 w:right="35"/>
              <w:jc w:val="left"/>
              <w:rPr>
                <w:rFonts w:ascii="宋体" w:hAnsi="宋体" w:cs="宋体" w:eastAsia="宋体" w:hint="default"/>
                <w:sz w:val="18"/>
                <w:szCs w:val="18"/>
              </w:rPr>
            </w:pPr>
            <w:r>
              <w:rPr>
                <w:rFonts w:ascii="宋体" w:hAnsi="宋体" w:cs="宋体" w:eastAsia="宋体" w:hint="default"/>
                <w:sz w:val="18"/>
                <w:szCs w:val="18"/>
              </w:rPr>
              <w:t>试剂 耗材</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成本 加成</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34"/>
              <w:jc w:val="left"/>
              <w:rPr>
                <w:rFonts w:ascii="宋体" w:hAnsi="宋体" w:cs="宋体" w:eastAsia="宋体" w:hint="default"/>
                <w:sz w:val="18"/>
                <w:szCs w:val="18"/>
              </w:rPr>
            </w:pPr>
            <w:r>
              <w:rPr>
                <w:rFonts w:ascii="宋体" w:hAnsi="宋体" w:cs="宋体" w:eastAsia="宋体" w:hint="default"/>
                <w:sz w:val="18"/>
                <w:szCs w:val="18"/>
              </w:rPr>
              <w:t>成本 加成</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8,229.03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14,700.00</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1" w:right="110"/>
              <w:jc w:val="both"/>
              <w:rPr>
                <w:rFonts w:ascii="宋体" w:hAnsi="宋体" w:cs="宋体" w:eastAsia="宋体" w:hint="default"/>
                <w:sz w:val="18"/>
                <w:szCs w:val="18"/>
              </w:rPr>
            </w:pPr>
            <w:r>
              <w:rPr>
                <w:rFonts w:ascii="宋体" w:hAnsi="宋体" w:cs="宋体" w:eastAsia="宋体" w:hint="default"/>
                <w:sz w:val="18"/>
                <w:szCs w:val="18"/>
              </w:rPr>
              <w:t>按协 议结 算</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3" w:right="60"/>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w:t>
            </w:r>
            <w:r>
              <w:rPr>
                <w:rFonts w:ascii="宋体" w:hAnsi="宋体" w:cs="宋体" w:eastAsia="宋体" w:hint="default"/>
                <w:sz w:val="18"/>
                <w:szCs w:val="18"/>
              </w:rPr>
              <w:t>《关于增加</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年度预计 </w:t>
            </w:r>
            <w:r>
              <w:rPr>
                <w:rFonts w:ascii="宋体" w:hAnsi="宋体" w:cs="宋体" w:eastAsia="宋体" w:hint="default"/>
                <w:spacing w:val="-7"/>
                <w:sz w:val="18"/>
                <w:szCs w:val="18"/>
              </w:rPr>
              <w:t>日常关联交易额度的公告》（公告编号：</w:t>
            </w:r>
            <w:r>
              <w:rPr>
                <w:rFonts w:ascii="Times New Roman" w:hAnsi="Times New Roman" w:cs="Times New Roman" w:eastAsia="Times New Roman" w:hint="default"/>
                <w:spacing w:val="-7"/>
                <w:sz w:val="18"/>
                <w:szCs w:val="18"/>
              </w:rPr>
              <w:t>2017-019</w:t>
            </w:r>
            <w:r>
              <w:rPr>
                <w:rFonts w:ascii="宋体" w:hAnsi="宋体" w:cs="宋体" w:eastAsia="宋体" w:hint="default"/>
                <w:spacing w:val="-7"/>
                <w:sz w:val="18"/>
                <w:szCs w:val="18"/>
              </w:rPr>
              <w:t>）；巨潮</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资讯网（</w:t>
            </w:r>
            <w:r>
              <w:rPr>
                <w:rFonts w:ascii="Times New Roman" w:hAnsi="Times New Roman" w:cs="Times New Roman" w:eastAsia="Times New Roman" w:hint="default"/>
                <w:sz w:val="18"/>
                <w:szCs w:val="18"/>
              </w:rPr>
              <w:t>www.cninfo.com):</w:t>
            </w:r>
            <w:r>
              <w:rPr>
                <w:rFonts w:ascii="宋体" w:hAnsi="宋体" w:cs="宋体" w:eastAsia="宋体" w:hint="default"/>
                <w:sz w:val="18"/>
                <w:szCs w:val="18"/>
              </w:rPr>
              <w:t>《关于增加</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年度预计日常 </w:t>
            </w:r>
            <w:r>
              <w:rPr>
                <w:rFonts w:ascii="宋体" w:hAnsi="宋体" w:cs="宋体" w:eastAsia="宋体" w:hint="default"/>
                <w:spacing w:val="-4"/>
                <w:sz w:val="18"/>
                <w:szCs w:val="18"/>
              </w:rPr>
              <w:t>关联交易额度的公告》（公告编号：</w:t>
            </w:r>
            <w:r>
              <w:rPr>
                <w:rFonts w:ascii="Times New Roman" w:hAnsi="Times New Roman" w:cs="Times New Roman" w:eastAsia="Times New Roman" w:hint="default"/>
                <w:spacing w:val="-4"/>
                <w:sz w:val="18"/>
                <w:szCs w:val="18"/>
              </w:rPr>
              <w:t>2017-034</w:t>
            </w:r>
            <w:r>
              <w:rPr>
                <w:rFonts w:ascii="宋体" w:hAnsi="宋体" w:cs="宋体" w:eastAsia="宋体" w:hint="default"/>
                <w:spacing w:val="-4"/>
                <w:sz w:val="18"/>
                <w:szCs w:val="18"/>
              </w:rPr>
              <w:t>）</w:t>
            </w:r>
          </w:p>
        </w:tc>
      </w:tr>
      <w:tr>
        <w:trPr>
          <w:trHeight w:val="401" w:hRule="exact"/>
        </w:trPr>
        <w:tc>
          <w:tcPr>
            <w:tcW w:w="2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29,282.69</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39,700.00</w:t>
            </w:r>
          </w:p>
        </w:tc>
        <w:tc>
          <w:tcPr>
            <w:tcW w:w="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1136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7" w:hRule="exact"/>
        </w:trPr>
        <w:tc>
          <w:tcPr>
            <w:tcW w:w="2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185"/>
              <w:jc w:val="both"/>
              <w:rPr>
                <w:rFonts w:ascii="宋体" w:hAnsi="宋体" w:cs="宋体" w:eastAsia="宋体" w:hint="default"/>
                <w:sz w:val="18"/>
                <w:szCs w:val="18"/>
              </w:rPr>
            </w:pPr>
            <w:r>
              <w:rPr>
                <w:rFonts w:ascii="宋体" w:hAnsi="宋体" w:cs="宋体" w:eastAsia="宋体" w:hint="default"/>
                <w:sz w:val="18"/>
                <w:szCs w:val="18"/>
              </w:rPr>
              <w:t>按类别对本期将发生的日常关 联交易进行总金额预计的，在 报告期内的实际履行情况（如 有）</w:t>
            </w:r>
          </w:p>
        </w:tc>
        <w:tc>
          <w:tcPr>
            <w:tcW w:w="1136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 w:right="185"/>
              <w:jc w:val="left"/>
              <w:rPr>
                <w:rFonts w:ascii="宋体" w:hAnsi="宋体" w:cs="宋体" w:eastAsia="宋体" w:hint="default"/>
                <w:sz w:val="18"/>
                <w:szCs w:val="18"/>
              </w:rPr>
            </w:pPr>
            <w:r>
              <w:rPr>
                <w:rFonts w:ascii="宋体" w:hAnsi="宋体" w:cs="宋体" w:eastAsia="宋体" w:hint="default"/>
                <w:sz w:val="18"/>
                <w:szCs w:val="18"/>
              </w:rPr>
              <w:t>交易价格与市场参考价格差异 较大的原因（如适用）</w:t>
            </w:r>
          </w:p>
        </w:tc>
        <w:tc>
          <w:tcPr>
            <w:tcW w:w="1136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left="0" w:right="133"/>
        <w:jc w:val="right"/>
        <w:rPr>
          <w:rFonts w:ascii="Times New Roman" w:hAnsi="Times New Roman" w:cs="Times New Roman" w:eastAsia="Times New Roman" w:hint="default"/>
        </w:rPr>
      </w:pPr>
      <w:r>
        <w:rPr>
          <w:rFonts w:ascii="Times New Roman"/>
        </w:rPr>
        <w:t>89</w:t>
      </w:r>
    </w:p>
    <w:p>
      <w:pPr>
        <w:spacing w:after="0" w:line="240" w:lineRule="auto"/>
        <w:jc w:val="right"/>
        <w:rPr>
          <w:rFonts w:ascii="Times New Roman" w:hAnsi="Times New Roman" w:cs="Times New Roman" w:eastAsia="Times New Roman" w:hint="default"/>
        </w:rPr>
        <w:sectPr>
          <w:type w:val="continuous"/>
          <w:pgSz w:w="16840" w:h="11910" w:orient="landscape"/>
          <w:pgMar w:top="1060" w:bottom="1160" w:left="1300" w:right="130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6"/>
        <w:ind w:right="141"/>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141"/>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141"/>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141"/>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141"/>
        <w:jc w:val="left"/>
        <w:rPr>
          <w:b w:val="0"/>
          <w:bCs w:val="0"/>
        </w:rPr>
      </w:pPr>
      <w:r>
        <w:rPr/>
        <w:t>十六、重大合同及其履行情况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0"/>
        <w:rPr>
          <w:rFonts w:ascii="宋体" w:hAnsi="宋体" w:cs="宋体" w:eastAsia="宋体" w:hint="default"/>
          <w:b/>
          <w:bCs/>
          <w:sz w:val="18"/>
          <w:szCs w:val="18"/>
        </w:rPr>
      </w:pPr>
    </w:p>
    <w:p>
      <w:pPr>
        <w:pStyle w:val="BodyText"/>
        <w:spacing w:line="340" w:lineRule="auto" w:before="125"/>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2"/>
        <w:rPr>
          <w:rFonts w:ascii="宋体" w:hAnsi="宋体" w:cs="宋体" w:eastAsia="宋体" w:hint="default"/>
          <w:sz w:val="23"/>
          <w:szCs w:val="23"/>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0"/>
        <w:rPr>
          <w:rFonts w:ascii="宋体" w:hAnsi="宋体" w:cs="宋体" w:eastAsia="宋体" w:hint="default"/>
          <w:b/>
          <w:bCs/>
          <w:sz w:val="18"/>
          <w:szCs w:val="18"/>
        </w:rPr>
      </w:pPr>
    </w:p>
    <w:p>
      <w:pPr>
        <w:pStyle w:val="BodyText"/>
        <w:spacing w:line="338" w:lineRule="auto" w:before="127"/>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4"/>
        <w:rPr>
          <w:rFonts w:ascii="宋体" w:hAnsi="宋体" w:cs="宋体" w:eastAsia="宋体" w:hint="default"/>
          <w:sz w:val="23"/>
          <w:szCs w:val="23"/>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0"/>
        <w:rPr>
          <w:rFonts w:ascii="宋体" w:hAnsi="宋体" w:cs="宋体" w:eastAsia="宋体" w:hint="default"/>
          <w:b/>
          <w:bCs/>
          <w:sz w:val="18"/>
          <w:szCs w:val="18"/>
        </w:rPr>
      </w:pPr>
    </w:p>
    <w:p>
      <w:pPr>
        <w:pStyle w:val="BodyText"/>
        <w:spacing w:line="340" w:lineRule="auto" w:before="127"/>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300" w:lineRule="auto" w:before="39"/>
        <w:ind w:right="204" w:firstLine="360"/>
        <w:jc w:val="both"/>
      </w:pPr>
      <w:r>
        <w:rPr/>
        <w:t>①公司向关联方深圳华大生命科学研究院（原名</w:t>
      </w:r>
      <w:r>
        <w:rPr>
          <w:rFonts w:ascii="Times New Roman" w:hAnsi="Times New Roman" w:cs="Times New Roman" w:eastAsia="Times New Roman" w:hint="default"/>
        </w:rPr>
        <w:t>“</w:t>
      </w:r>
      <w:r>
        <w:rPr/>
        <w:t>深圳华大基因研究院</w:t>
      </w:r>
      <w:r>
        <w:rPr>
          <w:rFonts w:ascii="Times New Roman" w:hAnsi="Times New Roman" w:cs="Times New Roman" w:eastAsia="Times New Roman" w:hint="default"/>
        </w:rPr>
        <w:t>”</w:t>
      </w:r>
      <w:r>
        <w:rPr/>
        <w:t>）租赁位于深圳市盐田区明珠路</w:t>
      </w:r>
      <w:r>
        <w:rPr>
          <w:rFonts w:ascii="Times New Roman" w:hAnsi="Times New Roman" w:cs="Times New Roman" w:eastAsia="Times New Roman" w:hint="default"/>
        </w:rPr>
        <w:t>6#</w:t>
      </w:r>
      <w:r>
        <w:rPr/>
        <w:t>区南方明珠 公寓</w:t>
      </w:r>
      <w:r>
        <w:rPr>
          <w:rFonts w:ascii="Times New Roman" w:hAnsi="Times New Roman" w:cs="Times New Roman" w:eastAsia="Times New Roman" w:hint="default"/>
        </w:rPr>
        <w:t>7</w:t>
      </w:r>
      <w:r>
        <w:rPr/>
        <w:t>栋</w:t>
      </w:r>
      <w:r>
        <w:rPr>
          <w:rFonts w:ascii="Times New Roman" w:hAnsi="Times New Roman" w:cs="Times New Roman" w:eastAsia="Times New Roman" w:hint="default"/>
        </w:rPr>
        <w:t>7-14</w:t>
      </w:r>
      <w:r>
        <w:rPr/>
        <w:t>层的房屋，用作办公用途，产权人或合法使用人为 深圳市盐田港集团有限公司，租赁期限为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日至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日，月租金为人民币</w:t>
      </w:r>
      <w:r>
        <w:rPr>
          <w:rFonts w:ascii="Times New Roman" w:hAnsi="Times New Roman" w:cs="Times New Roman" w:eastAsia="Times New Roman" w:hint="default"/>
        </w:rPr>
        <w:t>147,238</w:t>
      </w:r>
      <w:r>
        <w:rPr>
          <w:rFonts w:ascii="Times New Roman" w:hAnsi="Times New Roman" w:cs="Times New Roman" w:eastAsia="Times New Roman" w:hint="default"/>
          <w:spacing w:val="39"/>
        </w:rPr>
        <w:t> </w:t>
      </w:r>
      <w:r>
        <w:rPr/>
        <w:t>元。截至年报披露日，公司按照上述条件重新签署了租赁协议，租赁期限更新为</w:t>
      </w:r>
    </w:p>
    <w:p>
      <w:pPr>
        <w:pStyle w:val="BodyText"/>
        <w:spacing w:line="240" w:lineRule="auto" w:before="13"/>
        <w:ind w:right="141"/>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日，除此之外，上述其他租赁要素未发生变化。</w:t>
      </w:r>
    </w:p>
    <w:p>
      <w:pPr>
        <w:pStyle w:val="BodyText"/>
        <w:spacing w:line="300" w:lineRule="auto" w:before="63"/>
        <w:ind w:right="294" w:firstLine="360"/>
        <w:jc w:val="left"/>
      </w:pPr>
      <w:r>
        <w:rPr/>
        <w:t>②全资子公司武汉华大医学检验所有限公司将位于武汉市东湖开发区高新大道</w:t>
      </w:r>
      <w:r>
        <w:rPr>
          <w:rFonts w:ascii="Times New Roman" w:hAnsi="Times New Roman" w:cs="Times New Roman" w:eastAsia="Times New Roman" w:hint="default"/>
        </w:rPr>
        <w:t>666</w:t>
      </w:r>
      <w:r>
        <w:rPr/>
        <w:t>号光谷生物城</w:t>
      </w:r>
      <w:r>
        <w:rPr>
          <w:rFonts w:ascii="Times New Roman" w:hAnsi="Times New Roman" w:cs="Times New Roman" w:eastAsia="Times New Roman" w:hint="default"/>
        </w:rPr>
        <w:t>B2</w:t>
      </w:r>
      <w:r>
        <w:rPr/>
        <w:t>栋</w:t>
      </w:r>
      <w:r>
        <w:rPr>
          <w:rFonts w:ascii="Times New Roman" w:hAnsi="Times New Roman" w:cs="Times New Roman" w:eastAsia="Times New Roman" w:hint="default"/>
        </w:rPr>
        <w:t>1</w:t>
      </w:r>
      <w:r>
        <w:rPr/>
        <w:t>、</w:t>
      </w:r>
      <w:r>
        <w:rPr>
          <w:rFonts w:ascii="Times New Roman" w:hAnsi="Times New Roman" w:cs="Times New Roman" w:eastAsia="Times New Roman" w:hint="default"/>
        </w:rPr>
        <w:t>3</w:t>
      </w:r>
      <w:r>
        <w:rPr/>
        <w:t>楼部分出租 给关联方深圳华大基因科技有限公司武汉分公司（控股股东华大控股控制下的企业），按照双方签署的《房屋租赁合</w:t>
      </w:r>
    </w:p>
    <w:p>
      <w:pPr>
        <w:spacing w:after="0" w:line="300" w:lineRule="auto"/>
        <w:jc w:val="left"/>
        <w:sectPr>
          <w:footerReference w:type="default" r:id="rId35"/>
          <w:pgSz w:w="11910" w:h="16840"/>
          <w:pgMar w:footer="974" w:header="0" w:top="1100" w:bottom="1160" w:left="980" w:right="980"/>
          <w:pgNumType w:start="90"/>
        </w:sectPr>
      </w:pPr>
    </w:p>
    <w:p>
      <w:pPr>
        <w:spacing w:line="240" w:lineRule="auto" w:before="0"/>
        <w:rPr>
          <w:rFonts w:ascii="宋体" w:hAnsi="宋体" w:cs="宋体" w:eastAsia="宋体" w:hint="default"/>
          <w:sz w:val="22"/>
          <w:szCs w:val="22"/>
        </w:rPr>
      </w:pPr>
    </w:p>
    <w:p>
      <w:pPr>
        <w:pStyle w:val="BodyText"/>
        <w:spacing w:line="300" w:lineRule="auto" w:before="44"/>
        <w:ind w:right="294"/>
        <w:jc w:val="left"/>
      </w:pPr>
      <w:r>
        <w:rPr/>
        <w:t>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1-8</w:t>
      </w:r>
      <w:r>
        <w:rPr/>
        <w:t>月租赁面积为</w:t>
      </w:r>
      <w:r>
        <w:rPr>
          <w:rFonts w:ascii="Times New Roman" w:hAnsi="Times New Roman" w:cs="Times New Roman" w:eastAsia="Times New Roman" w:hint="default"/>
        </w:rPr>
        <w:t>9,966.35</w:t>
      </w:r>
      <w:r>
        <w:rPr/>
        <w:t>平米，月租金为人民币</w:t>
      </w:r>
      <w:r>
        <w:rPr>
          <w:rFonts w:ascii="Times New Roman" w:hAnsi="Times New Roman" w:cs="Times New Roman" w:eastAsia="Times New Roman" w:hint="default"/>
        </w:rPr>
        <w:t>498,317.5</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9-12</w:t>
      </w:r>
      <w:r>
        <w:rPr/>
        <w:t>月租赁面积为</w:t>
      </w:r>
      <w:r>
        <w:rPr>
          <w:rFonts w:ascii="Times New Roman" w:hAnsi="Times New Roman" w:cs="Times New Roman" w:eastAsia="Times New Roman" w:hint="default"/>
        </w:rPr>
        <w:t>10,251.24</w:t>
      </w:r>
      <w:r>
        <w:rPr/>
        <w:t>平方米，月 租金为人民币</w:t>
      </w:r>
      <w:r>
        <w:rPr>
          <w:rFonts w:ascii="Times New Roman" w:hAnsi="Times New Roman" w:cs="Times New Roman" w:eastAsia="Times New Roman" w:hint="default"/>
        </w:rPr>
        <w:t>512,562</w:t>
      </w:r>
      <w:r>
        <w:rPr/>
        <w:t>元。</w:t>
      </w:r>
    </w:p>
    <w:p>
      <w:pPr>
        <w:spacing w:line="240" w:lineRule="auto" w:before="0"/>
        <w:rPr>
          <w:rFonts w:ascii="宋体" w:hAnsi="宋体" w:cs="宋体" w:eastAsia="宋体" w:hint="default"/>
          <w:sz w:val="18"/>
          <w:szCs w:val="18"/>
        </w:rPr>
      </w:pPr>
    </w:p>
    <w:p>
      <w:pPr>
        <w:pStyle w:val="BodyText"/>
        <w:spacing w:line="240" w:lineRule="auto" w:before="130"/>
        <w:ind w:right="141"/>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41"/>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0"/>
        <w:rPr>
          <w:rFonts w:ascii="宋体" w:hAnsi="宋体" w:cs="宋体" w:eastAsia="宋体" w:hint="default"/>
          <w:sz w:val="18"/>
          <w:szCs w:val="18"/>
        </w:rPr>
      </w:pPr>
    </w:p>
    <w:p>
      <w:pPr>
        <w:pStyle w:val="Heading4"/>
        <w:spacing w:line="240" w:lineRule="auto" w:before="129"/>
        <w:ind w:right="141"/>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0"/>
        <w:rPr>
          <w:rFonts w:ascii="宋体" w:hAnsi="宋体" w:cs="宋体" w:eastAsia="宋体" w:hint="default"/>
          <w:b/>
          <w:bCs/>
          <w:sz w:val="18"/>
          <w:szCs w:val="18"/>
        </w:rPr>
      </w:pPr>
    </w:p>
    <w:p>
      <w:pPr>
        <w:pStyle w:val="BodyText"/>
        <w:spacing w:line="338" w:lineRule="auto" w:before="127"/>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5"/>
        <w:rPr>
          <w:rFonts w:ascii="宋体" w:hAnsi="宋体" w:cs="宋体" w:eastAsia="宋体" w:hint="default"/>
          <w:sz w:val="21"/>
          <w:szCs w:val="21"/>
        </w:rPr>
      </w:pPr>
    </w:p>
    <w:p>
      <w:pPr>
        <w:pStyle w:val="Heading3"/>
        <w:spacing w:line="240" w:lineRule="auto"/>
        <w:ind w:right="141"/>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0" w:footer="974" w:top="1100" w:bottom="1160" w:left="980" w:right="98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1953" w:space="6787"/>
            <w:col w:w="1210"/>
          </w:cols>
        </w:sectPr>
      </w:pP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868"/>
        <w:gridCol w:w="1964"/>
        <w:gridCol w:w="1980"/>
        <w:gridCol w:w="1909"/>
        <w:gridCol w:w="1848"/>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191,300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162,100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209,300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172,800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160" w:left="980" w:right="980"/>
        </w:sectPr>
      </w:pPr>
    </w:p>
    <w:p>
      <w:pPr>
        <w:pStyle w:val="BodyText"/>
        <w:spacing w:line="240" w:lineRule="auto" w:before="44"/>
        <w:ind w:right="-20"/>
        <w:jc w:val="left"/>
      </w:pPr>
      <w:r>
        <w:rPr/>
        <w:t>单项金额重大或安全性较低、流动性较差、不保本的高风险委托理财具体情况</w:t>
      </w:r>
    </w:p>
    <w:p>
      <w:pPr>
        <w:pStyle w:val="BodyText"/>
        <w:spacing w:line="240" w:lineRule="auto" w:before="11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6273" w:space="2467"/>
            <w:col w:w="1210"/>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572"/>
        <w:gridCol w:w="590"/>
        <w:gridCol w:w="605"/>
        <w:gridCol w:w="576"/>
        <w:gridCol w:w="560"/>
        <w:gridCol w:w="562"/>
        <w:gridCol w:w="562"/>
        <w:gridCol w:w="562"/>
        <w:gridCol w:w="559"/>
        <w:gridCol w:w="562"/>
        <w:gridCol w:w="562"/>
        <w:gridCol w:w="562"/>
        <w:gridCol w:w="559"/>
        <w:gridCol w:w="550"/>
        <w:gridCol w:w="547"/>
        <w:gridCol w:w="547"/>
        <w:gridCol w:w="538"/>
      </w:tblGrid>
      <w:tr>
        <w:trPr>
          <w:trHeight w:val="2585"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1" w:right="98"/>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7"/>
              <w:ind w:left="101" w:right="98"/>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110" w:right="108"/>
              <w:jc w:val="both"/>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7"/>
              <w:ind w:left="110" w:right="108"/>
              <w:jc w:val="both"/>
              <w:rPr>
                <w:rFonts w:ascii="宋体" w:hAnsi="宋体" w:cs="宋体" w:eastAsia="宋体" w:hint="default"/>
                <w:sz w:val="18"/>
                <w:szCs w:val="18"/>
              </w:rPr>
            </w:pPr>
            <w:r>
              <w:rPr>
                <w:rFonts w:ascii="宋体" w:hAnsi="宋体" w:cs="宋体" w:eastAsia="宋体" w:hint="default"/>
                <w:sz w:val="18"/>
                <w:szCs w:val="18"/>
              </w:rPr>
              <w:t>（或 受托 人） 类型</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08" w:right="24"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6" w:right="92"/>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6"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6"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5" w:right="91"/>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6"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19"/>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6"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95" w:right="91"/>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7"/>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4" w:right="83"/>
              <w:jc w:val="both"/>
              <w:rPr>
                <w:rFonts w:ascii="宋体" w:hAnsi="宋体" w:cs="宋体" w:eastAsia="宋体" w:hint="default"/>
                <w:sz w:val="18"/>
                <w:szCs w:val="18"/>
              </w:rPr>
            </w:pPr>
            <w:r>
              <w:rPr>
                <w:rFonts w:ascii="宋体" w:hAnsi="宋体" w:cs="宋体" w:eastAsia="宋体" w:hint="default"/>
                <w:sz w:val="18"/>
                <w:szCs w:val="18"/>
              </w:rPr>
              <w:t>事项 概述 及相 关查 询索 引</w:t>
            </w:r>
          </w:p>
          <w:p>
            <w:pPr>
              <w:pStyle w:val="TableParagraph"/>
              <w:spacing w:line="316" w:lineRule="auto" w:before="17"/>
              <w:ind w:left="84" w:right="83"/>
              <w:jc w:val="both"/>
              <w:rPr>
                <w:rFonts w:ascii="宋体" w:hAnsi="宋体" w:cs="宋体" w:eastAsia="宋体" w:hint="default"/>
                <w:sz w:val="18"/>
                <w:szCs w:val="18"/>
              </w:rPr>
            </w:pPr>
            <w:r>
              <w:rPr>
                <w:rFonts w:ascii="宋体" w:hAnsi="宋体" w:cs="宋体" w:eastAsia="宋体" w:hint="default"/>
                <w:sz w:val="18"/>
                <w:szCs w:val="18"/>
              </w:rPr>
              <w:t>（如 有）</w:t>
            </w: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中国 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73,900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3"/>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178.17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178.17</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3"/>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176"/>
              <w:jc w:val="left"/>
              <w:rPr>
                <w:rFonts w:ascii="宋体" w:hAnsi="宋体" w:cs="宋体" w:eastAsia="宋体" w:hint="default"/>
                <w:sz w:val="18"/>
                <w:szCs w:val="18"/>
              </w:rPr>
            </w:pPr>
            <w:r>
              <w:rPr>
                <w:rFonts w:ascii="宋体" w:hAnsi="宋体" w:cs="宋体" w:eastAsia="宋体" w:hint="default"/>
                <w:sz w:val="18"/>
                <w:szCs w:val="18"/>
              </w:rPr>
              <w:t>中国 光大</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60,000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3"/>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6" w:right="0"/>
              <w:jc w:val="left"/>
              <w:rPr>
                <w:rFonts w:ascii="Times New Roman" w:hAnsi="Times New Roman" w:cs="Times New Roman" w:eastAsia="Times New Roman" w:hint="default"/>
                <w:sz w:val="18"/>
                <w:szCs w:val="18"/>
              </w:rPr>
            </w:pPr>
            <w:r>
              <w:rPr>
                <w:rFonts w:ascii="Times New Roman"/>
                <w:sz w:val="18"/>
              </w:rPr>
              <w:t>1,256.</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6" w:right="0"/>
              <w:jc w:val="left"/>
              <w:rPr>
                <w:rFonts w:ascii="Times New Roman" w:hAnsi="Times New Roman" w:cs="Times New Roman" w:eastAsia="Times New Roman" w:hint="default"/>
                <w:sz w:val="18"/>
                <w:szCs w:val="18"/>
              </w:rPr>
            </w:pPr>
            <w:r>
              <w:rPr>
                <w:rFonts w:ascii="Times New Roman"/>
                <w:sz w:val="18"/>
              </w:rPr>
              <w:t>1,256.</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55</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3"/>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572"/>
        <w:gridCol w:w="590"/>
        <w:gridCol w:w="605"/>
        <w:gridCol w:w="576"/>
        <w:gridCol w:w="560"/>
        <w:gridCol w:w="562"/>
        <w:gridCol w:w="562"/>
        <w:gridCol w:w="562"/>
        <w:gridCol w:w="559"/>
        <w:gridCol w:w="562"/>
        <w:gridCol w:w="562"/>
        <w:gridCol w:w="562"/>
        <w:gridCol w:w="559"/>
        <w:gridCol w:w="550"/>
        <w:gridCol w:w="547"/>
        <w:gridCol w:w="547"/>
        <w:gridCol w:w="538"/>
      </w:tblGrid>
      <w:tr>
        <w:trPr>
          <w:trHeight w:val="67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中国 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63"/>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99" w:right="0"/>
              <w:jc w:val="center"/>
              <w:rPr>
                <w:rFonts w:ascii="Times New Roman" w:hAnsi="Times New Roman" w:cs="Times New Roman" w:eastAsia="Times New Roman" w:hint="default"/>
                <w:sz w:val="18"/>
                <w:szCs w:val="18"/>
              </w:rPr>
            </w:pPr>
            <w:r>
              <w:rPr>
                <w:rFonts w:ascii="Times New Roman"/>
                <w:sz w:val="18"/>
              </w:rPr>
              <w:t>927.8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99" w:right="0"/>
              <w:jc w:val="center"/>
              <w:rPr>
                <w:rFonts w:ascii="Times New Roman" w:hAnsi="Times New Roman" w:cs="Times New Roman" w:eastAsia="Times New Roman" w:hint="default"/>
                <w:sz w:val="18"/>
                <w:szCs w:val="18"/>
              </w:rPr>
            </w:pPr>
            <w:r>
              <w:rPr>
                <w:rFonts w:ascii="Times New Roman"/>
                <w:sz w:val="18"/>
              </w:rPr>
              <w:t>927.8</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63"/>
              <w:jc w:val="both"/>
              <w:rPr>
                <w:rFonts w:ascii="宋体" w:hAnsi="宋体" w:cs="宋体" w:eastAsia="宋体" w:hint="default"/>
                <w:sz w:val="18"/>
                <w:szCs w:val="18"/>
              </w:rPr>
            </w:pPr>
            <w:r>
              <w:rPr>
                <w:rFonts w:ascii="宋体" w:hAnsi="宋体" w:cs="宋体" w:eastAsia="宋体" w:hint="default"/>
                <w:sz w:val="18"/>
                <w:szCs w:val="18"/>
              </w:rPr>
              <w:t>未到 期赎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工行 北京 裕民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63"/>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4.10%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5.42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5.42</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63"/>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76"/>
              <w:jc w:val="both"/>
              <w:rPr>
                <w:rFonts w:ascii="宋体" w:hAnsi="宋体" w:cs="宋体" w:eastAsia="宋体" w:hint="default"/>
                <w:sz w:val="18"/>
                <w:szCs w:val="18"/>
              </w:rPr>
            </w:pPr>
            <w:r>
              <w:rPr>
                <w:rFonts w:ascii="宋体" w:hAnsi="宋体" w:cs="宋体" w:eastAsia="宋体" w:hint="default"/>
                <w:sz w:val="18"/>
                <w:szCs w:val="18"/>
              </w:rPr>
              <w:t>广发 银行 黄寺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2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600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3"/>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90" w:right="0"/>
              <w:jc w:val="center"/>
              <w:rPr>
                <w:rFonts w:ascii="Times New Roman" w:hAnsi="Times New Roman" w:cs="Times New Roman" w:eastAsia="Times New Roman" w:hint="default"/>
                <w:sz w:val="18"/>
                <w:szCs w:val="18"/>
              </w:rPr>
            </w:pPr>
            <w:r>
              <w:rPr>
                <w:rFonts w:ascii="Times New Roman"/>
                <w:sz w:val="18"/>
              </w:rPr>
              <w:t>2.01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90" w:right="0"/>
              <w:jc w:val="center"/>
              <w:rPr>
                <w:rFonts w:ascii="Times New Roman" w:hAnsi="Times New Roman" w:cs="Times New Roman" w:eastAsia="Times New Roman" w:hint="default"/>
                <w:sz w:val="18"/>
                <w:szCs w:val="18"/>
              </w:rPr>
            </w:pPr>
            <w:r>
              <w:rPr>
                <w:rFonts w:ascii="Times New Roman"/>
                <w:sz w:val="18"/>
              </w:rPr>
              <w:t>2.01</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63"/>
              <w:jc w:val="both"/>
              <w:rPr>
                <w:rFonts w:ascii="宋体" w:hAnsi="宋体" w:cs="宋体" w:eastAsia="宋体" w:hint="default"/>
                <w:sz w:val="18"/>
                <w:szCs w:val="18"/>
              </w:rPr>
            </w:pPr>
            <w:r>
              <w:rPr>
                <w:rFonts w:ascii="宋体" w:hAnsi="宋体" w:cs="宋体" w:eastAsia="宋体" w:hint="default"/>
                <w:sz w:val="18"/>
                <w:szCs w:val="18"/>
              </w:rPr>
              <w:t>未到 期赎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招商 银行 深圳 盐田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63"/>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1.08</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63"/>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招商 银行 深圳 盐田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2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3" w:right="0"/>
              <w:jc w:val="left"/>
              <w:rPr>
                <w:rFonts w:ascii="Times New Roman" w:hAnsi="Times New Roman" w:cs="Times New Roman" w:eastAsia="Times New Roman" w:hint="default"/>
                <w:sz w:val="18"/>
                <w:szCs w:val="18"/>
              </w:rPr>
            </w:pPr>
            <w:r>
              <w:rPr>
                <w:rFonts w:ascii="Times New Roman"/>
                <w:sz w:val="18"/>
              </w:rPr>
              <w:t>6,663.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44</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3"/>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74.37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74.37</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3"/>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招商 银行 深圳 盐田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93" w:right="0"/>
              <w:jc w:val="left"/>
              <w:rPr>
                <w:rFonts w:ascii="Times New Roman" w:hAnsi="Times New Roman" w:cs="Times New Roman" w:eastAsia="Times New Roman" w:hint="default"/>
                <w:sz w:val="18"/>
                <w:szCs w:val="18"/>
              </w:rPr>
            </w:pPr>
            <w:r>
              <w:rPr>
                <w:rFonts w:ascii="Times New Roman"/>
                <w:sz w:val="18"/>
              </w:rPr>
              <w:t>2,505.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82</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63"/>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51.49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51.49</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63"/>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招商 银行 深圳 盐田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2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3" w:right="0"/>
              <w:jc w:val="left"/>
              <w:rPr>
                <w:rFonts w:ascii="Times New Roman" w:hAnsi="Times New Roman" w:cs="Times New Roman" w:eastAsia="Times New Roman" w:hint="default"/>
                <w:sz w:val="18"/>
                <w:szCs w:val="18"/>
              </w:rPr>
            </w:pPr>
            <w:r>
              <w:rPr>
                <w:rFonts w:ascii="Times New Roman"/>
                <w:sz w:val="18"/>
              </w:rPr>
              <w:t>4,430.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74</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3"/>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106.29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106.29</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3"/>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中国 农业 银行 广州 白云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63"/>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12.99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12.99</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63"/>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left"/>
              <w:rPr>
                <w:rFonts w:ascii="宋体" w:hAnsi="宋体" w:cs="宋体" w:eastAsia="宋体" w:hint="default"/>
                <w:sz w:val="18"/>
                <w:szCs w:val="18"/>
              </w:rPr>
            </w:pPr>
            <w:r>
              <w:rPr>
                <w:rFonts w:ascii="宋体" w:hAnsi="宋体" w:cs="宋体" w:eastAsia="宋体" w:hint="default"/>
                <w:sz w:val="18"/>
                <w:szCs w:val="18"/>
              </w:rPr>
              <w:t>招商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理财产</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2.83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2.83</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572"/>
        <w:gridCol w:w="590"/>
        <w:gridCol w:w="605"/>
        <w:gridCol w:w="576"/>
        <w:gridCol w:w="560"/>
        <w:gridCol w:w="562"/>
        <w:gridCol w:w="562"/>
        <w:gridCol w:w="562"/>
        <w:gridCol w:w="559"/>
        <w:gridCol w:w="562"/>
        <w:gridCol w:w="562"/>
        <w:gridCol w:w="562"/>
        <w:gridCol w:w="559"/>
        <w:gridCol w:w="550"/>
        <w:gridCol w:w="547"/>
        <w:gridCol w:w="547"/>
        <w:gridCol w:w="538"/>
      </w:tblGrid>
      <w:tr>
        <w:trPr>
          <w:trHeight w:val="98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76"/>
              <w:jc w:val="both"/>
              <w:rPr>
                <w:rFonts w:ascii="宋体" w:hAnsi="宋体" w:cs="宋体" w:eastAsia="宋体" w:hint="default"/>
                <w:sz w:val="18"/>
                <w:szCs w:val="18"/>
              </w:rPr>
            </w:pPr>
            <w:r>
              <w:rPr>
                <w:rFonts w:ascii="宋体" w:hAnsi="宋体" w:cs="宋体" w:eastAsia="宋体" w:hint="default"/>
                <w:sz w:val="18"/>
                <w:szCs w:val="18"/>
              </w:rPr>
              <w:t>深圳 盐田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品</w:t>
            </w: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4"/>
              <w:jc w:val="right"/>
              <w:rPr>
                <w:rFonts w:ascii="宋体" w:hAnsi="宋体" w:cs="宋体" w:eastAsia="宋体" w:hint="default"/>
                <w:sz w:val="18"/>
                <w:szCs w:val="18"/>
              </w:rPr>
            </w:pP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3"/>
              <w:jc w:val="right"/>
              <w:rPr>
                <w:rFonts w:ascii="宋体" w:hAnsi="宋体" w:cs="宋体" w:eastAsia="宋体" w:hint="default"/>
                <w:sz w:val="18"/>
                <w:szCs w:val="18"/>
              </w:rPr>
            </w:pPr>
            <w:r>
              <w:rPr>
                <w:rFonts w:ascii="宋体" w:hAnsi="宋体" w:cs="宋体" w:eastAsia="宋体" w:hint="default"/>
                <w:sz w:val="18"/>
                <w:szCs w:val="18"/>
              </w:rPr>
              <w:t>约定</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3"/>
              <w:jc w:val="right"/>
              <w:rPr>
                <w:rFonts w:ascii="宋体" w:hAnsi="宋体" w:cs="宋体" w:eastAsia="宋体" w:hint="default"/>
                <w:sz w:val="18"/>
                <w:szCs w:val="18"/>
              </w:rPr>
            </w:pPr>
            <w:r>
              <w:rPr>
                <w:rFonts w:ascii="宋体" w:hAnsi="宋体" w:cs="宋体" w:eastAsia="宋体" w:hint="default"/>
                <w:sz w:val="18"/>
                <w:szCs w:val="18"/>
              </w:rPr>
              <w:t>赎回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招商 银行 深圳 盐田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63"/>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19.56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19.56</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63"/>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招商 银行 深圳 盐田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2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163"/>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36.75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36.75</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163"/>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招商 银行 深圳 盐田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93" w:right="0"/>
              <w:jc w:val="left"/>
              <w:rPr>
                <w:rFonts w:ascii="Times New Roman" w:hAnsi="Times New Roman" w:cs="Times New Roman" w:eastAsia="Times New Roman" w:hint="default"/>
                <w:sz w:val="18"/>
                <w:szCs w:val="18"/>
              </w:rPr>
            </w:pPr>
            <w:r>
              <w:rPr>
                <w:rFonts w:ascii="Times New Roman"/>
                <w:sz w:val="18"/>
              </w:rPr>
              <w:t>7,984.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91</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63"/>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7.77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7.77</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63"/>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招商 银行 深圳 盐田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2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163"/>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0.12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0.12</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163"/>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邮储 华强 北支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67"/>
              <w:jc w:val="right"/>
              <w:rPr>
                <w:rFonts w:ascii="宋体" w:hAnsi="宋体" w:cs="宋体" w:eastAsia="宋体" w:hint="default"/>
                <w:sz w:val="18"/>
                <w:szCs w:val="18"/>
              </w:rPr>
            </w:pPr>
            <w:r>
              <w:rPr>
                <w:rFonts w:ascii="宋体" w:hAnsi="宋体" w:cs="宋体" w:eastAsia="宋体" w:hint="default"/>
                <w:sz w:val="18"/>
                <w:szCs w:val="18"/>
              </w:rPr>
              <w:t>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63"/>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9" w:right="0"/>
              <w:jc w:val="center"/>
              <w:rPr>
                <w:rFonts w:ascii="Times New Roman" w:hAnsi="Times New Roman" w:cs="Times New Roman" w:eastAsia="Times New Roman" w:hint="default"/>
                <w:sz w:val="18"/>
                <w:szCs w:val="18"/>
              </w:rPr>
            </w:pPr>
            <w:r>
              <w:rPr>
                <w:rFonts w:ascii="Times New Roman"/>
                <w:sz w:val="18"/>
              </w:rPr>
              <w:t>4.90%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0" w:right="0"/>
              <w:jc w:val="center"/>
              <w:rPr>
                <w:rFonts w:ascii="Times New Roman" w:hAnsi="Times New Roman" w:cs="Times New Roman" w:eastAsia="Times New Roman" w:hint="default"/>
                <w:sz w:val="18"/>
                <w:szCs w:val="18"/>
              </w:rPr>
            </w:pPr>
            <w:r>
              <w:rPr>
                <w:rFonts w:ascii="Times New Roman"/>
                <w:sz w:val="18"/>
              </w:rPr>
              <w:t>375.89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0" w:right="0"/>
              <w:jc w:val="center"/>
              <w:rPr>
                <w:rFonts w:ascii="Times New Roman" w:hAnsi="Times New Roman" w:cs="Times New Roman" w:eastAsia="Times New Roman" w:hint="default"/>
                <w:sz w:val="18"/>
                <w:szCs w:val="18"/>
              </w:rPr>
            </w:pPr>
            <w:r>
              <w:rPr>
                <w:rFonts w:ascii="Times New Roman"/>
                <w:sz w:val="18"/>
              </w:rPr>
              <w:t>375.89</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63"/>
              <w:jc w:val="both"/>
              <w:rPr>
                <w:rFonts w:ascii="宋体" w:hAnsi="宋体" w:cs="宋体" w:eastAsia="宋体" w:hint="default"/>
                <w:sz w:val="18"/>
                <w:szCs w:val="18"/>
              </w:rPr>
            </w:pPr>
            <w:r>
              <w:rPr>
                <w:rFonts w:ascii="宋体" w:hAnsi="宋体" w:cs="宋体" w:eastAsia="宋体" w:hint="default"/>
                <w:sz w:val="18"/>
                <w:szCs w:val="18"/>
              </w:rPr>
              <w:t>未到 期赎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293,00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0.00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3,059.</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3,059.</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09</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p>
      <w:pPr>
        <w:pStyle w:val="BodyText"/>
        <w:spacing w:line="240" w:lineRule="auto"/>
        <w:ind w:right="141"/>
        <w:jc w:val="left"/>
      </w:pPr>
      <w:r>
        <w:rPr/>
        <w:t>委托理财出现预期无法收回本金或存在其他可能导致减值的情形</w:t>
      </w:r>
    </w:p>
    <w:p>
      <w:pPr>
        <w:pStyle w:val="BodyText"/>
        <w:spacing w:line="240" w:lineRule="auto" w:before="117"/>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4"/>
        <w:spacing w:line="240" w:lineRule="auto" w:before="129"/>
        <w:ind w:right="141"/>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0"/>
        <w:rPr>
          <w:rFonts w:ascii="宋体" w:hAnsi="宋体" w:cs="宋体" w:eastAsia="宋体" w:hint="default"/>
          <w:b/>
          <w:bCs/>
          <w:sz w:val="18"/>
          <w:szCs w:val="18"/>
        </w:rPr>
      </w:pPr>
    </w:p>
    <w:p>
      <w:pPr>
        <w:pStyle w:val="BodyText"/>
        <w:spacing w:line="338" w:lineRule="auto" w:before="127"/>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141"/>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after="0" w:line="338" w:lineRule="auto"/>
        <w:jc w:val="left"/>
        <w:sectPr>
          <w:pgSz w:w="11910" w:h="16840"/>
          <w:pgMar w:header="0" w:footer="974" w:top="1100" w:bottom="1160" w:left="980" w:right="980"/>
        </w:sectPr>
      </w:pPr>
    </w:p>
    <w:p>
      <w:pPr>
        <w:spacing w:line="240" w:lineRule="auto" w:before="12"/>
        <w:rPr>
          <w:rFonts w:ascii="宋体" w:hAnsi="宋体" w:cs="宋体" w:eastAsia="宋体" w:hint="default"/>
          <w:sz w:val="19"/>
          <w:szCs w:val="19"/>
        </w:rPr>
      </w:pPr>
    </w:p>
    <w:p>
      <w:pPr>
        <w:pStyle w:val="Heading2"/>
        <w:spacing w:line="240" w:lineRule="auto" w:before="26"/>
        <w:ind w:right="0"/>
        <w:jc w:val="both"/>
        <w:rPr>
          <w:b w:val="0"/>
          <w:bCs w:val="0"/>
        </w:rPr>
      </w:pP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、履行社会责任情况</w:t>
      </w:r>
      <w:r>
        <w:rPr>
          <w:b w:val="0"/>
          <w:bCs w:val="0"/>
        </w:rPr>
      </w:r>
    </w:p>
    <w:p>
      <w:pPr>
        <w:spacing w:line="420" w:lineRule="atLeast" w:before="173"/>
        <w:ind w:left="513" w:right="94" w:hanging="89"/>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）股东和债权人权益保护</w:t>
      </w:r>
      <w:r>
        <w:rPr>
          <w:rFonts w:ascii="宋体" w:hAnsi="宋体" w:cs="宋体" w:eastAsia="宋体" w:hint="default"/>
          <w:b/>
          <w:bCs/>
          <w:w w:val="99"/>
          <w:sz w:val="18"/>
          <w:szCs w:val="18"/>
        </w:rPr>
        <w:t> </w:t>
      </w:r>
      <w:r>
        <w:rPr>
          <w:rFonts w:ascii="宋体" w:hAnsi="宋体" w:cs="宋体" w:eastAsia="宋体" w:hint="default"/>
          <w:spacing w:val="-2"/>
          <w:sz w:val="18"/>
          <w:szCs w:val="18"/>
        </w:rPr>
        <w:t>公司严格按照《公司法》、《证券法》、《深圳证券交易所创业板股票上市规则》、《深圳证券交易所创业板上市公司</w:t>
      </w:r>
    </w:p>
    <w:p>
      <w:pPr>
        <w:pStyle w:val="BodyText"/>
        <w:spacing w:line="316" w:lineRule="auto" w:before="76"/>
        <w:ind w:right="193"/>
        <w:jc w:val="both"/>
      </w:pPr>
      <w:r>
        <w:rPr>
          <w:spacing w:val="-5"/>
        </w:rPr>
        <w:t>规范运作指引》等法律法规和中国证监会相关规定和要求，建立了股东大会、董事会、监事会以及在董事会领导下的经理层，</w:t>
      </w:r>
      <w:r>
        <w:rPr>
          <w:spacing w:val="-78"/>
        </w:rPr>
        <w:t> </w:t>
      </w:r>
      <w:r>
        <w:rPr>
          <w:spacing w:val="-78"/>
        </w:rPr>
      </w:r>
      <w:r>
        <w:rPr>
          <w:spacing w:val="-5"/>
        </w:rPr>
        <w:t>制订了相关议事规则及制度，形成了公司法人治理结构的基本框架，明确了股东大会和股东、董事会和董事、监事会和监事、</w:t>
      </w:r>
      <w:r>
        <w:rPr>
          <w:spacing w:val="-78"/>
        </w:rPr>
        <w:t> </w:t>
      </w:r>
      <w:r>
        <w:rPr>
          <w:spacing w:val="-78"/>
        </w:rPr>
      </w:r>
      <w:r>
        <w:rPr/>
        <w:t>经理层和高级管理人员的职责。</w:t>
      </w:r>
    </w:p>
    <w:p>
      <w:pPr>
        <w:pStyle w:val="BodyText"/>
        <w:spacing w:line="316" w:lineRule="auto" w:before="19"/>
        <w:ind w:right="190" w:firstLine="360"/>
        <w:jc w:val="both"/>
      </w:pPr>
      <w:r>
        <w:rPr>
          <w:spacing w:val="-2"/>
        </w:rPr>
        <w:t>公司按照《信息披露管理制度》、《投资者关系管理制度》等相关规定，真实、准确、完整、及时地披露信息。公司指</w:t>
      </w:r>
      <w:r>
        <w:rPr/>
        <w:t> </w:t>
      </w:r>
      <w:r>
        <w:rPr>
          <w:spacing w:val="12"/>
        </w:rPr>
        <w:t>定《证券日报》、《中国证券报》、《证券时报》、《上海证券报》为公司信息披露的指定纸质媒体，巨潮资讯网</w:t>
      </w:r>
    </w:p>
    <w:p>
      <w:pPr>
        <w:pStyle w:val="BodyText"/>
        <w:spacing w:line="300" w:lineRule="auto" w:before="19"/>
        <w:ind w:left="513" w:right="179" w:hanging="361"/>
        <w:jc w:val="left"/>
      </w:pPr>
      <w:r>
        <w:rPr/>
        <w:t>（</w:t>
      </w:r>
      <w:hyperlink r:id="rId9">
        <w:r>
          <w:rPr>
            <w:rFonts w:ascii="Times New Roman" w:hAnsi="Times New Roman" w:cs="Times New Roman" w:eastAsia="Times New Roman" w:hint="default"/>
          </w:rPr>
          <w:t>http://www.cninfo.com.cn</w:t>
        </w:r>
      </w:hyperlink>
      <w:r>
        <w:rPr/>
        <w:t>）为指定信息披露网站，确保所有股东能公平地获取公司信息。 公司根据中国证监会《上市公司监管指引第 </w:t>
      </w:r>
      <w:r>
        <w:rPr>
          <w:rFonts w:ascii="Times New Roman" w:hAnsi="Times New Roman" w:cs="Times New Roman" w:eastAsia="Times New Roman" w:hint="default"/>
        </w:rPr>
        <w:t>3 </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上市公司现金分红》等相关规定和要求，着眼于公司长远和可持续</w:t>
      </w:r>
    </w:p>
    <w:p>
      <w:pPr>
        <w:pStyle w:val="BodyText"/>
        <w:spacing w:line="316" w:lineRule="auto" w:before="13"/>
        <w:ind w:right="191"/>
        <w:jc w:val="both"/>
      </w:pPr>
      <w:r>
        <w:rPr>
          <w:spacing w:val="-2"/>
        </w:rPr>
        <w:t>发展，在综合考虑公司经营情况和发展目标、股东意愿等因素，特别是在充分考虑中小股东利益的基础上，建立对投资者持</w:t>
      </w:r>
      <w:r>
        <w:rPr>
          <w:spacing w:val="-65"/>
        </w:rPr>
        <w:t> </w:t>
      </w:r>
      <w:r>
        <w:rPr>
          <w:spacing w:val="-65"/>
        </w:rPr>
      </w:r>
      <w:r>
        <w:rPr>
          <w:spacing w:val="-2"/>
        </w:rPr>
        <w:t>续、稳定、科学的回报规划与机制，制定了《深圳华大基因股份有限公司上市后前三年股东分红回报规划》，实行积极的利</w:t>
      </w:r>
      <w:r>
        <w:rPr>
          <w:spacing w:val="-67"/>
        </w:rPr>
        <w:t> </w:t>
      </w:r>
      <w:r>
        <w:rPr>
          <w:spacing w:val="-67"/>
        </w:rPr>
      </w:r>
      <w:r>
        <w:rPr/>
        <w:t>润分配政策，充分保障公司股东的合法权益，为股东提供稳定持续的投资回报。</w:t>
      </w:r>
    </w:p>
    <w:p>
      <w:pPr>
        <w:pStyle w:val="BodyText"/>
        <w:spacing w:line="316" w:lineRule="auto" w:before="19"/>
        <w:ind w:right="194" w:firstLine="360"/>
        <w:jc w:val="both"/>
      </w:pPr>
      <w:r>
        <w:rPr>
          <w:spacing w:val="-2"/>
        </w:rPr>
        <w:t>公司财务政策稳健，资产、资金安全，且严格按照与债权人签订的合同履行债务，做好与债权人的交流沟通，保持良好</w:t>
      </w:r>
      <w:r>
        <w:rPr/>
        <w:t> 的沟通协作关系，以降低自身的经营风险和财务风险，在维护股东利益的同时兼顾债权人的利益。</w:t>
      </w:r>
    </w:p>
    <w:p>
      <w:pPr>
        <w:pStyle w:val="BodyText"/>
        <w:spacing w:line="432" w:lineRule="exact" w:before="3"/>
        <w:ind w:left="513" w:right="94" w:hanging="89"/>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）职工权益保护</w:t>
      </w:r>
      <w:r>
        <w:rPr>
          <w:rFonts w:ascii="宋体" w:hAnsi="宋体" w:cs="宋体" w:eastAsia="宋体" w:hint="default"/>
          <w:b/>
          <w:bCs/>
          <w:w w:val="99"/>
        </w:rPr>
        <w:t> </w:t>
      </w:r>
      <w:r>
        <w:rPr>
          <w:spacing w:val="-2"/>
        </w:rPr>
        <w:t>公司秉持构建和谐劳动关系的理念，坚持以人为本的原则，保护劳动者合法权益、规范劳动秩序。公司严格按照《劳动</w:t>
      </w:r>
    </w:p>
    <w:p>
      <w:pPr>
        <w:pStyle w:val="BodyText"/>
        <w:spacing w:line="316" w:lineRule="auto" w:before="15"/>
        <w:ind w:right="102"/>
        <w:jc w:val="both"/>
      </w:pPr>
      <w:r>
        <w:rPr/>
        <w:t>法》、《劳动合同法》等法律法规的相关规定及要求，制定并不断完善人力资源管理相关各项制度，与员工签订劳动合同，</w:t>
      </w:r>
      <w:r>
        <w:rPr>
          <w:spacing w:val="-83"/>
        </w:rPr>
        <w:t> </w:t>
      </w:r>
      <w:r>
        <w:rPr>
          <w:spacing w:val="-83"/>
        </w:rPr>
      </w:r>
      <w:r>
        <w:rPr/>
        <w:t>建立规范的劳动关系，明确双方权利义务，并依法为员工办理各项社会保险，维护员工的合法权益。</w:t>
      </w:r>
    </w:p>
    <w:p>
      <w:pPr>
        <w:pStyle w:val="BodyText"/>
        <w:spacing w:line="309" w:lineRule="auto" w:before="19"/>
        <w:ind w:right="190" w:firstLine="360"/>
        <w:jc w:val="both"/>
      </w:pPr>
      <w:r>
        <w:rPr>
          <w:spacing w:val="-5"/>
        </w:rPr>
        <w:t>公司关注员工的职业成长、工作环境与身心健康，提倡</w:t>
      </w:r>
      <w:r>
        <w:rPr>
          <w:rFonts w:ascii="Times New Roman" w:hAnsi="Times New Roman" w:cs="Times New Roman" w:eastAsia="Times New Roman" w:hint="default"/>
          <w:spacing w:val="-5"/>
        </w:rPr>
        <w:t>“</w:t>
      </w:r>
      <w:r>
        <w:rPr>
          <w:spacing w:val="-5"/>
        </w:rPr>
        <w:t>身体好、学习好、工作好</w:t>
      </w:r>
      <w:r>
        <w:rPr>
          <w:rFonts w:ascii="Times New Roman" w:hAnsi="Times New Roman" w:cs="Times New Roman" w:eastAsia="Times New Roman" w:hint="default"/>
          <w:spacing w:val="-5"/>
        </w:rPr>
        <w:t>”</w:t>
      </w:r>
      <w:r>
        <w:rPr>
          <w:spacing w:val="-5"/>
        </w:rPr>
        <w:t>。公司开展了包括员工基本素养培训、</w:t>
      </w:r>
      <w:r>
        <w:rPr/>
        <w:t> </w:t>
      </w:r>
      <w:r>
        <w:rPr>
          <w:spacing w:val="-2"/>
        </w:rPr>
        <w:t>知识培训和技能培训等各种形式的培训活动，助力员工职业发展，通过采取多种举措加强企业文化建设，提升员工在公司的</w:t>
      </w:r>
      <w:r>
        <w:rPr>
          <w:spacing w:val="-63"/>
        </w:rPr>
        <w:t> </w:t>
      </w:r>
      <w:r>
        <w:rPr>
          <w:spacing w:val="-63"/>
        </w:rPr>
      </w:r>
      <w:r>
        <w:rPr/>
        <w:t>幸福感和归属感，增强企业的凝聚力，以实现员工与企业的共同发展。</w:t>
      </w:r>
    </w:p>
    <w:p>
      <w:pPr>
        <w:spacing w:line="432" w:lineRule="exact" w:before="9"/>
        <w:ind w:left="513" w:right="94" w:hanging="89"/>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）供应商、用户和消费者权益保护</w:t>
      </w:r>
      <w:r>
        <w:rPr>
          <w:rFonts w:ascii="宋体" w:hAnsi="宋体" w:cs="宋体" w:eastAsia="宋体" w:hint="default"/>
          <w:b/>
          <w:bCs/>
          <w:w w:val="99"/>
          <w:sz w:val="18"/>
          <w:szCs w:val="18"/>
        </w:rPr>
        <w:t> </w:t>
      </w:r>
      <w:r>
        <w:rPr>
          <w:rFonts w:ascii="宋体" w:hAnsi="宋体" w:cs="宋体" w:eastAsia="宋体" w:hint="default"/>
          <w:spacing w:val="-2"/>
          <w:sz w:val="18"/>
          <w:szCs w:val="18"/>
        </w:rPr>
        <w:t>公司历来注重消费者权益的保护，高度重视质量管理，提出全面质量计划，并通过全员参与，将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大质量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的理念贯穿在</w:t>
      </w:r>
    </w:p>
    <w:p>
      <w:pPr>
        <w:pStyle w:val="BodyText"/>
        <w:spacing w:line="309" w:lineRule="auto" w:before="15"/>
        <w:ind w:right="190"/>
        <w:jc w:val="both"/>
      </w:pPr>
      <w:r>
        <w:rPr>
          <w:spacing w:val="-2"/>
        </w:rPr>
        <w:t>文化、研发、生产和服务的全过程。公司的基因检测质量达到了国际先进水平，旗下的实验室更是中国首家在高通量基因测</w:t>
      </w:r>
      <w:r>
        <w:rPr>
          <w:spacing w:val="-63"/>
        </w:rPr>
        <w:t> </w:t>
      </w:r>
      <w:r>
        <w:rPr>
          <w:spacing w:val="-63"/>
        </w:rPr>
      </w:r>
      <w:r>
        <w:rPr/>
        <w:t>序领域获得</w:t>
      </w:r>
      <w:r>
        <w:rPr>
          <w:rFonts w:ascii="Times New Roman" w:hAnsi="Times New Roman" w:cs="Times New Roman" w:eastAsia="Times New Roman" w:hint="default"/>
        </w:rPr>
        <w:t>ISO/IEC</w:t>
      </w:r>
      <w:r>
        <w:rPr>
          <w:rFonts w:ascii="Times New Roman" w:hAnsi="Times New Roman" w:cs="Times New Roman" w:eastAsia="Times New Roman" w:hint="default"/>
          <w:spacing w:val="-24"/>
        </w:rPr>
        <w:t> </w:t>
      </w:r>
      <w:r>
        <w:rPr>
          <w:rFonts w:ascii="Times New Roman" w:hAnsi="Times New Roman" w:cs="Times New Roman" w:eastAsia="Times New Roman" w:hint="default"/>
        </w:rPr>
        <w:t>17025</w:t>
      </w:r>
      <w:r>
        <w:rPr/>
        <w:t>、</w:t>
      </w:r>
      <w:r>
        <w:rPr>
          <w:rFonts w:ascii="Times New Roman" w:hAnsi="Times New Roman" w:cs="Times New Roman" w:eastAsia="Times New Roman" w:hint="default"/>
        </w:rPr>
        <w:t>ISO</w:t>
      </w:r>
      <w:r>
        <w:rPr>
          <w:rFonts w:ascii="Times New Roman" w:hAnsi="Times New Roman" w:cs="Times New Roman" w:eastAsia="Times New Roman" w:hint="default"/>
          <w:spacing w:val="-24"/>
        </w:rPr>
        <w:t> </w:t>
      </w:r>
      <w:r>
        <w:rPr>
          <w:rFonts w:ascii="Times New Roman" w:hAnsi="Times New Roman" w:cs="Times New Roman" w:eastAsia="Times New Roman" w:hint="default"/>
        </w:rPr>
        <w:t>15189</w:t>
      </w:r>
      <w:r>
        <w:rPr/>
        <w:t>和</w:t>
      </w:r>
      <w:r>
        <w:rPr>
          <w:rFonts w:ascii="Times New Roman" w:hAnsi="Times New Roman" w:cs="Times New Roman" w:eastAsia="Times New Roman" w:hint="default"/>
        </w:rPr>
        <w:t>CAP</w:t>
      </w:r>
      <w:r>
        <w:rPr/>
        <w:t>认可的实验室，也是首个在海外获得</w:t>
      </w:r>
      <w:r>
        <w:rPr>
          <w:rFonts w:ascii="Times New Roman" w:hAnsi="Times New Roman" w:cs="Times New Roman" w:eastAsia="Times New Roman" w:hint="default"/>
        </w:rPr>
        <w:t>ISO</w:t>
      </w:r>
      <w:r>
        <w:rPr>
          <w:rFonts w:ascii="Times New Roman" w:hAnsi="Times New Roman" w:cs="Times New Roman" w:eastAsia="Times New Roman" w:hint="default"/>
          <w:spacing w:val="-24"/>
        </w:rPr>
        <w:t> </w:t>
      </w:r>
      <w:r>
        <w:rPr>
          <w:rFonts w:ascii="Times New Roman" w:hAnsi="Times New Roman" w:cs="Times New Roman" w:eastAsia="Times New Roman" w:hint="default"/>
        </w:rPr>
        <w:t>15189</w:t>
      </w:r>
      <w:r>
        <w:rPr/>
        <w:t>认可的高通量基因测序机构。除 此之外，公司还通过了</w:t>
      </w:r>
      <w:r>
        <w:rPr>
          <w:rFonts w:ascii="Times New Roman" w:hAnsi="Times New Roman" w:cs="Times New Roman" w:eastAsia="Times New Roman" w:hint="default"/>
        </w:rPr>
        <w:t>CLIA</w:t>
      </w:r>
      <w:r>
        <w:rPr/>
        <w:t>、</w:t>
      </w:r>
      <w:r>
        <w:rPr>
          <w:rFonts w:ascii="Times New Roman" w:hAnsi="Times New Roman" w:cs="Times New Roman" w:eastAsia="Times New Roman" w:hint="default"/>
        </w:rPr>
        <w:t>ISO 13485</w:t>
      </w:r>
      <w:r>
        <w:rPr/>
        <w:t>、</w:t>
      </w:r>
      <w:r>
        <w:rPr>
          <w:rFonts w:ascii="Times New Roman" w:hAnsi="Times New Roman" w:cs="Times New Roman" w:eastAsia="Times New Roman" w:hint="default"/>
        </w:rPr>
        <w:t>ISO 9001</w:t>
      </w:r>
      <w:r>
        <w:rPr/>
        <w:t>、</w:t>
      </w:r>
      <w:r>
        <w:rPr>
          <w:rFonts w:ascii="Times New Roman" w:hAnsi="Times New Roman" w:cs="Times New Roman" w:eastAsia="Times New Roman" w:hint="default"/>
        </w:rPr>
        <w:t>ISO 14001</w:t>
      </w:r>
      <w:r>
        <w:rPr/>
        <w:t>、</w:t>
      </w:r>
      <w:r>
        <w:rPr>
          <w:rFonts w:ascii="Times New Roman" w:hAnsi="Times New Roman" w:cs="Times New Roman" w:eastAsia="Times New Roman" w:hint="default"/>
        </w:rPr>
        <w:t>OHSAS 18001</w:t>
      </w:r>
      <w:r>
        <w:rPr/>
        <w:t>、</w:t>
      </w:r>
      <w:r>
        <w:rPr>
          <w:rFonts w:ascii="Times New Roman" w:hAnsi="Times New Roman" w:cs="Times New Roman" w:eastAsia="Times New Roman" w:hint="default"/>
        </w:rPr>
        <w:t>ISO/IEC</w:t>
      </w:r>
      <w:r>
        <w:rPr>
          <w:rFonts w:ascii="Times New Roman" w:hAnsi="Times New Roman" w:cs="Times New Roman" w:eastAsia="Times New Roman" w:hint="default"/>
          <w:spacing w:val="-13"/>
        </w:rPr>
        <w:t> </w:t>
      </w:r>
      <w:r>
        <w:rPr>
          <w:rFonts w:ascii="Times New Roman" w:hAnsi="Times New Roman" w:cs="Times New Roman" w:eastAsia="Times New Roman" w:hint="default"/>
        </w:rPr>
        <w:t>27001</w:t>
      </w:r>
      <w:r>
        <w:rPr/>
        <w:t>等多个国际认证。</w:t>
      </w:r>
    </w:p>
    <w:p>
      <w:pPr>
        <w:pStyle w:val="BodyText"/>
        <w:spacing w:line="300" w:lineRule="auto" w:before="5"/>
        <w:ind w:right="193" w:firstLine="360"/>
        <w:jc w:val="both"/>
      </w:pPr>
      <w:r>
        <w:rPr>
          <w:spacing w:val="-3"/>
        </w:rPr>
        <w:t>公司严格恪守</w:t>
      </w:r>
      <w:r>
        <w:rPr>
          <w:rFonts w:ascii="Times New Roman" w:hAnsi="Times New Roman" w:cs="Times New Roman" w:eastAsia="Times New Roman" w:hint="default"/>
          <w:spacing w:val="-3"/>
        </w:rPr>
        <w:t>“</w:t>
      </w:r>
      <w:r>
        <w:rPr>
          <w:spacing w:val="-3"/>
        </w:rPr>
        <w:t>公正、科学、严谨、准确、及时</w:t>
      </w:r>
      <w:r>
        <w:rPr>
          <w:rFonts w:ascii="Times New Roman" w:hAnsi="Times New Roman" w:cs="Times New Roman" w:eastAsia="Times New Roman" w:hint="default"/>
          <w:spacing w:val="-3"/>
        </w:rPr>
        <w:t>”</w:t>
      </w:r>
      <w:r>
        <w:rPr>
          <w:spacing w:val="-3"/>
        </w:rPr>
        <w:t>的质量方针，以</w:t>
      </w:r>
      <w:r>
        <w:rPr>
          <w:rFonts w:ascii="Times New Roman" w:hAnsi="Times New Roman" w:cs="Times New Roman" w:eastAsia="Times New Roman" w:hint="default"/>
          <w:spacing w:val="-3"/>
        </w:rPr>
        <w:t>“</w:t>
      </w:r>
      <w:r>
        <w:rPr>
          <w:spacing w:val="-3"/>
        </w:rPr>
        <w:t>一丝不苟，精益求精</w:t>
      </w:r>
      <w:r>
        <w:rPr>
          <w:rFonts w:ascii="Times New Roman" w:hAnsi="Times New Roman" w:cs="Times New Roman" w:eastAsia="Times New Roman" w:hint="default"/>
          <w:spacing w:val="-3"/>
        </w:rPr>
        <w:t>”</w:t>
      </w:r>
      <w:r>
        <w:rPr>
          <w:spacing w:val="-3"/>
        </w:rPr>
        <w:t>的原则为合作伙伴及顾客提供</w:t>
      </w:r>
      <w:r>
        <w:rPr>
          <w:rFonts w:ascii="Times New Roman" w:hAnsi="Times New Roman" w:cs="Times New Roman" w:eastAsia="Times New Roman" w:hint="default"/>
          <w:spacing w:val="-3"/>
        </w:rPr>
        <w:t>“</w:t>
      </w:r>
      <w:r>
        <w:rPr>
          <w:spacing w:val="-3"/>
        </w:rPr>
        <w:t>精</w:t>
      </w:r>
      <w:r>
        <w:rPr/>
        <w:t> 准、高效、可靠</w:t>
      </w:r>
      <w:r>
        <w:rPr>
          <w:rFonts w:ascii="Times New Roman" w:hAnsi="Times New Roman" w:cs="Times New Roman" w:eastAsia="Times New Roman" w:hint="default"/>
        </w:rPr>
        <w:t>”</w:t>
      </w:r>
      <w:r>
        <w:rPr/>
        <w:t>的科研及临床应用服务。凭借</w:t>
      </w:r>
      <w:r>
        <w:rPr>
          <w:rFonts w:ascii="Times New Roman" w:hAnsi="Times New Roman" w:cs="Times New Roman" w:eastAsia="Times New Roman" w:hint="default"/>
        </w:rPr>
        <w:t>“</w:t>
      </w:r>
      <w:r>
        <w:rPr/>
        <w:t>全面质量计划实施经验</w:t>
      </w:r>
      <w:r>
        <w:rPr>
          <w:rFonts w:ascii="Times New Roman" w:hAnsi="Times New Roman" w:cs="Times New Roman" w:eastAsia="Times New Roman" w:hint="default"/>
        </w:rPr>
        <w:t>”</w:t>
      </w:r>
      <w:r>
        <w:rPr/>
        <w:t>，公司荣获了</w:t>
      </w:r>
      <w:r>
        <w:rPr>
          <w:rFonts w:ascii="Times New Roman" w:hAnsi="Times New Roman" w:cs="Times New Roman" w:eastAsia="Times New Roman" w:hint="default"/>
        </w:rPr>
        <w:t>2017</w:t>
      </w:r>
      <w:r>
        <w:rPr/>
        <w:t>年深圳</w:t>
      </w:r>
      <w:r>
        <w:rPr>
          <w:rFonts w:ascii="Times New Roman" w:hAnsi="Times New Roman" w:cs="Times New Roman" w:eastAsia="Times New Roman" w:hint="default"/>
        </w:rPr>
        <w:t>“</w:t>
      </w:r>
      <w:r>
        <w:rPr/>
        <w:t>质量标杆</w:t>
      </w:r>
      <w:r>
        <w:rPr>
          <w:rFonts w:ascii="Times New Roman" w:hAnsi="Times New Roman" w:cs="Times New Roman" w:eastAsia="Times New Roman" w:hint="default"/>
        </w:rPr>
        <w:t>”</w:t>
      </w:r>
      <w:r>
        <w:rPr/>
        <w:t>。</w:t>
      </w:r>
    </w:p>
    <w:p>
      <w:pPr>
        <w:pStyle w:val="BodyText"/>
        <w:spacing w:line="316" w:lineRule="auto" w:before="13"/>
        <w:ind w:right="190" w:firstLine="360"/>
        <w:jc w:val="both"/>
      </w:pPr>
      <w:r>
        <w:rPr>
          <w:spacing w:val="-2"/>
        </w:rPr>
        <w:t>为防范公司或职工与用户和供应商进行的各类商业贿赂活动，公司及子公司制定并严格执行相关业务人员廉洁规范，配</w:t>
      </w:r>
      <w:r>
        <w:rPr/>
        <w:t> </w:t>
      </w:r>
      <w:r>
        <w:rPr>
          <w:spacing w:val="-2"/>
        </w:rPr>
        <w:t>合实施相关防范和监控措施，防范商业贿赂。公司禁止任何销售人员在代表本公司从事业务行为时，向第三方当事人提供贿</w:t>
      </w:r>
      <w:r>
        <w:rPr>
          <w:spacing w:val="-63"/>
        </w:rPr>
        <w:t> </w:t>
      </w:r>
      <w:r>
        <w:rPr>
          <w:spacing w:val="-63"/>
        </w:rPr>
      </w:r>
      <w:r>
        <w:rPr>
          <w:spacing w:val="-2"/>
        </w:rPr>
        <w:t>赂、向与本公司有利害关系的公司或人索取礼物或利益，或未按公司规定收受与公司有利害关系的公司或人提供的礼物或利</w:t>
      </w:r>
      <w:r>
        <w:rPr>
          <w:spacing w:val="-64"/>
        </w:rPr>
        <w:t> </w:t>
      </w:r>
      <w:r>
        <w:rPr>
          <w:spacing w:val="-64"/>
        </w:rPr>
      </w:r>
      <w:r>
        <w:rPr/>
        <w:t>益。</w:t>
      </w:r>
    </w:p>
    <w:p>
      <w:pPr>
        <w:pStyle w:val="BodyText"/>
        <w:spacing w:line="432" w:lineRule="exact" w:before="3"/>
        <w:ind w:left="513" w:right="94" w:hanging="89"/>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）社会公益事业</w:t>
      </w:r>
      <w:r>
        <w:rPr>
          <w:rFonts w:ascii="宋体" w:hAnsi="宋体" w:cs="宋体" w:eastAsia="宋体" w:hint="default"/>
          <w:b/>
          <w:bCs/>
          <w:w w:val="99"/>
        </w:rPr>
        <w:t> </w:t>
      </w:r>
      <w:r>
        <w:rPr>
          <w:spacing w:val="-2"/>
        </w:rPr>
        <w:t>华大基因秉承</w:t>
      </w:r>
      <w:r>
        <w:rPr>
          <w:rFonts w:ascii="Times New Roman" w:hAnsi="Times New Roman" w:cs="Times New Roman" w:eastAsia="Times New Roman" w:hint="default"/>
          <w:spacing w:val="-2"/>
        </w:rPr>
        <w:t>“</w:t>
      </w:r>
      <w:r>
        <w:rPr>
          <w:spacing w:val="-2"/>
        </w:rPr>
        <w:t>基因科技造福人类</w:t>
      </w:r>
      <w:r>
        <w:rPr>
          <w:rFonts w:ascii="Times New Roman" w:hAnsi="Times New Roman" w:cs="Times New Roman" w:eastAsia="Times New Roman" w:hint="default"/>
          <w:spacing w:val="-2"/>
        </w:rPr>
        <w:t>”</w:t>
      </w:r>
      <w:r>
        <w:rPr>
          <w:spacing w:val="-2"/>
        </w:rPr>
        <w:t>的愿景，以推动生命科学研究进展和提高全球医疗健康水平为出发点，基于基因领域</w:t>
      </w:r>
    </w:p>
    <w:p>
      <w:pPr>
        <w:pStyle w:val="BodyText"/>
        <w:spacing w:line="316" w:lineRule="auto" w:before="15"/>
        <w:ind w:right="102"/>
        <w:jc w:val="both"/>
      </w:pPr>
      <w:r>
        <w:rPr/>
        <w:t>研究成果及生物技术在民生健康方面的应用，进行科研和产业布局，致力于加速科学创新，减少出生缺陷，加强肿瘤防控，</w:t>
      </w:r>
      <w:r>
        <w:rPr>
          <w:spacing w:val="-83"/>
        </w:rPr>
        <w:t> </w:t>
      </w:r>
      <w:r>
        <w:rPr>
          <w:spacing w:val="-83"/>
        </w:rPr>
      </w:r>
      <w:r>
        <w:rPr/>
        <w:t>抑制重大疾病对人类的危害，实现精准治愈感染，助力精准医学。</w:t>
      </w:r>
    </w:p>
    <w:p>
      <w:pPr>
        <w:pStyle w:val="BodyText"/>
        <w:spacing w:line="240" w:lineRule="auto" w:before="139"/>
        <w:ind w:left="513" w:right="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月，公司在中国公益慈善领域较具影响力的第六届中国公益节上获评</w:t>
      </w:r>
      <w:r>
        <w:rPr>
          <w:rFonts w:ascii="Times New Roman" w:hAnsi="Times New Roman" w:cs="Times New Roman" w:eastAsia="Times New Roman" w:hint="default"/>
        </w:rPr>
        <w:t>2016</w:t>
      </w:r>
      <w:r>
        <w:rPr/>
        <w:t>年度责任品牌奖。</w:t>
      </w:r>
    </w:p>
    <w:p>
      <w:pPr>
        <w:spacing w:after="0" w:line="240" w:lineRule="auto"/>
        <w:jc w:val="left"/>
        <w:sectPr>
          <w:pgSz w:w="11910" w:h="16840"/>
          <w:pgMar w:header="0" w:footer="974" w:top="1100" w:bottom="1160" w:left="980" w:right="940"/>
        </w:sectPr>
      </w:pPr>
    </w:p>
    <w:p>
      <w:pPr>
        <w:spacing w:line="240" w:lineRule="auto" w:before="0"/>
        <w:rPr>
          <w:rFonts w:ascii="宋体" w:hAnsi="宋体" w:cs="宋体" w:eastAsia="宋体" w:hint="default"/>
          <w:sz w:val="22"/>
          <w:szCs w:val="22"/>
        </w:rPr>
      </w:pPr>
    </w:p>
    <w:p>
      <w:pPr>
        <w:pStyle w:val="BodyText"/>
        <w:spacing w:line="300" w:lineRule="auto" w:before="44"/>
        <w:ind w:right="190"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年，子公司北京吉比爱在西藏自治区包虫病防治工作中贡献突出，通过先进的血清学筛查技术，为西藏自治区完 </w:t>
      </w:r>
      <w:r>
        <w:rPr>
          <w:spacing w:val="-5"/>
        </w:rPr>
        <w:t>成</w:t>
      </w:r>
      <w:r>
        <w:rPr>
          <w:rFonts w:ascii="Times New Roman" w:hAnsi="Times New Roman" w:cs="Times New Roman" w:eastAsia="Times New Roman" w:hint="default"/>
          <w:spacing w:val="-5"/>
        </w:rPr>
        <w:t>83</w:t>
      </w:r>
      <w:r>
        <w:rPr>
          <w:spacing w:val="-5"/>
        </w:rPr>
        <w:t>万份包虫样本的检测，受到社会的极大关注，成为彻底根除包虫病在藏区危害的转折战役。诸如此类的防治模板的推广，</w:t>
      </w:r>
      <w:r>
        <w:rPr>
          <w:spacing w:val="-72"/>
        </w:rPr>
        <w:t> </w:t>
      </w:r>
      <w:r>
        <w:rPr>
          <w:spacing w:val="-72"/>
        </w:rPr>
      </w:r>
      <w:r>
        <w:rPr/>
        <w:t>为自治区经济社会和医疗卫生行业发展注入了强心剂。</w:t>
      </w:r>
    </w:p>
    <w:p>
      <w:pPr>
        <w:pStyle w:val="BodyText"/>
        <w:spacing w:line="300" w:lineRule="auto" w:before="151"/>
        <w:ind w:right="194" w:firstLine="360"/>
        <w:jc w:val="both"/>
      </w:pPr>
      <w:r>
        <w:rPr/>
        <w:t>依托公司领先的基因技术，公司联合公益组织启动实施了</w:t>
      </w:r>
      <w:r>
        <w:rPr>
          <w:rFonts w:ascii="Times New Roman" w:hAnsi="Times New Roman" w:cs="Times New Roman" w:eastAsia="Times New Roman" w:hint="default"/>
        </w:rPr>
        <w:t>“</w:t>
      </w:r>
      <w:r>
        <w:rPr/>
        <w:t>为百名遗传病疑难杂症患者提供免费的基因检测</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永久免 费为中国重症地贫患儿做高分辨</w:t>
      </w:r>
      <w:r>
        <w:rPr>
          <w:rFonts w:ascii="Times New Roman" w:hAnsi="Times New Roman" w:cs="Times New Roman" w:eastAsia="Times New Roman" w:hint="default"/>
        </w:rPr>
        <w:t>HLA</w:t>
      </w:r>
      <w:r>
        <w:rPr/>
        <w:t>配型</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深圳女性远离两癌倡议</w:t>
      </w:r>
      <w:r>
        <w:rPr>
          <w:rFonts w:ascii="Times New Roman" w:hAnsi="Times New Roman" w:cs="Times New Roman" w:eastAsia="Times New Roman" w:hint="default"/>
        </w:rPr>
        <w:t>”</w:t>
      </w:r>
      <w:r>
        <w:rPr/>
        <w:t>等多个公益项目。公司还在河南长垣、重庆渝北、贵</w:t>
      </w:r>
      <w:r>
        <w:rPr>
          <w:spacing w:val="-67"/>
        </w:rPr>
        <w:t> </w:t>
      </w:r>
      <w:r>
        <w:rPr>
          <w:spacing w:val="-67"/>
        </w:rPr>
      </w:r>
      <w:r>
        <w:rPr/>
        <w:t>州黔西南、安徽太和和湖南长沙等地合作开展民生检测项目，让老百姓能在常规诊疗中享受基因科技产业化的普惠成果。</w:t>
      </w:r>
    </w:p>
    <w:p>
      <w:pPr>
        <w:pStyle w:val="BodyText"/>
        <w:spacing w:line="300" w:lineRule="auto" w:before="151"/>
        <w:ind w:right="101" w:firstLine="360"/>
        <w:jc w:val="both"/>
      </w:pPr>
      <w:r>
        <w:rPr/>
        <w:t>华大基因凭借自己的基因检测技术和高度社会责任感，践行</w:t>
      </w:r>
      <w:r>
        <w:rPr>
          <w:rFonts w:ascii="Times New Roman" w:hAnsi="Times New Roman" w:cs="Times New Roman" w:eastAsia="Times New Roman" w:hint="default"/>
        </w:rPr>
        <w:t>“</w:t>
      </w:r>
      <w:r>
        <w:rPr/>
        <w:t>基因科技造福人类</w:t>
      </w:r>
      <w:r>
        <w:rPr>
          <w:rFonts w:ascii="Times New Roman" w:hAnsi="Times New Roman" w:cs="Times New Roman" w:eastAsia="Times New Roman" w:hint="default"/>
        </w:rPr>
        <w:t>”</w:t>
      </w:r>
      <w:r>
        <w:rPr/>
        <w:t>的誓言，从公益活动到民生项目落地， 在助力精准医学，造福人类的道路上不忘初心，在产业发展同时持续对公益事业进行投入来回馈社会。</w:t>
      </w:r>
    </w:p>
    <w:p>
      <w:pPr>
        <w:spacing w:line="240" w:lineRule="auto" w:before="7"/>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pStyle w:val="BodyText"/>
        <w:spacing w:line="590" w:lineRule="atLeast" w:before="9"/>
        <w:ind w:left="513" w:right="94" w:hanging="36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）精准扶贫规划</w:t>
      </w:r>
      <w:r>
        <w:rPr>
          <w:rFonts w:ascii="宋体" w:hAnsi="宋体" w:cs="宋体" w:eastAsia="宋体" w:hint="default"/>
          <w:b/>
          <w:bCs/>
          <w:w w:val="99"/>
        </w:rPr>
        <w:t> </w:t>
      </w:r>
      <w:r>
        <w:rPr>
          <w:spacing w:val="-2"/>
        </w:rPr>
        <w:t>华大基因积极贯彻和推进中央关于“精准扶贫、精准脱贫”的方略，秉持“基因科技造福人类”的理念，利用先进的基</w:t>
      </w:r>
    </w:p>
    <w:p>
      <w:pPr>
        <w:pStyle w:val="BodyText"/>
        <w:spacing w:line="316" w:lineRule="auto" w:before="76"/>
        <w:ind w:right="94"/>
        <w:jc w:val="left"/>
      </w:pPr>
      <w:r>
        <w:rPr>
          <w:spacing w:val="-2"/>
        </w:rPr>
        <w:t>因检测技术，推进贫困地区的基因筛查民生工程。目标是通过对出生缺陷等的防控，助力当地破解因病致贫，因病返贫的现</w:t>
      </w:r>
      <w:r>
        <w:rPr>
          <w:spacing w:val="-65"/>
        </w:rPr>
        <w:t> </w:t>
      </w:r>
      <w:r>
        <w:rPr>
          <w:spacing w:val="-65"/>
        </w:rPr>
      </w:r>
      <w:r>
        <w:rPr/>
        <w:t>实困境，从而实现精准扶贫。在实施过程中，公司结合已开展民生项目经验，联合各界公益组织，为精准扶贫做好保障。</w:t>
      </w:r>
    </w:p>
    <w:p>
      <w:pPr>
        <w:spacing w:line="240" w:lineRule="auto" w:before="7"/>
        <w:rPr>
          <w:rFonts w:ascii="宋体" w:hAnsi="宋体" w:cs="宋体" w:eastAsia="宋体" w:hint="default"/>
          <w:sz w:val="24"/>
          <w:szCs w:val="24"/>
        </w:rPr>
      </w:pPr>
    </w:p>
    <w:p>
      <w:pPr>
        <w:pStyle w:val="Heading4"/>
        <w:spacing w:line="240" w:lineRule="auto" w:before="0"/>
        <w:ind w:right="94"/>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7"/>
        <w:ind w:right="194" w:firstLine="360"/>
        <w:jc w:val="both"/>
      </w:pPr>
      <w:r>
        <w:rPr>
          <w:rFonts w:ascii="Times New Roman" w:hAnsi="Times New Roman" w:cs="Times New Roman" w:eastAsia="Times New Roman" w:hint="default"/>
          <w:spacing w:val="-2"/>
        </w:rPr>
        <w:t>2017</w:t>
      </w:r>
      <w:r>
        <w:rPr>
          <w:spacing w:val="-2"/>
        </w:rPr>
        <w:t>年度，华大基因按照整体扶贫方略，结合已开展民生工程项目经验，协同政府、扶贫协会等社会各界公益组织，开</w:t>
      </w:r>
      <w:r>
        <w:rPr/>
        <w:t> 展了多项健康扶贫工作。具体情况如下：</w:t>
      </w:r>
    </w:p>
    <w:p>
      <w:pPr>
        <w:pStyle w:val="BodyText"/>
        <w:spacing w:line="316" w:lineRule="auto" w:before="152"/>
        <w:ind w:right="193" w:firstLine="360"/>
        <w:jc w:val="both"/>
      </w:pPr>
      <w:r>
        <w:rPr>
          <w:spacing w:val="-5"/>
        </w:rPr>
        <w:t>华大基因继续承接天津滨海新区在陕西省商洛市开展的“遗传病联合基因筛查”公益活动，“黔西南模式”基因检检测；</w:t>
      </w:r>
      <w:r>
        <w:rPr/>
        <w:t> </w:t>
      </w:r>
      <w:r>
        <w:rPr>
          <w:spacing w:val="-2"/>
        </w:rPr>
        <w:t>并相继在国家级贫困县江西省赣州市于都县、开发扶贫和生态建设试验区毕节市等区域开展出生缺陷防控民生工程，累计完</w:t>
      </w:r>
      <w:r>
        <w:rPr>
          <w:spacing w:val="-64"/>
        </w:rPr>
        <w:t> </w:t>
      </w:r>
      <w:r>
        <w:rPr>
          <w:spacing w:val="-64"/>
        </w:rPr>
      </w:r>
      <w:r>
        <w:rPr/>
        <w:t>成约</w:t>
      </w:r>
      <w:r>
        <w:rPr>
          <w:rFonts w:ascii="Times New Roman" w:hAnsi="Times New Roman" w:cs="Times New Roman" w:eastAsia="Times New Roman" w:hint="default"/>
        </w:rPr>
        <w:t>14.6</w:t>
      </w:r>
      <w:r>
        <w:rPr/>
        <w:t>万人次筛查，发现阳性约</w:t>
      </w:r>
      <w:r>
        <w:rPr>
          <w:rFonts w:ascii="Times New Roman" w:hAnsi="Times New Roman" w:cs="Times New Roman" w:eastAsia="Times New Roman" w:hint="default"/>
        </w:rPr>
        <w:t>4,800</w:t>
      </w:r>
      <w:r>
        <w:rPr/>
        <w:t>例。</w:t>
      </w:r>
    </w:p>
    <w:p>
      <w:pPr>
        <w:pStyle w:val="BodyText"/>
        <w:spacing w:line="300" w:lineRule="auto" w:before="119"/>
        <w:ind w:right="103" w:firstLine="360"/>
        <w:jc w:val="both"/>
      </w:pPr>
      <w:r>
        <w:rPr>
          <w:rFonts w:ascii="Times New Roman" w:hAnsi="Times New Roman" w:cs="Times New Roman" w:eastAsia="Times New Roman" w:hint="default"/>
        </w:rPr>
        <w:t>2017</w:t>
      </w:r>
      <w:r>
        <w:rPr/>
        <w:t>年，华大基因联合深圳市关爱行动公益基金会，将一台国产临床基因检测高通量测序仪捐赠给河池市妇幼保健院， 旨在帮助当地生命健康检测的本地化开展。</w:t>
      </w:r>
    </w:p>
    <w:p>
      <w:pPr>
        <w:pStyle w:val="BodyText"/>
        <w:spacing w:line="316" w:lineRule="auto" w:before="151"/>
        <w:ind w:right="194" w:firstLine="360"/>
        <w:jc w:val="both"/>
      </w:pPr>
      <w:r>
        <w:rPr>
          <w:spacing w:val="-2"/>
        </w:rPr>
        <w:t>华大基因在精准扶贫的工作上，不但围绕通过基因筛查民生工程，防控生出缺陷、肿瘤的发生，实现因病致贫，因病返</w:t>
      </w:r>
      <w:r>
        <w:rPr/>
        <w:t> 贫的控制，也在不断的探索形式多元化，多种资源组合的精准扶贫模式。</w:t>
      </w:r>
    </w:p>
    <w:p>
      <w:pPr>
        <w:spacing w:line="240" w:lineRule="auto" w:before="7"/>
        <w:rPr>
          <w:rFonts w:ascii="宋体" w:hAnsi="宋体" w:cs="宋体" w:eastAsia="宋体" w:hint="default"/>
          <w:sz w:val="24"/>
          <w:szCs w:val="24"/>
        </w:rPr>
      </w:pPr>
    </w:p>
    <w:p>
      <w:pPr>
        <w:spacing w:line="588" w:lineRule="auto" w:before="0"/>
        <w:ind w:left="513" w:right="8278"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）精准扶贫成效</w:t>
      </w:r>
      <w:r>
        <w:rPr>
          <w:rFonts w:ascii="宋体" w:hAnsi="宋体" w:cs="宋体" w:eastAsia="宋体" w:hint="default"/>
          <w:b/>
          <w:bCs/>
          <w:w w:val="99"/>
          <w:sz w:val="18"/>
          <w:szCs w:val="18"/>
        </w:rPr>
        <w:t> </w:t>
      </w:r>
      <w:r>
        <w:rPr>
          <w:rFonts w:ascii="宋体" w:hAnsi="宋体" w:cs="宋体" w:eastAsia="宋体" w:hint="default"/>
          <w:sz w:val="18"/>
          <w:szCs w:val="18"/>
        </w:rPr>
        <w:t>不适用</w:t>
      </w:r>
    </w:p>
    <w:p>
      <w:pPr>
        <w:pStyle w:val="Heading4"/>
        <w:spacing w:line="240" w:lineRule="auto" w:before="118"/>
        <w:ind w:right="94"/>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right="195" w:firstLine="360"/>
        <w:jc w:val="both"/>
      </w:pPr>
      <w:r>
        <w:rPr>
          <w:spacing w:val="-6"/>
        </w:rPr>
        <w:t>华大基因将继续践行中央关于“精准扶贫、精准脱贫”的方略，加快产品升级，降低成本，通过实施基因筛查民生工程，</w:t>
      </w:r>
      <w:r>
        <w:rPr/>
        <w:t> </w:t>
      </w:r>
      <w:r>
        <w:rPr>
          <w:spacing w:val="-2"/>
        </w:rPr>
        <w:t>更加精准地对贯穿全生命周期的出生缺陷、肿瘤、传感染病进行防控，持续缓解因病致贫，因病返贫的局面。同时继续不断</w:t>
      </w:r>
      <w:r>
        <w:rPr>
          <w:spacing w:val="-67"/>
        </w:rPr>
        <w:t> </w:t>
      </w:r>
      <w:r>
        <w:rPr>
          <w:spacing w:val="-67"/>
        </w:rPr>
      </w:r>
      <w:r>
        <w:rPr/>
        <w:t>探索多种模式，多种资源组合，努力做到更精准的扶贫。</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4774"/>
        <w:jc w:val="left"/>
      </w:pPr>
      <w:r>
        <w:rPr/>
        <w:t>上市公司及其子公司是否属于环境保护部门公布的重点排污单位 是</w:t>
      </w:r>
    </w:p>
    <w:p>
      <w:pPr>
        <w:spacing w:after="0" w:line="360" w:lineRule="auto"/>
        <w:jc w:val="left"/>
        <w:sectPr>
          <w:pgSz w:w="11910" w:h="16840"/>
          <w:pgMar w:header="0" w:footer="974" w:top="1100" w:bottom="1160" w:left="980" w:right="940"/>
        </w:sectPr>
      </w:pPr>
    </w:p>
    <w:p>
      <w:pPr>
        <w:spacing w:line="240" w:lineRule="auto" w:before="0"/>
        <w:rPr>
          <w:rFonts w:ascii="宋体" w:hAnsi="宋体" w:cs="宋体" w:eastAsia="宋体" w:hint="default"/>
          <w:sz w:val="22"/>
          <w:szCs w:val="22"/>
        </w:rPr>
      </w:pPr>
    </w:p>
    <w:p>
      <w:pPr>
        <w:pStyle w:val="BodyText"/>
        <w:spacing w:line="309" w:lineRule="auto" w:before="44"/>
        <w:ind w:right="250" w:firstLine="360"/>
        <w:jc w:val="both"/>
      </w:pPr>
      <w:r>
        <w:rPr/>
        <w:t>根据天津市环保局公布的</w:t>
      </w:r>
      <w:r>
        <w:rPr>
          <w:rFonts w:ascii="Times New Roman" w:hAnsi="Times New Roman" w:cs="Times New Roman" w:eastAsia="Times New Roman" w:hint="default"/>
        </w:rPr>
        <w:t>2017</w:t>
      </w:r>
      <w:r>
        <w:rPr/>
        <w:t>年天津市重点排污单位名录的通知，天津市临床分子诊断企业重点实验室（隶属：天津 华大基因科技有限公司）属于重点排污单位。天津市临床分子诊断企业重点实验室（隶属：天津华大基因科技有限公司） 属于重点实验室，环保统计时是根据行业类别将重点实验室默认为重点排污单位，实际不存在排污情况。</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60" w:lineRule="auto"/>
        <w:ind w:right="7254"/>
        <w:jc w:val="left"/>
      </w:pPr>
      <w:r>
        <w:rPr/>
        <w:t>防治污染设施的建设和运行情况 不适用</w:t>
      </w:r>
    </w:p>
    <w:p>
      <w:pPr>
        <w:pStyle w:val="BodyText"/>
        <w:spacing w:line="357" w:lineRule="auto" w:before="27"/>
        <w:ind w:right="5634"/>
        <w:jc w:val="left"/>
      </w:pPr>
      <w:r>
        <w:rPr/>
        <w:t>建设项目环境影响评价及其他环境保护行政许可情况 不适用</w:t>
      </w:r>
    </w:p>
    <w:p>
      <w:pPr>
        <w:pStyle w:val="BodyText"/>
        <w:spacing w:line="360" w:lineRule="auto" w:before="29"/>
        <w:ind w:right="7974"/>
        <w:jc w:val="left"/>
      </w:pPr>
      <w:r>
        <w:rPr/>
        <w:t>突发环境事件应急预案 不适用 环境自行监测方案 不适用</w:t>
      </w:r>
    </w:p>
    <w:p>
      <w:pPr>
        <w:pStyle w:val="BodyText"/>
        <w:spacing w:line="357" w:lineRule="auto" w:before="27"/>
        <w:ind w:right="7794"/>
        <w:jc w:val="left"/>
      </w:pPr>
      <w:r>
        <w:rPr/>
        <w:t>其他应当公开的环境信息 不适用</w:t>
      </w:r>
    </w:p>
    <w:p>
      <w:pPr>
        <w:pStyle w:val="BodyText"/>
        <w:spacing w:line="360" w:lineRule="auto" w:before="29"/>
        <w:ind w:right="8334"/>
        <w:jc w:val="left"/>
      </w:pPr>
      <w:r>
        <w:rPr/>
        <w:t>其他环保相关信息 不适用</w:t>
      </w:r>
    </w:p>
    <w:p>
      <w:pPr>
        <w:spacing w:line="240" w:lineRule="auto" w:before="5"/>
        <w:rPr>
          <w:rFonts w:ascii="宋体" w:hAnsi="宋体" w:cs="宋体" w:eastAsia="宋体" w:hint="default"/>
          <w:sz w:val="18"/>
          <w:szCs w:val="18"/>
        </w:rPr>
      </w:pPr>
    </w:p>
    <w:p>
      <w:pPr>
        <w:pStyle w:val="Heading2"/>
        <w:spacing w:line="240" w:lineRule="auto"/>
        <w:ind w:right="141"/>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430" w:lineRule="exact" w:before="52"/>
        <w:ind w:left="513" w:right="188"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（一）调整董事会成员人数事项的说明</w:t>
      </w:r>
      <w:r>
        <w:rPr>
          <w:rFonts w:ascii="宋体" w:hAnsi="宋体" w:cs="宋体" w:eastAsia="宋体" w:hint="default"/>
          <w:b/>
          <w:bCs/>
          <w:w w:val="99"/>
          <w:sz w:val="18"/>
          <w:szCs w:val="18"/>
        </w:rPr>
        <w:t> </w:t>
      </w:r>
      <w:r>
        <w:rPr>
          <w:rFonts w:ascii="宋体" w:hAnsi="宋体" w:cs="宋体" w:eastAsia="宋体" w:hint="default"/>
          <w:sz w:val="18"/>
          <w:szCs w:val="18"/>
        </w:rPr>
        <w:t>为进一步提高董事会运作效率和战略决策水平</w:t>
      </w:r>
      <w:r>
        <w:rPr>
          <w:rFonts w:ascii="Times New Roman" w:hAnsi="Times New Roman" w:cs="Times New Roman" w:eastAsia="Times New Roman" w:hint="default"/>
          <w:sz w:val="18"/>
          <w:szCs w:val="18"/>
        </w:rPr>
        <w:t>,</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日召开的公司第一届董事会第十七次会议、</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p>
    <w:p>
      <w:pPr>
        <w:pStyle w:val="BodyText"/>
        <w:spacing w:line="300" w:lineRule="auto" w:before="15"/>
        <w:ind w:right="158"/>
        <w:jc w:val="both"/>
      </w:pPr>
      <w:r>
        <w:rPr/>
        <w:t>月</w:t>
      </w:r>
      <w:r>
        <w:rPr>
          <w:rFonts w:ascii="Times New Roman" w:hAnsi="Times New Roman" w:cs="Times New Roman" w:eastAsia="Times New Roman" w:hint="default"/>
        </w:rPr>
        <w:t>7</w:t>
      </w:r>
      <w:r>
        <w:rPr/>
        <w:t>日召开的</w:t>
      </w:r>
      <w:r>
        <w:rPr>
          <w:rFonts w:ascii="Times New Roman" w:hAnsi="Times New Roman" w:cs="Times New Roman" w:eastAsia="Times New Roman" w:hint="default"/>
        </w:rPr>
        <w:t>2018</w:t>
      </w:r>
      <w:r>
        <w:rPr/>
        <w:t>年第一次临时股东大会审议通过了《关于调整董事会成员人数暨修订〈公司章程〉的议案》，根据公司经 营发展及实际情况需要，公司董事会成员人数由 </w:t>
      </w:r>
      <w:r>
        <w:rPr>
          <w:rFonts w:ascii="Times New Roman" w:hAnsi="Times New Roman" w:cs="Times New Roman" w:eastAsia="Times New Roman" w:hint="default"/>
        </w:rPr>
        <w:t>15 </w:t>
      </w:r>
      <w:r>
        <w:rPr/>
        <w:t>人调整为 </w:t>
      </w:r>
      <w:r>
        <w:rPr>
          <w:rFonts w:ascii="Times New Roman" w:hAnsi="Times New Roman" w:cs="Times New Roman" w:eastAsia="Times New Roman" w:hint="default"/>
        </w:rPr>
        <w:t>12 </w:t>
      </w:r>
      <w:r>
        <w:rPr/>
        <w:t>人，其中独立董事 </w:t>
      </w: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人。公司董事吴淳女士、董事赵谦 先生和独立董事王石先生因个人原因辞任。</w:t>
      </w:r>
    </w:p>
    <w:p>
      <w:pPr>
        <w:pStyle w:val="BodyText"/>
        <w:spacing w:line="240" w:lineRule="auto" w:before="151"/>
        <w:ind w:left="513" w:right="141"/>
        <w:jc w:val="left"/>
      </w:pPr>
      <w:r>
        <w:rPr/>
        <w:t>上述内容详见公司于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日在巨潮资讯网上披露的《关于调整董事会成员人数暨修订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的公告》</w:t>
      </w:r>
    </w:p>
    <w:p>
      <w:pPr>
        <w:pStyle w:val="BodyText"/>
        <w:spacing w:line="240" w:lineRule="auto" w:before="63"/>
        <w:ind w:right="141"/>
        <w:jc w:val="left"/>
      </w:pPr>
      <w:r>
        <w:rPr/>
        <w:t>（公告编号：</w:t>
      </w:r>
      <w:r>
        <w:rPr>
          <w:rFonts w:ascii="Times New Roman" w:hAnsi="Times New Roman" w:cs="Times New Roman" w:eastAsia="Times New Roman" w:hint="default"/>
        </w:rPr>
        <w:t>2018-002</w:t>
      </w:r>
      <w:r>
        <w:rPr/>
        <w:t>）、《关于公司董事辞任的公告》（公告编号：</w:t>
      </w:r>
      <w:r>
        <w:rPr>
          <w:rFonts w:ascii="Times New Roman" w:hAnsi="Times New Roman" w:cs="Times New Roman" w:eastAsia="Times New Roman" w:hint="default"/>
        </w:rPr>
        <w:t>2018-004</w:t>
      </w:r>
      <w:r>
        <w:rPr/>
        <w:t>）。</w:t>
      </w:r>
    </w:p>
    <w:p>
      <w:pPr>
        <w:spacing w:line="240" w:lineRule="auto" w:before="3"/>
        <w:rPr>
          <w:rFonts w:ascii="宋体" w:hAnsi="宋体" w:cs="宋体" w:eastAsia="宋体" w:hint="default"/>
          <w:sz w:val="24"/>
          <w:szCs w:val="24"/>
        </w:rPr>
      </w:pPr>
    </w:p>
    <w:p>
      <w:pPr>
        <w:pStyle w:val="Heading2"/>
        <w:spacing w:line="240" w:lineRule="auto"/>
        <w:ind w:right="141"/>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41"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公司将首次公开发行股票募集资金净额人民币</w:t>
      </w:r>
      <w:r>
        <w:rPr>
          <w:rFonts w:ascii="Times New Roman" w:hAnsi="Times New Roman" w:cs="Times New Roman" w:eastAsia="Times New Roman" w:hint="default"/>
        </w:rPr>
        <w:t>483,861,339.62</w:t>
      </w:r>
      <w:r>
        <w:rPr/>
        <w:t>元对负责实施募投项目的各子公司进行增资，增资款均用</w:t>
      </w:r>
    </w:p>
    <w:p>
      <w:pPr>
        <w:pStyle w:val="BodyText"/>
        <w:spacing w:line="217" w:lineRule="exact"/>
        <w:ind w:right="141"/>
        <w:jc w:val="left"/>
      </w:pPr>
      <w:r>
        <w:rPr/>
        <w:t>于募投项目的建设。具体实施情况如下：</w:t>
      </w:r>
    </w:p>
    <w:p>
      <w:pPr>
        <w:pStyle w:val="BodyText"/>
        <w:spacing w:line="240" w:lineRule="auto" w:before="76"/>
        <w:ind w:left="513" w:right="141"/>
        <w:jc w:val="left"/>
      </w:pPr>
      <w:r>
        <w:rPr>
          <w:rFonts w:ascii="Times New Roman" w:hAnsi="Times New Roman" w:cs="Times New Roman" w:eastAsia="Times New Roman" w:hint="default"/>
          <w:spacing w:val="7"/>
        </w:rPr>
        <w:t>1</w:t>
      </w:r>
      <w:r>
        <w:rPr>
          <w:spacing w:val="7"/>
        </w:rPr>
        <w:t>、公司使用募集资金向深圳华大临床检验中心（以下简称</w:t>
      </w:r>
      <w:r>
        <w:rPr>
          <w:rFonts w:ascii="Times New Roman" w:hAnsi="Times New Roman" w:cs="Times New Roman" w:eastAsia="Times New Roman" w:hint="default"/>
          <w:spacing w:val="7"/>
        </w:rPr>
        <w:t>“</w:t>
      </w:r>
      <w:r>
        <w:rPr>
          <w:spacing w:val="7"/>
        </w:rPr>
        <w:t>深圳临检</w:t>
      </w:r>
      <w:r>
        <w:rPr>
          <w:rFonts w:ascii="Times New Roman" w:hAnsi="Times New Roman" w:cs="Times New Roman" w:eastAsia="Times New Roman" w:hint="default"/>
          <w:spacing w:val="7"/>
        </w:rPr>
        <w:t>”</w:t>
      </w:r>
      <w:r>
        <w:rPr>
          <w:spacing w:val="7"/>
        </w:rPr>
        <w:t>）增资人民币</w:t>
      </w:r>
      <w:r>
        <w:rPr>
          <w:rFonts w:ascii="Times New Roman" w:hAnsi="Times New Roman" w:cs="Times New Roman" w:eastAsia="Times New Roman" w:hint="default"/>
          <w:spacing w:val="7"/>
        </w:rPr>
        <w:t>82,308,400.00</w:t>
      </w:r>
      <w:r>
        <w:rPr>
          <w:spacing w:val="7"/>
        </w:rPr>
        <w:t>元，其中人民币</w:t>
      </w:r>
      <w:r>
        <w:rPr/>
      </w:r>
    </w:p>
    <w:p>
      <w:pPr>
        <w:pStyle w:val="BodyText"/>
        <w:spacing w:line="300" w:lineRule="auto" w:before="63"/>
        <w:ind w:right="144"/>
        <w:jc w:val="left"/>
      </w:pPr>
      <w:r>
        <w:rPr>
          <w:rFonts w:ascii="Times New Roman" w:hAnsi="Times New Roman" w:cs="Times New Roman" w:eastAsia="Times New Roman" w:hint="default"/>
        </w:rPr>
        <w:t>10,000,000.00</w:t>
      </w:r>
      <w:r>
        <w:rPr/>
        <w:t>元计入注册资本，人民币</w:t>
      </w:r>
      <w:r>
        <w:rPr>
          <w:rFonts w:ascii="Times New Roman" w:hAnsi="Times New Roman" w:cs="Times New Roman" w:eastAsia="Times New Roman" w:hint="default"/>
        </w:rPr>
        <w:t>72,308,400.00</w:t>
      </w:r>
      <w:r>
        <w:rPr/>
        <w:t>元计入资本公积，深圳临检于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日完成增资事项及相应工商 变更手续，深圳临检的注册资本从人民币</w:t>
      </w:r>
      <w:r>
        <w:rPr>
          <w:rFonts w:ascii="Times New Roman" w:hAnsi="Times New Roman" w:cs="Times New Roman" w:eastAsia="Times New Roman" w:hint="default"/>
        </w:rPr>
        <w:t>1,000</w:t>
      </w:r>
      <w:r>
        <w:rPr/>
        <w:t>万元增加至人民币</w:t>
      </w:r>
      <w:r>
        <w:rPr>
          <w:rFonts w:ascii="Times New Roman" w:hAnsi="Times New Roman" w:cs="Times New Roman" w:eastAsia="Times New Roman" w:hint="default"/>
        </w:rPr>
        <w:t>2,000</w:t>
      </w:r>
      <w:r>
        <w:rPr/>
        <w:t>万。</w:t>
      </w:r>
    </w:p>
    <w:p>
      <w:pPr>
        <w:pStyle w:val="BodyText"/>
        <w:spacing w:line="300" w:lineRule="auto" w:before="13"/>
        <w:ind w:right="151" w:firstLine="362"/>
        <w:jc w:val="both"/>
      </w:pPr>
      <w:r>
        <w:rPr>
          <w:rFonts w:ascii="Times New Roman" w:hAnsi="Times New Roman" w:cs="Times New Roman" w:eastAsia="Times New Roman" w:hint="default"/>
          <w:spacing w:val="-1"/>
        </w:rPr>
        <w:t>2</w:t>
      </w:r>
      <w:r>
        <w:rPr>
          <w:spacing w:val="-1"/>
        </w:rPr>
        <w:t>、公司使用募集资金向天津华大医学检验所有限公司（以下简称</w:t>
      </w:r>
      <w:r>
        <w:rPr>
          <w:rFonts w:ascii="Times New Roman" w:hAnsi="Times New Roman" w:cs="Times New Roman" w:eastAsia="Times New Roman" w:hint="default"/>
          <w:spacing w:val="-1"/>
        </w:rPr>
        <w:t>“</w:t>
      </w:r>
      <w:r>
        <w:rPr>
          <w:spacing w:val="-1"/>
        </w:rPr>
        <w:t>天津医检</w:t>
      </w:r>
      <w:r>
        <w:rPr>
          <w:rFonts w:ascii="Times New Roman" w:hAnsi="Times New Roman" w:cs="Times New Roman" w:eastAsia="Times New Roman" w:hint="default"/>
          <w:spacing w:val="-1"/>
        </w:rPr>
        <w:t>”</w:t>
      </w:r>
      <w:r>
        <w:rPr>
          <w:spacing w:val="-1"/>
        </w:rPr>
        <w:t>）进行增资人民币</w:t>
      </w:r>
      <w:r>
        <w:rPr>
          <w:rFonts w:ascii="Times New Roman" w:hAnsi="Times New Roman" w:cs="Times New Roman" w:eastAsia="Times New Roman" w:hint="default"/>
          <w:spacing w:val="-1"/>
        </w:rPr>
        <w:t>170,412,939.62</w:t>
      </w:r>
      <w:r>
        <w:rPr>
          <w:spacing w:val="-1"/>
        </w:rPr>
        <w:t>元，其中</w:t>
      </w:r>
      <w:r>
        <w:rPr/>
        <w:t> 人民币</w:t>
      </w:r>
      <w:r>
        <w:rPr>
          <w:rFonts w:ascii="Times New Roman" w:hAnsi="Times New Roman" w:cs="Times New Roman" w:eastAsia="Times New Roman" w:hint="default"/>
        </w:rPr>
        <w:t>10,000,000.00</w:t>
      </w:r>
      <w:r>
        <w:rPr/>
        <w:t>元计入注册资本，人民币</w:t>
      </w:r>
      <w:r>
        <w:rPr>
          <w:rFonts w:ascii="Times New Roman" w:hAnsi="Times New Roman" w:cs="Times New Roman" w:eastAsia="Times New Roman" w:hint="default"/>
        </w:rPr>
        <w:t>160,412,939.62</w:t>
      </w:r>
      <w:r>
        <w:rPr/>
        <w:t>元计入资本公积，天津医检于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日完成增资事项及相 应工商变更手续，天津医检的注册资本从人民币</w:t>
      </w:r>
      <w:r>
        <w:rPr>
          <w:rFonts w:ascii="Times New Roman" w:hAnsi="Times New Roman" w:cs="Times New Roman" w:eastAsia="Times New Roman" w:hint="default"/>
        </w:rPr>
        <w:t>1,000</w:t>
      </w:r>
      <w:r>
        <w:rPr/>
        <w:t>万元增加至人民币</w:t>
      </w:r>
      <w:r>
        <w:rPr>
          <w:rFonts w:ascii="Times New Roman" w:hAnsi="Times New Roman" w:cs="Times New Roman" w:eastAsia="Times New Roman" w:hint="default"/>
        </w:rPr>
        <w:t>2,000</w:t>
      </w:r>
      <w:r>
        <w:rPr/>
        <w:t>万元。</w:t>
      </w:r>
    </w:p>
    <w:p>
      <w:pPr>
        <w:pStyle w:val="BodyText"/>
        <w:spacing w:line="300" w:lineRule="auto" w:before="13"/>
        <w:ind w:right="148" w:firstLine="360"/>
        <w:jc w:val="both"/>
      </w:pPr>
      <w:r>
        <w:rPr>
          <w:rFonts w:ascii="Times New Roman" w:hAnsi="Times New Roman" w:cs="Times New Roman" w:eastAsia="Times New Roman" w:hint="default"/>
          <w:spacing w:val="-1"/>
        </w:rPr>
        <w:t>3</w:t>
      </w:r>
      <w:r>
        <w:rPr>
          <w:spacing w:val="-1"/>
        </w:rPr>
        <w:t>、公司使用募集资金向武汉华大医学检验所有限公司（以下简称</w:t>
      </w:r>
      <w:r>
        <w:rPr>
          <w:rFonts w:ascii="Times New Roman" w:hAnsi="Times New Roman" w:cs="Times New Roman" w:eastAsia="Times New Roman" w:hint="default"/>
          <w:spacing w:val="-1"/>
        </w:rPr>
        <w:t>“</w:t>
      </w:r>
      <w:r>
        <w:rPr>
          <w:spacing w:val="-1"/>
        </w:rPr>
        <w:t>武汉医检</w:t>
      </w:r>
      <w:r>
        <w:rPr>
          <w:rFonts w:ascii="Times New Roman" w:hAnsi="Times New Roman" w:cs="Times New Roman" w:eastAsia="Times New Roman" w:hint="default"/>
          <w:spacing w:val="-1"/>
        </w:rPr>
        <w:t>”</w:t>
      </w:r>
      <w:r>
        <w:rPr>
          <w:spacing w:val="-1"/>
        </w:rPr>
        <w:t>）进行增资人民币</w:t>
      </w:r>
      <w:r>
        <w:rPr>
          <w:rFonts w:ascii="Times New Roman" w:hAnsi="Times New Roman" w:cs="Times New Roman" w:eastAsia="Times New Roman" w:hint="default"/>
          <w:spacing w:val="-1"/>
        </w:rPr>
        <w:t>231,140,000.00</w:t>
      </w:r>
      <w:r>
        <w:rPr>
          <w:spacing w:val="-1"/>
        </w:rPr>
        <w:t>元，其中</w:t>
      </w:r>
      <w:r>
        <w:rPr/>
        <w:t> 人民币</w:t>
      </w:r>
      <w:r>
        <w:rPr>
          <w:rFonts w:ascii="Times New Roman" w:hAnsi="Times New Roman" w:cs="Times New Roman" w:eastAsia="Times New Roman" w:hint="default"/>
        </w:rPr>
        <w:t>6,000,000.00</w:t>
      </w:r>
      <w:r>
        <w:rPr/>
        <w:t>元计入注册资本，人民币</w:t>
      </w:r>
      <w:r>
        <w:rPr>
          <w:rFonts w:ascii="Times New Roman" w:hAnsi="Times New Roman" w:cs="Times New Roman" w:eastAsia="Times New Roman" w:hint="default"/>
        </w:rPr>
        <w:t>225,140,000.00</w:t>
      </w:r>
      <w:r>
        <w:rPr/>
        <w:t>元计入资本公积，武汉医检于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日完成增资事项及相 应工商变更手续，武汉医检的注册资本从人民币</w:t>
      </w:r>
      <w:r>
        <w:rPr>
          <w:rFonts w:ascii="Times New Roman" w:hAnsi="Times New Roman" w:cs="Times New Roman" w:eastAsia="Times New Roman" w:hint="default"/>
        </w:rPr>
        <w:t>9,400</w:t>
      </w:r>
      <w:r>
        <w:rPr/>
        <w:t>万元增加至人民币</w:t>
      </w:r>
      <w:r>
        <w:rPr>
          <w:rFonts w:ascii="Times New Roman" w:hAnsi="Times New Roman" w:cs="Times New Roman" w:eastAsia="Times New Roman" w:hint="default"/>
        </w:rPr>
        <w:t>10,000</w:t>
      </w:r>
      <w:r>
        <w:rPr/>
        <w:t>万元。</w:t>
      </w:r>
    </w:p>
    <w:p>
      <w:pPr>
        <w:spacing w:after="0" w:line="300" w:lineRule="auto"/>
        <w:jc w:val="both"/>
        <w:sectPr>
          <w:footerReference w:type="default" r:id="rId36"/>
          <w:pgSz w:w="11910" w:h="16840"/>
          <w:pgMar w:footer="974" w:header="0" w:top="1100" w:bottom="1160" w:left="980" w:right="980"/>
          <w:pgNumType w:start="96"/>
        </w:sectPr>
      </w:pPr>
    </w:p>
    <w:p>
      <w:pPr>
        <w:spacing w:line="240" w:lineRule="auto" w:before="0"/>
        <w:rPr>
          <w:rFonts w:ascii="宋体" w:hAnsi="宋体" w:cs="宋体" w:eastAsia="宋体" w:hint="default"/>
          <w:sz w:val="22"/>
          <w:szCs w:val="22"/>
        </w:rPr>
      </w:pPr>
    </w:p>
    <w:p>
      <w:pPr>
        <w:pStyle w:val="BodyText"/>
        <w:spacing w:line="240" w:lineRule="auto" w:before="44"/>
        <w:ind w:left="513" w:right="0"/>
        <w:jc w:val="left"/>
      </w:pPr>
      <w:r>
        <w:rPr/>
        <w:t>以上增资实施事项具体详见公司于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日发布在巨潮资讯网的《关于使用募集资金对子公司进行增资的公告》</w:t>
      </w:r>
    </w:p>
    <w:p>
      <w:pPr>
        <w:pStyle w:val="BodyText"/>
        <w:spacing w:line="300" w:lineRule="auto" w:before="63"/>
        <w:ind w:right="152"/>
        <w:jc w:val="both"/>
      </w:pPr>
      <w:r>
        <w:rPr/>
        <w:t>（公告编号：</w:t>
      </w:r>
      <w:r>
        <w:rPr>
          <w:rFonts w:ascii="Times New Roman" w:hAnsi="Times New Roman" w:cs="Times New Roman" w:eastAsia="Times New Roman" w:hint="default"/>
        </w:rPr>
        <w:t>2017-017</w:t>
      </w:r>
      <w:r>
        <w:rPr/>
        <w:t>）；增资进展事项具体详见公司分别于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日发布在巨潮资讯网的《关于</w:t>
      </w:r>
      <w:r>
        <w:rPr>
          <w:spacing w:val="-62"/>
        </w:rPr>
        <w:t> </w:t>
      </w:r>
      <w:r>
        <w:rPr>
          <w:spacing w:val="-62"/>
        </w:rPr>
      </w:r>
      <w:r>
        <w:rPr>
          <w:spacing w:val="-4"/>
        </w:rPr>
        <w:t>使用募集资金对子公司增资的进展公告》（公告编号：</w:t>
      </w:r>
      <w:r>
        <w:rPr>
          <w:rFonts w:ascii="Times New Roman" w:hAnsi="Times New Roman" w:cs="Times New Roman" w:eastAsia="Times New Roman" w:hint="default"/>
          <w:spacing w:val="-4"/>
        </w:rPr>
        <w:t>2017-029</w:t>
      </w:r>
      <w:r>
        <w:rPr>
          <w:spacing w:val="-4"/>
        </w:rPr>
        <w:t>）、《关于使用募集资金对子公司增资完成情况的公告》（公</w:t>
      </w:r>
      <w:r>
        <w:rPr/>
        <w:t> 告编号：</w:t>
      </w:r>
      <w:r>
        <w:rPr>
          <w:rFonts w:ascii="Times New Roman" w:hAnsi="Times New Roman" w:cs="Times New Roman" w:eastAsia="Times New Roman" w:hint="default"/>
        </w:rPr>
        <w:t>2017-048</w:t>
      </w:r>
      <w:r>
        <w:rPr/>
        <w:t>）。</w:t>
      </w:r>
    </w:p>
    <w:p>
      <w:pPr>
        <w:spacing w:after="0" w:line="300" w:lineRule="auto"/>
        <w:jc w:val="both"/>
        <w:sectPr>
          <w:pgSz w:w="11910" w:h="16840"/>
          <w:pgMar w:header="0" w:footer="974"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1"/>
        <w:spacing w:line="240" w:lineRule="auto"/>
        <w:ind w:left="2964" w:right="141"/>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41"/>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228"/>
        <w:gridCol w:w="824"/>
        <w:gridCol w:w="823"/>
        <w:gridCol w:w="821"/>
        <w:gridCol w:w="824"/>
        <w:gridCol w:w="821"/>
        <w:gridCol w:w="823"/>
        <w:gridCol w:w="821"/>
        <w:gridCol w:w="794"/>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316" w:right="43"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89.98%</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8,962,397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8,962,397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2.24%</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351,037,6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97.52%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351,037,6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87.74%</w:t>
            </w:r>
          </w:p>
        </w:tc>
      </w:tr>
      <w:tr>
        <w:trPr>
          <w:trHeight w:val="71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351,037,6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97.52%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351,037,6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87.74%</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40,100,00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40,100,00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40,100,00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10.02%</w:t>
            </w:r>
          </w:p>
        </w:tc>
      </w:tr>
      <w:tr>
        <w:trPr>
          <w:trHeight w:val="71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10.02%</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400,100,0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right="141"/>
        <w:jc w:val="left"/>
      </w:pPr>
      <w:r>
        <w:rPr/>
        <w:t>股份变动的原因</w:t>
      </w:r>
    </w:p>
    <w:p>
      <w:pPr>
        <w:pStyle w:val="BodyText"/>
        <w:spacing w:line="340" w:lineRule="auto" w:before="115"/>
        <w:ind w:left="513" w:right="141"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4"/>
        </w:rPr>
        <w:t>经中国证券监督管理委员会《关于核准深圳华大基因股份有限公司首次公开发行股票的批复》（证监许可</w:t>
      </w:r>
      <w:r>
        <w:rPr>
          <w:rFonts w:ascii="Times New Roman" w:hAnsi="Times New Roman" w:cs="Times New Roman" w:eastAsia="Times New Roman" w:hint="default"/>
          <w:spacing w:val="-4"/>
        </w:rPr>
        <w:t>[2017]1023</w:t>
      </w:r>
      <w:r>
        <w:rPr>
          <w:spacing w:val="-4"/>
        </w:rPr>
        <w:t>号）</w:t>
      </w:r>
    </w:p>
    <w:p>
      <w:pPr>
        <w:pStyle w:val="BodyText"/>
        <w:spacing w:line="229" w:lineRule="exact"/>
        <w:ind w:right="141"/>
        <w:jc w:val="left"/>
        <w:rPr>
          <w:rFonts w:ascii="Times New Roman" w:hAnsi="Times New Roman" w:cs="Times New Roman" w:eastAsia="Times New Roman" w:hint="default"/>
        </w:rPr>
      </w:pPr>
      <w:r>
        <w:rPr/>
        <w:t>核准，并经深圳证券交易所《关于深圳华大基因股份有限公司人民币普通股股票在创业板上市的通知》（深证上</w:t>
      </w:r>
      <w:r>
        <w:rPr>
          <w:rFonts w:ascii="Times New Roman" w:hAnsi="Times New Roman" w:cs="Times New Roman" w:eastAsia="Times New Roman" w:hint="default"/>
        </w:rPr>
        <w:t>[2017]440</w:t>
      </w:r>
    </w:p>
    <w:p>
      <w:pPr>
        <w:pStyle w:val="BodyText"/>
        <w:spacing w:line="240" w:lineRule="auto" w:before="63"/>
        <w:ind w:right="0"/>
        <w:jc w:val="left"/>
        <w:rPr>
          <w:rFonts w:ascii="Times New Roman" w:hAnsi="Times New Roman" w:cs="Times New Roman" w:eastAsia="Times New Roman" w:hint="default"/>
        </w:rPr>
      </w:pPr>
      <w:r>
        <w:rPr>
          <w:spacing w:val="-3"/>
        </w:rPr>
        <w:t>号）同意，公司首次公开发行人民币普通股股票</w:t>
      </w:r>
      <w:r>
        <w:rPr>
          <w:rFonts w:ascii="Times New Roman" w:hAnsi="Times New Roman" w:cs="Times New Roman" w:eastAsia="Times New Roman" w:hint="default"/>
          <w:spacing w:val="-3"/>
        </w:rPr>
        <w:t>4,010</w:t>
      </w:r>
      <w:r>
        <w:rPr>
          <w:spacing w:val="-3"/>
        </w:rPr>
        <w:t>万股。本次发行完成后，公司本次首次公开发行人民币普通股股票</w:t>
      </w:r>
      <w:r>
        <w:rPr>
          <w:rFonts w:ascii="Times New Roman" w:hAnsi="Times New Roman" w:cs="Times New Roman" w:eastAsia="Times New Roman" w:hint="default"/>
          <w:spacing w:val="-3"/>
        </w:rPr>
        <w:t>4,010</w:t>
      </w:r>
    </w:p>
    <w:p>
      <w:pPr>
        <w:spacing w:after="0" w:line="240" w:lineRule="auto"/>
        <w:jc w:val="left"/>
        <w:rPr>
          <w:rFonts w:ascii="Times New Roman" w:hAnsi="Times New Roman" w:cs="Times New Roman" w:eastAsia="Times New Roman" w:hint="default"/>
        </w:rPr>
        <w:sectPr>
          <w:pgSz w:w="11910" w:h="16840"/>
          <w:pgMar w:header="0" w:footer="974" w:top="1100" w:bottom="1160" w:left="980" w:right="980"/>
        </w:sectPr>
      </w:pPr>
    </w:p>
    <w:p>
      <w:pPr>
        <w:spacing w:line="240" w:lineRule="auto" w:before="1"/>
        <w:rPr>
          <w:rFonts w:ascii="Times New Roman" w:hAnsi="Times New Roman" w:cs="Times New Roman" w:eastAsia="Times New Roman" w:hint="default"/>
          <w:sz w:val="25"/>
          <w:szCs w:val="25"/>
        </w:rPr>
      </w:pPr>
    </w:p>
    <w:p>
      <w:pPr>
        <w:pStyle w:val="BodyText"/>
        <w:spacing w:line="240" w:lineRule="auto" w:before="44"/>
        <w:ind w:right="141"/>
        <w:jc w:val="left"/>
      </w:pPr>
      <w:r>
        <w:rPr/>
        <w:t>万股于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日在深圳证券交易所创业板上市。公司总股本由首次公开发行前的</w:t>
      </w:r>
      <w:r>
        <w:rPr>
          <w:rFonts w:ascii="Times New Roman" w:hAnsi="Times New Roman" w:cs="Times New Roman" w:eastAsia="Times New Roman" w:hint="default"/>
        </w:rPr>
        <w:t>36,000</w:t>
      </w:r>
      <w:r>
        <w:rPr/>
        <w:t>万股增至</w:t>
      </w:r>
      <w:r>
        <w:rPr>
          <w:rFonts w:ascii="Times New Roman" w:hAnsi="Times New Roman" w:cs="Times New Roman" w:eastAsia="Times New Roman" w:hint="default"/>
        </w:rPr>
        <w:t>40,010</w:t>
      </w:r>
      <w:r>
        <w:rPr/>
        <w:t>万股。</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141"/>
        <w:jc w:val="left"/>
      </w:pPr>
      <w:r>
        <w:rPr/>
        <w:t>股份变动的批准情况</w:t>
      </w:r>
    </w:p>
    <w:p>
      <w:pPr>
        <w:pStyle w:val="BodyText"/>
        <w:spacing w:line="340" w:lineRule="auto" w:before="115"/>
        <w:ind w:left="513" w:right="141"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4"/>
        </w:rPr>
        <w:t>经中国证券监督管理委员会《关于核准深圳华大基因股份有限公司首次公开发行股票的批复》（证监许可</w:t>
      </w:r>
      <w:r>
        <w:rPr>
          <w:rFonts w:ascii="Times New Roman" w:hAnsi="Times New Roman" w:cs="Times New Roman" w:eastAsia="Times New Roman" w:hint="default"/>
          <w:spacing w:val="-4"/>
        </w:rPr>
        <w:t>[2017]1023</w:t>
      </w:r>
      <w:r>
        <w:rPr>
          <w:spacing w:val="-4"/>
        </w:rPr>
        <w:t>号）</w:t>
      </w:r>
    </w:p>
    <w:p>
      <w:pPr>
        <w:pStyle w:val="BodyText"/>
        <w:spacing w:line="228" w:lineRule="exact"/>
        <w:ind w:right="141"/>
        <w:jc w:val="left"/>
        <w:rPr>
          <w:rFonts w:ascii="Times New Roman" w:hAnsi="Times New Roman" w:cs="Times New Roman" w:eastAsia="Times New Roman" w:hint="default"/>
        </w:rPr>
      </w:pPr>
      <w:r>
        <w:rPr/>
        <w:t>核准，并经深圳证券交易所《关于深圳华大基因股份有限公司人民币普通股股票在创业板上市的通知》（深证上</w:t>
      </w:r>
      <w:r>
        <w:rPr>
          <w:rFonts w:ascii="Times New Roman" w:hAnsi="Times New Roman" w:cs="Times New Roman" w:eastAsia="Times New Roman" w:hint="default"/>
        </w:rPr>
        <w:t>[2017]440</w:t>
      </w:r>
    </w:p>
    <w:p>
      <w:pPr>
        <w:pStyle w:val="BodyText"/>
        <w:spacing w:line="300" w:lineRule="auto" w:before="63"/>
        <w:ind w:right="150"/>
        <w:jc w:val="both"/>
      </w:pPr>
      <w:r>
        <w:rPr>
          <w:spacing w:val="-3"/>
        </w:rPr>
        <w:t>号）同意，公司首次公开发行人民币普通股股票</w:t>
      </w:r>
      <w:r>
        <w:rPr>
          <w:rFonts w:ascii="Times New Roman" w:hAnsi="Times New Roman" w:cs="Times New Roman" w:eastAsia="Times New Roman" w:hint="default"/>
          <w:spacing w:val="-3"/>
        </w:rPr>
        <w:t>4,010</w:t>
      </w:r>
      <w:r>
        <w:rPr>
          <w:spacing w:val="-3"/>
        </w:rPr>
        <w:t>万股。本次发行完成后，公司本次首次公开发行人民币普通股股票</w:t>
      </w:r>
      <w:r>
        <w:rPr>
          <w:rFonts w:ascii="Times New Roman" w:hAnsi="Times New Roman" w:cs="Times New Roman" w:eastAsia="Times New Roman" w:hint="default"/>
          <w:spacing w:val="-3"/>
        </w:rPr>
        <w:t>4,010</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2"/>
        </w:rPr>
        <w:t>万股于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14</w:t>
      </w:r>
      <w:r>
        <w:rPr>
          <w:spacing w:val="-2"/>
        </w:rPr>
        <w:t>日在深圳证券交易所创业板上市。公司《首次公开发行股票并在创业板上市之上市公告书》于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spacing w:val="-59"/>
        </w:rPr>
        <w:t> </w:t>
      </w:r>
      <w:r>
        <w:rPr>
          <w:rFonts w:ascii="Times New Roman" w:hAnsi="Times New Roman" w:cs="Times New Roman" w:eastAsia="Times New Roman" w:hint="default"/>
        </w:rPr>
        <w:t>13</w:t>
      </w:r>
      <w:r>
        <w:rPr/>
        <w:t>日在创业板指定的信息披露网站巨潮资讯网发布。</w:t>
      </w:r>
    </w:p>
    <w:p>
      <w:pPr>
        <w:spacing w:line="240" w:lineRule="auto" w:before="0"/>
        <w:rPr>
          <w:rFonts w:ascii="宋体" w:hAnsi="宋体" w:cs="宋体" w:eastAsia="宋体" w:hint="default"/>
          <w:sz w:val="18"/>
          <w:szCs w:val="18"/>
        </w:rPr>
      </w:pPr>
    </w:p>
    <w:p>
      <w:pPr>
        <w:pStyle w:val="BodyText"/>
        <w:spacing w:line="240" w:lineRule="auto" w:before="131"/>
        <w:ind w:right="141"/>
        <w:jc w:val="left"/>
      </w:pPr>
      <w:r>
        <w:rPr/>
        <w:t>股份变动的过户情况</w:t>
      </w:r>
    </w:p>
    <w:p>
      <w:pPr>
        <w:pStyle w:val="BodyText"/>
        <w:spacing w:line="340" w:lineRule="auto" w:before="115"/>
        <w:ind w:left="513" w:right="141"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报告期内，公司首次公开发行人民币普通股（</w:t>
      </w:r>
      <w:r>
        <w:rPr>
          <w:rFonts w:ascii="Times New Roman" w:hAnsi="Times New Roman" w:cs="Times New Roman" w:eastAsia="Times New Roman" w:hint="default"/>
          <w:spacing w:val="-1"/>
        </w:rPr>
        <w:t>A</w:t>
      </w:r>
      <w:r>
        <w:rPr>
          <w:spacing w:val="-1"/>
        </w:rPr>
        <w:t>股）股票</w:t>
      </w:r>
      <w:r>
        <w:rPr>
          <w:rFonts w:ascii="Times New Roman" w:hAnsi="Times New Roman" w:cs="Times New Roman" w:eastAsia="Times New Roman" w:hint="default"/>
          <w:spacing w:val="-1"/>
        </w:rPr>
        <w:t>4,010</w:t>
      </w:r>
      <w:r>
        <w:rPr>
          <w:spacing w:val="-1"/>
        </w:rPr>
        <w:t>万股，总股本</w:t>
      </w:r>
      <w:r>
        <w:rPr>
          <w:rFonts w:ascii="Times New Roman" w:hAnsi="Times New Roman" w:cs="Times New Roman" w:eastAsia="Times New Roman" w:hint="default"/>
          <w:spacing w:val="-1"/>
        </w:rPr>
        <w:t>40,010</w:t>
      </w:r>
      <w:r>
        <w:rPr>
          <w:spacing w:val="-1"/>
        </w:rPr>
        <w:t>万股已在中国证券登记结算有限责任</w:t>
      </w:r>
    </w:p>
    <w:p>
      <w:pPr>
        <w:pStyle w:val="BodyText"/>
        <w:spacing w:line="215" w:lineRule="exact"/>
        <w:ind w:right="141"/>
        <w:jc w:val="left"/>
      </w:pPr>
      <w:r>
        <w:rPr/>
        <w:t>公司深圳分公司办理完毕股份登记手续。</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141"/>
        <w:jc w:val="left"/>
      </w:pPr>
      <w:r>
        <w:rPr/>
        <w:t>股份变动对最近一年和最近一期基本每股收益和稀释每股收益、归属于公司普通股股东的每股净资产等财务指标的影响</w:t>
      </w:r>
    </w:p>
    <w:p>
      <w:pPr>
        <w:pStyle w:val="BodyText"/>
        <w:spacing w:line="240" w:lineRule="auto" w:before="115"/>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3596"/>
        <w:gridCol w:w="1937"/>
        <w:gridCol w:w="1939"/>
        <w:gridCol w:w="1937"/>
      </w:tblGrid>
      <w:tr>
        <w:trPr>
          <w:trHeight w:val="353" w:hRule="exact"/>
        </w:trPr>
        <w:tc>
          <w:tcPr>
            <w:tcW w:w="3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8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r>
        <w:trPr>
          <w:trHeight w:val="655" w:hRule="exact"/>
        </w:trPr>
        <w:tc>
          <w:tcPr>
            <w:tcW w:w="3596" w:type="dxa"/>
            <w:vMerge/>
            <w:tcBorders>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22" w:right="63" w:hanging="361"/>
              <w:jc w:val="left"/>
              <w:rPr>
                <w:rFonts w:ascii="宋体" w:hAnsi="宋体" w:cs="宋体" w:eastAsia="宋体" w:hint="default"/>
                <w:sz w:val="18"/>
                <w:szCs w:val="18"/>
              </w:rPr>
            </w:pPr>
            <w:r>
              <w:rPr>
                <w:rFonts w:ascii="宋体" w:hAnsi="宋体" w:cs="宋体" w:eastAsia="宋体" w:hint="default"/>
                <w:sz w:val="18"/>
                <w:szCs w:val="18"/>
              </w:rPr>
              <w:t>归属于公司普通股股东 的每股净资产</w:t>
            </w:r>
          </w:p>
        </w:tc>
      </w:tr>
      <w:tr>
        <w:trPr>
          <w:trHeight w:val="35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 w:right="0"/>
              <w:jc w:val="left"/>
              <w:rPr>
                <w:rFonts w:ascii="宋体" w:hAnsi="宋体" w:cs="宋体" w:eastAsia="宋体" w:hint="default"/>
                <w:sz w:val="18"/>
                <w:szCs w:val="18"/>
              </w:rPr>
            </w:pPr>
            <w:r>
              <w:rPr>
                <w:rFonts w:ascii="宋体" w:hAnsi="宋体" w:cs="宋体" w:eastAsia="宋体" w:hint="default"/>
                <w:sz w:val="18"/>
                <w:szCs w:val="18"/>
              </w:rPr>
              <w:t>按照变动后股本计算（元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1.05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1.05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761" w:right="0"/>
              <w:jc w:val="left"/>
              <w:rPr>
                <w:rFonts w:ascii="Times New Roman" w:hAnsi="Times New Roman" w:cs="Times New Roman" w:eastAsia="Times New Roman" w:hint="default"/>
                <w:sz w:val="18"/>
                <w:szCs w:val="18"/>
              </w:rPr>
            </w:pPr>
            <w:r>
              <w:rPr>
                <w:rFonts w:ascii="Times New Roman"/>
                <w:sz w:val="18"/>
              </w:rPr>
              <w:t>10.37</w:t>
            </w:r>
          </w:p>
        </w:tc>
      </w:tr>
      <w:tr>
        <w:trPr>
          <w:trHeight w:val="341"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按照变动前股本计算（元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1.11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1.11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61" w:right="0"/>
              <w:jc w:val="left"/>
              <w:rPr>
                <w:rFonts w:ascii="Times New Roman" w:hAnsi="Times New Roman" w:cs="Times New Roman" w:eastAsia="Times New Roman" w:hint="default"/>
                <w:sz w:val="18"/>
                <w:szCs w:val="18"/>
              </w:rPr>
            </w:pPr>
            <w:r>
              <w:rPr>
                <w:rFonts w:ascii="Times New Roman"/>
                <w:sz w:val="18"/>
              </w:rPr>
              <w:t>11.52</w:t>
            </w:r>
          </w:p>
        </w:tc>
      </w:tr>
    </w:tbl>
    <w:p>
      <w:pPr>
        <w:spacing w:line="240" w:lineRule="auto" w:before="6"/>
        <w:rPr>
          <w:rFonts w:ascii="宋体" w:hAnsi="宋体" w:cs="宋体" w:eastAsia="宋体" w:hint="default"/>
          <w:sz w:val="27"/>
          <w:szCs w:val="27"/>
        </w:rPr>
      </w:pPr>
    </w:p>
    <w:p>
      <w:pPr>
        <w:pStyle w:val="BodyText"/>
        <w:spacing w:line="240" w:lineRule="auto" w:before="44"/>
        <w:ind w:right="141"/>
        <w:jc w:val="left"/>
      </w:pPr>
      <w:r>
        <w:rPr/>
        <w:t>公司认为必要或证券监管机构要求披露的其他内容</w:t>
      </w:r>
    </w:p>
    <w:p>
      <w:pPr>
        <w:pStyle w:val="BodyText"/>
        <w:spacing w:line="240" w:lineRule="auto" w:before="115"/>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1"/>
        <w:jc w:val="left"/>
        <w:rPr>
          <w:b w:val="0"/>
          <w:bCs w:val="0"/>
        </w:rPr>
      </w:pPr>
      <w:r>
        <w:rPr/>
        <w:t>二、证券发行与上市情况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412"/>
        <w:gridCol w:w="1565"/>
        <w:gridCol w:w="1022"/>
        <w:gridCol w:w="1296"/>
        <w:gridCol w:w="1510"/>
        <w:gridCol w:w="1083"/>
        <w:gridCol w:w="1682"/>
      </w:tblGrid>
      <w:tr>
        <w:trPr>
          <w:trHeight w:val="713"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4"/>
              <w:ind w:left="57"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66" w:right="86"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13.64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40,100,000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40,100,000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980"/>
        </w:sectPr>
      </w:pPr>
    </w:p>
    <w:p>
      <w:pPr>
        <w:spacing w:line="240" w:lineRule="auto" w:before="12"/>
        <w:rPr>
          <w:rFonts w:ascii="宋体" w:hAnsi="宋体" w:cs="宋体" w:eastAsia="宋体" w:hint="default"/>
          <w:sz w:val="24"/>
          <w:szCs w:val="24"/>
        </w:rPr>
      </w:pPr>
    </w:p>
    <w:p>
      <w:pPr>
        <w:spacing w:line="402" w:lineRule="exact"/>
        <w:ind w:left="186"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5pt;height:20.150pt;mso-position-horizontal-relative:char;mso-position-vertical-relative:line" type="#_x0000_t202" filled="true" fillcolor="#d2d2d2" stroked="true" strokeweight=".47998pt" strokecolor="#000000">
            <w10:anchorlock/>
            <v:textbox inset="0,0,0,0">
              <w:txbxContent>
                <w:p>
                  <w:pPr>
                    <w:pStyle w:val="BodyText"/>
                    <w:spacing w:line="240" w:lineRule="auto" w:before="51"/>
                    <w:ind w:left="24" w:right="0"/>
                    <w:jc w:val="left"/>
                  </w:pPr>
                  <w:r>
                    <w:rPr/>
                    <w:t>其他衍生证券类</w:t>
                  </w:r>
                </w:p>
              </w:txbxContent>
            </v:textbox>
            <v:fill type="solid"/>
          </v:shape>
        </w:pict>
      </w:r>
      <w:r>
        <w:rPr>
          <w:rFonts w:ascii="宋体" w:hAnsi="宋体" w:cs="宋体" w:eastAsia="宋体" w:hint="default"/>
          <w:position w:val="-7"/>
          <w:sz w:val="20"/>
          <w:szCs w:val="20"/>
        </w:rPr>
      </w:r>
    </w:p>
    <w:p>
      <w:pPr>
        <w:pStyle w:val="BodyText"/>
        <w:spacing w:line="357" w:lineRule="auto" w:before="57"/>
        <w:ind w:left="513" w:right="141" w:hanging="361"/>
        <w:jc w:val="left"/>
      </w:pPr>
      <w:r>
        <w:rPr/>
        <w:t>报告期内证券发行（不含优先股）情况的说明 </w:t>
      </w:r>
      <w:r>
        <w:rPr>
          <w:spacing w:val="-4"/>
        </w:rPr>
        <w:t>经中国证券监督管理委员会《关于核准深圳华大基因股份有限公司首次公开发行股票的批复》（证监许可</w:t>
      </w:r>
      <w:r>
        <w:rPr>
          <w:rFonts w:ascii="Times New Roman" w:hAnsi="Times New Roman" w:cs="Times New Roman" w:eastAsia="Times New Roman" w:hint="default"/>
          <w:spacing w:val="-4"/>
        </w:rPr>
        <w:t>[2017]1023</w:t>
      </w:r>
      <w:r>
        <w:rPr>
          <w:spacing w:val="-4"/>
        </w:rPr>
        <w:t>号）</w:t>
      </w:r>
    </w:p>
    <w:p>
      <w:pPr>
        <w:pStyle w:val="BodyText"/>
        <w:spacing w:line="214" w:lineRule="exact"/>
        <w:ind w:right="141"/>
        <w:jc w:val="left"/>
        <w:rPr>
          <w:rFonts w:ascii="Times New Roman" w:hAnsi="Times New Roman" w:cs="Times New Roman" w:eastAsia="Times New Roman" w:hint="default"/>
        </w:rPr>
      </w:pPr>
      <w:r>
        <w:rPr/>
        <w:t>核准，并经深圳证券交易所《关于深圳华大基因股份有限公司人民币普通股股票在创业板上市的通知》（深证上</w:t>
      </w:r>
      <w:r>
        <w:rPr>
          <w:rFonts w:ascii="Times New Roman" w:hAnsi="Times New Roman" w:cs="Times New Roman" w:eastAsia="Times New Roman" w:hint="default"/>
        </w:rPr>
        <w:t>[2017]440</w:t>
      </w:r>
    </w:p>
    <w:p>
      <w:pPr>
        <w:pStyle w:val="BodyText"/>
        <w:spacing w:line="240" w:lineRule="auto" w:before="63"/>
        <w:ind w:right="141"/>
        <w:jc w:val="left"/>
      </w:pPr>
      <w:r>
        <w:rPr/>
        <w:t>号）同意，公司首次公开发行人民币普通股股票</w:t>
      </w:r>
      <w:r>
        <w:rPr>
          <w:rFonts w:ascii="Times New Roman" w:hAnsi="Times New Roman" w:cs="Times New Roman" w:eastAsia="Times New Roman" w:hint="default"/>
        </w:rPr>
        <w:t>4,010</w:t>
      </w:r>
      <w:r>
        <w:rPr/>
        <w:t>万股于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日在深圳证券交易所创业板上市。</w:t>
      </w:r>
    </w:p>
    <w:p>
      <w:pPr>
        <w:spacing w:line="240" w:lineRule="auto" w:before="13"/>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41"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4"/>
        </w:rPr>
        <w:t>经中国证券监督管理委员会《关于核准深圳华大基因股份有限公司首次公开发行股票的批复》（证监许可</w:t>
      </w:r>
      <w:r>
        <w:rPr>
          <w:rFonts w:ascii="Times New Roman" w:hAnsi="Times New Roman" w:cs="Times New Roman" w:eastAsia="Times New Roman" w:hint="default"/>
          <w:spacing w:val="-4"/>
        </w:rPr>
        <w:t>[2017]1023</w:t>
      </w:r>
      <w:r>
        <w:rPr>
          <w:spacing w:val="-4"/>
        </w:rPr>
        <w:t>号）</w:t>
      </w:r>
    </w:p>
    <w:p>
      <w:pPr>
        <w:pStyle w:val="BodyText"/>
        <w:spacing w:line="231" w:lineRule="exact"/>
        <w:ind w:right="141"/>
        <w:jc w:val="left"/>
        <w:rPr>
          <w:rFonts w:ascii="Times New Roman" w:hAnsi="Times New Roman" w:cs="Times New Roman" w:eastAsia="Times New Roman" w:hint="default"/>
        </w:rPr>
      </w:pPr>
      <w:r>
        <w:rPr/>
        <w:t>核准，并经深圳证券交易所《关于深圳华大基因股份有限公司人民币普通股股票在创业板上市的通知》（深证上</w:t>
      </w:r>
      <w:r>
        <w:rPr>
          <w:rFonts w:ascii="Times New Roman" w:hAnsi="Times New Roman" w:cs="Times New Roman" w:eastAsia="Times New Roman" w:hint="default"/>
        </w:rPr>
        <w:t>[2017]440</w:t>
      </w:r>
    </w:p>
    <w:p>
      <w:pPr>
        <w:pStyle w:val="BodyText"/>
        <w:spacing w:line="300" w:lineRule="auto" w:before="63"/>
        <w:ind w:right="141"/>
        <w:jc w:val="left"/>
      </w:pPr>
      <w:r>
        <w:rPr>
          <w:spacing w:val="-1"/>
        </w:rPr>
        <w:t>号）同意，公司首次公开发行人民币普通股股票</w:t>
      </w:r>
      <w:r>
        <w:rPr>
          <w:rFonts w:ascii="Times New Roman" w:hAnsi="Times New Roman" w:cs="Times New Roman" w:eastAsia="Times New Roman" w:hint="default"/>
          <w:spacing w:val="-1"/>
        </w:rPr>
        <w:t>4,010</w:t>
      </w:r>
      <w:r>
        <w:rPr>
          <w:spacing w:val="-1"/>
        </w:rPr>
        <w:t>万股于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14</w:t>
      </w:r>
      <w:r>
        <w:rPr>
          <w:spacing w:val="-1"/>
        </w:rPr>
        <w:t>日在深圳证券交易所创业板上市。公司总股本由首</w:t>
      </w:r>
      <w:r>
        <w:rPr>
          <w:spacing w:val="-72"/>
        </w:rPr>
        <w:t> </w:t>
      </w:r>
      <w:r>
        <w:rPr>
          <w:spacing w:val="-72"/>
        </w:rPr>
      </w:r>
      <w:r>
        <w:rPr/>
        <w:t>次公开发行前的</w:t>
      </w:r>
      <w:r>
        <w:rPr>
          <w:rFonts w:ascii="Times New Roman" w:hAnsi="Times New Roman" w:cs="Times New Roman" w:eastAsia="Times New Roman" w:hint="default"/>
        </w:rPr>
        <w:t>36,000</w:t>
      </w:r>
      <w:r>
        <w:rPr/>
        <w:t>万股增至</w:t>
      </w:r>
      <w:r>
        <w:rPr>
          <w:rFonts w:ascii="Times New Roman" w:hAnsi="Times New Roman" w:cs="Times New Roman" w:eastAsia="Times New Roman" w:hint="default"/>
        </w:rPr>
        <w:t>40,010</w:t>
      </w:r>
      <w:r>
        <w:rPr/>
        <w:t>万股。</w:t>
      </w:r>
    </w:p>
    <w:p>
      <w:pPr>
        <w:spacing w:line="240" w:lineRule="auto" w:before="2"/>
        <w:rPr>
          <w:rFonts w:ascii="宋体" w:hAnsi="宋体" w:cs="宋体" w:eastAsia="宋体" w:hint="default"/>
          <w:sz w:val="22"/>
          <w:szCs w:val="22"/>
        </w:rPr>
      </w:pPr>
    </w:p>
    <w:p>
      <w:pPr>
        <w:pStyle w:val="Heading3"/>
        <w:spacing w:line="240" w:lineRule="auto"/>
        <w:ind w:right="141"/>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41"/>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1"/>
        <w:jc w:val="right"/>
      </w:pPr>
      <w:r>
        <w:rPr/>
        <w:t>单位：股</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335"/>
        <w:gridCol w:w="134"/>
        <w:gridCol w:w="661"/>
        <w:gridCol w:w="751"/>
        <w:gridCol w:w="749"/>
        <w:gridCol w:w="826"/>
        <w:gridCol w:w="332"/>
        <w:gridCol w:w="455"/>
        <w:gridCol w:w="830"/>
        <w:gridCol w:w="797"/>
        <w:gridCol w:w="311"/>
        <w:gridCol w:w="1039"/>
        <w:gridCol w:w="290"/>
        <w:gridCol w:w="1058"/>
      </w:tblGrid>
      <w:tr>
        <w:trPr>
          <w:trHeight w:val="1968"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38,132</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206"/>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37,289</w:t>
            </w:r>
          </w:p>
        </w:tc>
        <w:tc>
          <w:tcPr>
            <w:tcW w:w="12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2" w:right="-7"/>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34"/>
              <w:jc w:val="left"/>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股东总数（如 </w:t>
            </w:r>
            <w:r>
              <w:rPr>
                <w:rFonts w:ascii="宋体" w:hAnsi="宋体" w:cs="宋体" w:eastAsia="宋体" w:hint="default"/>
                <w:spacing w:val="-16"/>
                <w:sz w:val="18"/>
                <w:szCs w:val="18"/>
              </w:rPr>
              <w:t>有）（参见注</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 w:right="-1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4" w:lineRule="auto"/>
              <w:ind w:left="67"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 w:right="27"/>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 w:right="7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2"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深圳华大基因科 技有限公司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148,773,8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4"/>
              <w:jc w:val="right"/>
              <w:rPr>
                <w:rFonts w:ascii="Times New Roman" w:hAnsi="Times New Roman" w:cs="Times New Roman" w:eastAsia="Times New Roman" w:hint="default"/>
                <w:sz w:val="18"/>
                <w:szCs w:val="18"/>
              </w:rPr>
            </w:pPr>
            <w:r>
              <w:rPr>
                <w:rFonts w:ascii="Times New Roman"/>
                <w:spacing w:val="-1"/>
                <w:sz w:val="18"/>
              </w:rPr>
              <w:t>148,773,8</w:t>
            </w:r>
          </w:p>
          <w:p>
            <w:pPr>
              <w:pStyle w:val="TableParagraph"/>
              <w:spacing w:line="240" w:lineRule="auto" w:before="105"/>
              <w:ind w:right="62"/>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3"/>
              <w:jc w:val="both"/>
              <w:rPr>
                <w:rFonts w:ascii="宋体" w:hAnsi="宋体" w:cs="宋体" w:eastAsia="宋体" w:hint="default"/>
                <w:sz w:val="18"/>
                <w:szCs w:val="18"/>
              </w:rPr>
            </w:pPr>
            <w:r>
              <w:rPr>
                <w:rFonts w:ascii="宋体" w:hAnsi="宋体" w:cs="宋体" w:eastAsia="宋体" w:hint="default"/>
                <w:sz w:val="18"/>
                <w:szCs w:val="18"/>
              </w:rPr>
              <w:t>深圳前海华大基 因投资企业（有 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66,915,15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pacing w:val="-1"/>
                <w:sz w:val="18"/>
              </w:rPr>
              <w:t>66,915,15</w:t>
            </w:r>
          </w:p>
          <w:p>
            <w:pPr>
              <w:pStyle w:val="TableParagraph"/>
              <w:spacing w:line="240" w:lineRule="auto" w:before="102"/>
              <w:ind w:right="66"/>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深圳和玉高林股 权投资合伙企业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35,849,58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pacing w:val="-1"/>
                <w:sz w:val="18"/>
              </w:rPr>
              <w:t>35,849,58</w:t>
            </w:r>
          </w:p>
          <w:p>
            <w:pPr>
              <w:pStyle w:val="TableParagraph"/>
              <w:spacing w:line="240" w:lineRule="auto" w:before="105"/>
              <w:ind w:right="66"/>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北京丰悦泰和股</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2.24%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8,962,397</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8,962,397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7" w:right="0"/>
              <w:jc w:val="left"/>
              <w:rPr>
                <w:rFonts w:ascii="Times New Roman" w:hAnsi="Times New Roman" w:cs="Times New Roman" w:eastAsia="Times New Roman" w:hint="default"/>
                <w:sz w:val="18"/>
                <w:szCs w:val="18"/>
              </w:rPr>
            </w:pPr>
            <w:r>
              <w:rPr>
                <w:rFonts w:ascii="Times New Roman"/>
                <w:sz w:val="18"/>
              </w:rPr>
              <w:t>1,405,000</w:t>
            </w:r>
          </w:p>
        </w:tc>
      </w:tr>
    </w:tbl>
    <w:p>
      <w:pPr>
        <w:spacing w:after="0" w:line="240" w:lineRule="auto"/>
        <w:jc w:val="left"/>
        <w:rPr>
          <w:rFonts w:ascii="Times New Roman" w:hAnsi="Times New Roman" w:cs="Times New Roman" w:eastAsia="Times New Roman" w:hint="default"/>
          <w:sz w:val="18"/>
          <w:szCs w:val="18"/>
        </w:rPr>
        <w:sectPr>
          <w:footerReference w:type="default" r:id="rId37"/>
          <w:pgSz w:w="11910" w:h="16840"/>
          <w:pgMar w:footer="974" w:header="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469"/>
        <w:gridCol w:w="1412"/>
        <w:gridCol w:w="787"/>
        <w:gridCol w:w="787"/>
        <w:gridCol w:w="788"/>
        <w:gridCol w:w="787"/>
        <w:gridCol w:w="840"/>
        <w:gridCol w:w="1349"/>
        <w:gridCol w:w="1349"/>
      </w:tblGrid>
      <w:tr>
        <w:trPr>
          <w:trHeight w:val="67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权投资合伙企业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中国人寿保险</w:t>
            </w:r>
          </w:p>
          <w:p>
            <w:pPr>
              <w:pStyle w:val="TableParagraph"/>
              <w:spacing w:line="316" w:lineRule="auto" w:before="76"/>
              <w:ind w:left="24" w:right="173"/>
              <w:jc w:val="both"/>
              <w:rPr>
                <w:rFonts w:ascii="宋体" w:hAnsi="宋体" w:cs="宋体" w:eastAsia="宋体" w:hint="default"/>
                <w:sz w:val="18"/>
                <w:szCs w:val="18"/>
              </w:rPr>
            </w:pPr>
            <w:r>
              <w:rPr>
                <w:rFonts w:ascii="宋体" w:hAnsi="宋体" w:cs="宋体" w:eastAsia="宋体" w:hint="default"/>
                <w:sz w:val="18"/>
                <w:szCs w:val="18"/>
              </w:rPr>
              <w:t>（集团）公司－ 传统－普通保险 产品</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2.24%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8,962,397</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8,962,397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上海珍尤医疗投 资合伙企业（有 限合伙）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6,168,790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6,168,790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青岛金石灏汭投 资有限公司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4,203,345</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4,203,345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深圳市有孚创业 投资企业（有限 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4,203,345</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4,203,345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深圳市金翼汇顺 健康产业投资合 伙企业（有限合 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1.05%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4,203,345</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4,203,345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深圳国华腾飞创 新投资基金企业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4,203,345</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4,203,345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深圳乐华源城投 资有限公司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4,203,345</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4,203,345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深圳华大三生园 科技有限公司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3,935,824</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3,935,824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名股东的情况（如有）</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85"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4" w:space="0" w:color="000000"/>
              <w:right w:val="single" w:sz="4" w:space="0" w:color="000000"/>
            </w:tcBorders>
          </w:tcPr>
          <w:p>
            <w:pPr>
              <w:pStyle w:val="TableParagraph"/>
              <w:spacing w:line="312" w:lineRule="auto" w:before="51"/>
              <w:ind w:left="23" w:right="65"/>
              <w:jc w:val="left"/>
              <w:rPr>
                <w:rFonts w:ascii="宋体" w:hAnsi="宋体" w:cs="宋体" w:eastAsia="宋体" w:hint="default"/>
                <w:sz w:val="18"/>
                <w:szCs w:val="18"/>
              </w:rPr>
            </w:pPr>
            <w:r>
              <w:rPr>
                <w:rFonts w:ascii="宋体" w:hAnsi="宋体" w:cs="宋体" w:eastAsia="宋体" w:hint="default"/>
                <w:spacing w:val="-3"/>
                <w:sz w:val="18"/>
                <w:szCs w:val="18"/>
              </w:rPr>
              <w:t>上述股东中，深圳华大基因科技有限公司（以下简称“华大控股”）的全资子公司深</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圳华大基因农业控股有限公司是深圳华大三生园科技有限公司（以下简称“华大三 </w:t>
            </w:r>
            <w:r>
              <w:rPr>
                <w:rFonts w:ascii="宋体" w:hAnsi="宋体" w:cs="宋体" w:eastAsia="宋体" w:hint="default"/>
                <w:spacing w:val="-4"/>
                <w:sz w:val="18"/>
                <w:szCs w:val="18"/>
              </w:rPr>
              <w:t>生园”）的控股股东；华大控股的股东（持股比例为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10.5%</w:t>
            </w:r>
            <w:r>
              <w:rPr>
                <w:rFonts w:ascii="宋体" w:hAnsi="宋体" w:cs="宋体" w:eastAsia="宋体" w:hint="default"/>
                <w:sz w:val="18"/>
                <w:szCs w:val="18"/>
              </w:rPr>
              <w:t>）王俊是深圳前海华大基 </w:t>
            </w:r>
            <w:r>
              <w:rPr>
                <w:rFonts w:ascii="宋体" w:hAnsi="宋体" w:cs="宋体" w:eastAsia="宋体" w:hint="default"/>
                <w:spacing w:val="-5"/>
                <w:sz w:val="18"/>
                <w:szCs w:val="18"/>
              </w:rPr>
              <w:t>因投资企业（有限合伙）（以下简称“华大投资”）的执行事务合伙人（出资比例为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pacing w:val="-3"/>
                <w:sz w:val="18"/>
                <w:szCs w:val="18"/>
              </w:rPr>
              <w:t>53.79%</w:t>
            </w:r>
            <w:r>
              <w:rPr>
                <w:rFonts w:ascii="宋体" w:hAnsi="宋体" w:cs="宋体" w:eastAsia="宋体" w:hint="default"/>
                <w:spacing w:val="-3"/>
                <w:sz w:val="18"/>
                <w:szCs w:val="18"/>
              </w:rPr>
              <w:t>）；华大控股的董事长兼总经理汪建是华大三生园的董事。除此之外，公司未</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知上述其他股东间是否存在关联关系，也未知其是否属于上市公司持股变动信息披 露管理办法中规定的一致行动人。</w:t>
            </w:r>
          </w:p>
        </w:tc>
      </w:tr>
      <w:tr>
        <w:trPr>
          <w:trHeight w:val="706"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4" w:space="0" w:color="000000"/>
              <w:right w:val="single" w:sz="4" w:space="0" w:color="000000"/>
            </w:tcBorders>
          </w:tcPr>
          <w:p>
            <w:pPr/>
          </w:p>
        </w:tc>
      </w:tr>
      <w:tr>
        <w:trPr>
          <w:trHeight w:val="785"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4" w:space="0" w:color="000000"/>
              <w:bottom w:val="single" w:sz="4" w:space="0" w:color="000000"/>
              <w:right w:val="single" w:sz="4" w:space="0" w:color="000000"/>
            </w:tcBorders>
          </w:tcPr>
          <w:p>
            <w:pP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62" w:lineRule="auto" w:before="94"/>
              <w:ind w:left="24" w:right="679"/>
              <w:jc w:val="left"/>
              <w:rPr>
                <w:rFonts w:ascii="Times New Roman" w:hAnsi="Times New Roman" w:cs="Times New Roman" w:eastAsia="Times New Roman" w:hint="default"/>
                <w:sz w:val="18"/>
                <w:szCs w:val="18"/>
              </w:rPr>
            </w:pPr>
            <w:r>
              <w:rPr>
                <w:rFonts w:ascii="Times New Roman"/>
                <w:sz w:val="18"/>
              </w:rPr>
              <w:t>MORGAN </w:t>
            </w:r>
            <w:r>
              <w:rPr>
                <w:rFonts w:ascii="Times New Roman"/>
                <w:spacing w:val="-3"/>
                <w:sz w:val="18"/>
              </w:rPr>
              <w:t>STANLEY </w:t>
            </w:r>
            <w:r>
              <w:rPr>
                <w:rFonts w:ascii="Times New Roman"/>
                <w:sz w:val="18"/>
              </w:rPr>
              <w:t>&amp;</w:t>
            </w:r>
            <w:r>
              <w:rPr>
                <w:rFonts w:ascii="Times New Roman"/>
                <w:spacing w:val="-5"/>
                <w:sz w:val="18"/>
              </w:rPr>
              <w:t> </w:t>
            </w:r>
            <w:r>
              <w:rPr>
                <w:rFonts w:ascii="Times New Roman"/>
                <w:sz w:val="18"/>
              </w:rPr>
              <w:t>CO.</w:t>
            </w:r>
            <w:r>
              <w:rPr>
                <w:rFonts w:ascii="Times New Roman"/>
                <w:sz w:val="18"/>
              </w:rPr>
              <w:t> INTERNATIONAL</w:t>
            </w:r>
            <w:r>
              <w:rPr>
                <w:rFonts w:ascii="Times New Roman"/>
                <w:spacing w:val="-33"/>
                <w:sz w:val="18"/>
              </w:rPr>
              <w:t> </w:t>
            </w:r>
            <w:r>
              <w:rPr>
                <w:rFonts w:ascii="Times New Roman"/>
                <w:sz w:val="18"/>
              </w:rPr>
              <w:t>PLC.</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2,060,957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2,060,957</w:t>
            </w:r>
          </w:p>
        </w:tc>
      </w:tr>
    </w:tbl>
    <w:p>
      <w:pPr>
        <w:spacing w:after="0" w:line="240" w:lineRule="auto"/>
        <w:jc w:val="left"/>
        <w:rPr>
          <w:rFonts w:ascii="Times New Roman" w:hAnsi="Times New Roman" w:cs="Times New Roman" w:eastAsia="Times New Roman" w:hint="default"/>
          <w:sz w:val="18"/>
          <w:szCs w:val="18"/>
        </w:rPr>
        <w:sectPr>
          <w:footerReference w:type="default" r:id="rId38"/>
          <w:pgSz w:w="11910" w:h="16840"/>
          <w:pgMar w:footer="974" w:header="0" w:top="1100" w:bottom="1160" w:left="980" w:right="980"/>
          <w:pgNumType w:start="101"/>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881"/>
        <w:gridCol w:w="3989"/>
        <w:gridCol w:w="1349"/>
        <w:gridCol w:w="1349"/>
      </w:tblGrid>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曲水汇鑫茂通高新技术合伙企业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1,252,311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1,252,311</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马应龙药业集团股份有限公司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中国宝安集团股份有限公司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513,858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513,858</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陈金国</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414,712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414,712</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1"/>
              <w:ind w:left="24" w:right="174"/>
              <w:jc w:val="left"/>
              <w:rPr>
                <w:rFonts w:ascii="Times New Roman" w:hAnsi="Times New Roman" w:cs="Times New Roman" w:eastAsia="Times New Roman" w:hint="default"/>
                <w:sz w:val="18"/>
                <w:szCs w:val="18"/>
              </w:rPr>
            </w:pPr>
            <w:r>
              <w:rPr>
                <w:rFonts w:ascii="宋体" w:hAnsi="宋体" w:cs="宋体" w:eastAsia="宋体" w:hint="default"/>
                <w:sz w:val="18"/>
                <w:szCs w:val="18"/>
              </w:rPr>
              <w:t>高华－汇丰－</w:t>
            </w:r>
            <w:r>
              <w:rPr>
                <w:rFonts w:ascii="Times New Roman" w:hAnsi="Times New Roman" w:cs="Times New Roman" w:eastAsia="Times New Roman" w:hint="default"/>
                <w:sz w:val="18"/>
                <w:szCs w:val="18"/>
              </w:rPr>
              <w:t>GOLDMAN,</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SACHS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&amp;</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CO.LLC</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358,154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358,154</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24" w:right="172"/>
              <w:jc w:val="left"/>
              <w:rPr>
                <w:rFonts w:ascii="Times New Roman" w:hAnsi="Times New Roman" w:cs="Times New Roman" w:eastAsia="Times New Roman" w:hint="default"/>
                <w:sz w:val="18"/>
                <w:szCs w:val="18"/>
              </w:rPr>
            </w:pPr>
            <w:r>
              <w:rPr>
                <w:rFonts w:ascii="Times New Roman"/>
                <w:sz w:val="18"/>
              </w:rPr>
              <w:t>JPMORGAN</w:t>
            </w:r>
            <w:r>
              <w:rPr>
                <w:rFonts w:ascii="Times New Roman"/>
                <w:spacing w:val="-1"/>
                <w:sz w:val="18"/>
              </w:rPr>
              <w:t> </w:t>
            </w:r>
            <w:r>
              <w:rPr>
                <w:rFonts w:ascii="Times New Roman"/>
                <w:sz w:val="18"/>
              </w:rPr>
              <w:t>CHASE</w:t>
            </w:r>
            <w:r>
              <w:rPr>
                <w:rFonts w:ascii="Times New Roman"/>
                <w:w w:val="100"/>
                <w:sz w:val="18"/>
              </w:rPr>
              <w:t> </w:t>
            </w:r>
            <w:r>
              <w:rPr>
                <w:rFonts w:ascii="Times New Roman"/>
                <w:spacing w:val="-2"/>
                <w:sz w:val="18"/>
              </w:rPr>
              <w:t>BANK,NATIONAL</w:t>
            </w:r>
            <w:r>
              <w:rPr>
                <w:rFonts w:ascii="Times New Roman"/>
                <w:spacing w:val="-15"/>
                <w:sz w:val="18"/>
              </w:rPr>
              <w:t> </w:t>
            </w:r>
            <w:r>
              <w:rPr>
                <w:rFonts w:ascii="Times New Roman"/>
                <w:spacing w:val="-2"/>
                <w:sz w:val="18"/>
              </w:rPr>
              <w:t>ASSOCIATION</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250,061</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殷惠娥</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225,800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225,800</w:t>
            </w:r>
          </w:p>
        </w:tc>
      </w:tr>
      <w:tr>
        <w:trPr>
          <w:trHeight w:val="1027"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5"/>
              <w:jc w:val="both"/>
              <w:rPr>
                <w:rFonts w:ascii="宋体" w:hAnsi="宋体" w:cs="宋体" w:eastAsia="宋体" w:hint="default"/>
                <w:sz w:val="18"/>
                <w:szCs w:val="18"/>
              </w:rPr>
            </w:pPr>
            <w:r>
              <w:rPr>
                <w:rFonts w:ascii="宋体" w:hAnsi="宋体" w:cs="宋体" w:eastAsia="宋体" w:hint="default"/>
                <w:sz w:val="18"/>
                <w:szCs w:val="18"/>
              </w:rPr>
              <w:t>中国工商银行股份有限公司－易方 达创业板交易型开放式指数证券投 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200,400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中国汇富控股有限公司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174,800</w:t>
            </w:r>
          </w:p>
        </w:tc>
      </w:tr>
      <w:tr>
        <w:trPr>
          <w:trHeight w:val="1339"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p>
          <w:p>
            <w:pPr>
              <w:pStyle w:val="TableParagraph"/>
              <w:spacing w:line="300" w:lineRule="auto" w:before="63"/>
              <w:ind w:left="24"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 的说明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7" w:lineRule="auto"/>
              <w:ind w:left="23" w:right="104"/>
              <w:jc w:val="left"/>
              <w:rPr>
                <w:rFonts w:ascii="宋体" w:hAnsi="宋体" w:cs="宋体" w:eastAsia="宋体" w:hint="default"/>
                <w:sz w:val="18"/>
                <w:szCs w:val="18"/>
              </w:rPr>
            </w:pPr>
            <w:r>
              <w:rPr>
                <w:rFonts w:ascii="宋体" w:hAnsi="宋体" w:cs="宋体" w:eastAsia="宋体" w:hint="default"/>
                <w:sz w:val="18"/>
                <w:szCs w:val="18"/>
              </w:rPr>
              <w:t>上述股东中，马应龙药业集团股份有限公司是中国宝安集团股份有限公司纳入合并 </w:t>
            </w:r>
            <w:r>
              <w:rPr>
                <w:rFonts w:ascii="宋体" w:hAnsi="宋体" w:cs="宋体" w:eastAsia="宋体" w:hint="default"/>
                <w:spacing w:val="-1"/>
                <w:sz w:val="18"/>
                <w:szCs w:val="18"/>
              </w:rPr>
              <w:t>范围的子公司（信息源于《中国宝安</w:t>
            </w:r>
            <w:r>
              <w:rPr>
                <w:rFonts w:ascii="Times New Roman" w:hAnsi="Times New Roman" w:cs="Times New Roman" w:eastAsia="Times New Roman" w:hint="default"/>
                <w:spacing w:val="-1"/>
                <w:sz w:val="18"/>
                <w:szCs w:val="18"/>
              </w:rPr>
              <w:t>&lt;2016</w:t>
            </w:r>
            <w:r>
              <w:rPr>
                <w:rFonts w:ascii="Times New Roman" w:hAnsi="Times New Roman" w:cs="Times New Roman" w:eastAsia="Times New Roman" w:hint="default"/>
                <w:spacing w:val="20"/>
                <w:sz w:val="18"/>
                <w:szCs w:val="18"/>
              </w:rPr>
              <w:t> </w:t>
            </w:r>
            <w:r>
              <w:rPr>
                <w:rFonts w:ascii="宋体" w:hAnsi="宋体" w:cs="宋体" w:eastAsia="宋体" w:hint="default"/>
                <w:spacing w:val="-10"/>
                <w:sz w:val="18"/>
                <w:szCs w:val="18"/>
              </w:rPr>
              <w:t>年年度报告</w:t>
            </w:r>
            <w:r>
              <w:rPr>
                <w:rFonts w:ascii="Times New Roman" w:hAnsi="Times New Roman" w:cs="Times New Roman" w:eastAsia="Times New Roman" w:hint="default"/>
                <w:spacing w:val="-10"/>
                <w:sz w:val="18"/>
                <w:szCs w:val="18"/>
              </w:rPr>
              <w:t>&gt;</w:t>
            </w:r>
            <w:r>
              <w:rPr>
                <w:rFonts w:ascii="宋体" w:hAnsi="宋体" w:cs="宋体" w:eastAsia="宋体" w:hint="default"/>
                <w:spacing w:val="-10"/>
                <w:sz w:val="18"/>
                <w:szCs w:val="18"/>
              </w:rPr>
              <w:t>》），除前述情况外，公司未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知上述其他股东之间是否存在关联关系，也未知是否属于一致行动人。</w:t>
            </w:r>
          </w:p>
        </w:tc>
      </w:tr>
      <w:tr>
        <w:trPr>
          <w:trHeight w:val="1652"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、公司股东曲水汇鑫茂通高新技术合伙企业（有限合伙）除通过普通证券账户持有</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459,300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股外，还通过光大证券股份有限公司客户信用交易担保证券账户持有公司股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793,011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股，实际合计持有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1,252,311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、公司股东陈金国普通证券账户未有</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持股，通过平安证券股份有限公司客户信用交易担保证券账户持有公司股票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414,712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股，实际持有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414,712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141"/>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41"/>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14"/>
        <w:jc w:val="left"/>
      </w:pPr>
      <w:r>
        <w:rPr/>
        <w:t>控股股东性质：自然人控股 控股股东类型：法人</w:t>
      </w:r>
    </w:p>
    <w:tbl>
      <w:tblPr>
        <w:tblW w:w="0" w:type="auto"/>
        <w:jc w:val="left"/>
        <w:tblInd w:w="181" w:type="dxa"/>
        <w:tblLayout w:type="fixed"/>
        <w:tblCellMar>
          <w:top w:w="0" w:type="dxa"/>
          <w:left w:w="0" w:type="dxa"/>
          <w:bottom w:w="0" w:type="dxa"/>
          <w:right w:w="0" w:type="dxa"/>
        </w:tblCellMar>
        <w:tblLook w:val="01E0"/>
      </w:tblPr>
      <w:tblGrid>
        <w:gridCol w:w="2199"/>
        <w:gridCol w:w="1793"/>
        <w:gridCol w:w="1592"/>
        <w:gridCol w:w="1754"/>
        <w:gridCol w:w="2230"/>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1"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183"/>
              <w:jc w:val="left"/>
              <w:rPr>
                <w:rFonts w:ascii="宋体" w:hAnsi="宋体" w:cs="宋体" w:eastAsia="宋体" w:hint="default"/>
                <w:sz w:val="18"/>
                <w:szCs w:val="18"/>
              </w:rPr>
            </w:pPr>
            <w:r>
              <w:rPr>
                <w:rFonts w:ascii="宋体" w:hAnsi="宋体" w:cs="宋体" w:eastAsia="宋体" w:hint="default"/>
                <w:sz w:val="18"/>
                <w:szCs w:val="18"/>
              </w:rPr>
              <w:t>深圳华大基因科技有限公 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91440300678591043R</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计算机软硬件及外围设备的 技术研发和销售；货物及技 术进出口业务；股权投资； 投资兴办实业（具体项目另 </w:t>
            </w:r>
            <w:r>
              <w:rPr>
                <w:rFonts w:ascii="宋体" w:hAnsi="宋体" w:cs="宋体" w:eastAsia="宋体" w:hint="default"/>
                <w:spacing w:val="-8"/>
                <w:sz w:val="18"/>
                <w:szCs w:val="18"/>
              </w:rPr>
              <w:t>行申报）；水产品养殖和销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w:t>
            </w:r>
          </w:p>
        </w:tc>
      </w:tr>
      <w:tr>
        <w:trPr>
          <w:trHeight w:val="40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控股股东报告期内控股和</w:t>
            </w:r>
          </w:p>
        </w:tc>
        <w:tc>
          <w:tcPr>
            <w:tcW w:w="7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980"/>
        </w:sectPr>
      </w:pPr>
    </w:p>
    <w:p>
      <w:pPr>
        <w:spacing w:line="240" w:lineRule="auto" w:before="3"/>
        <w:rPr>
          <w:rFonts w:ascii="宋体" w:hAnsi="宋体" w:cs="宋体" w:eastAsia="宋体" w:hint="default"/>
          <w:sz w:val="24"/>
          <w:szCs w:val="24"/>
        </w:rPr>
      </w:pPr>
    </w:p>
    <w:p>
      <w:pPr>
        <w:spacing w:line="694" w:lineRule="exact"/>
        <w:ind w:left="181"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8.9pt;height:34.7pt;mso-position-horizontal-relative:char;mso-position-vertical-relative:line" coordorigin="0,0" coordsize="9578,694">
            <v:group style="position:absolute;left:10;top:14;width:2190;height:666" coordorigin="10,14" coordsize="2190,666">
              <v:shape style="position:absolute;left:10;top:14;width:2190;height:666" coordorigin="10,14" coordsize="2190,666" path="m10,680l2199,680,2199,14,10,14,10,680xe" filled="true" fillcolor="#d2d2d2" stroked="false">
                <v:path arrowok="t"/>
                <v:fill type="solid"/>
              </v:shape>
            </v:group>
            <v:group style="position:absolute;left:34;top:14;width:2144;height:313" coordorigin="34,14" coordsize="2144,313">
              <v:shape style="position:absolute;left:34;top:14;width:2144;height:313" coordorigin="34,14" coordsize="2144,313" path="m34,327l2177,327,2177,14,34,14,34,327xe" filled="true" fillcolor="#d2d2d2" stroked="false">
                <v:path arrowok="t"/>
                <v:fill type="solid"/>
              </v:shape>
            </v:group>
            <v:group style="position:absolute;left:34;top:327;width:2144;height:353" coordorigin="34,327" coordsize="2144,353">
              <v:shape style="position:absolute;left:34;top:327;width:2144;height:353" coordorigin="34,327" coordsize="2144,353" path="m34,680l2177,680,2177,327,34,327,34,680xe" filled="true" fillcolor="#d2d2d2" stroked="false">
                <v:path arrowok="t"/>
                <v:fill type="solid"/>
              </v:shape>
            </v:group>
            <v:group style="position:absolute;left:10;top:10;width:2190;height:2" coordorigin="10,10" coordsize="2190,2">
              <v:shape style="position:absolute;left:10;top:10;width:2190;height:2" coordorigin="10,10" coordsize="2190,0" path="m10,10l2199,10e" filled="false" stroked="true" strokeweight=".48pt" strokecolor="#000000">
                <v:path arrowok="t"/>
              </v:shape>
            </v:group>
            <v:group style="position:absolute;left:2208;top:10;width:7360;height:2" coordorigin="2208,10" coordsize="7360,2">
              <v:shape style="position:absolute;left:2208;top:10;width:7360;height:2" coordorigin="2208,10" coordsize="7360,0" path="m2208,10l9568,10e" filled="false" stroked="true" strokeweight=".48pt" strokecolor="#000000">
                <v:path arrowok="t"/>
              </v:shape>
            </v:group>
            <v:group style="position:absolute;left:5;top:5;width:2;height:685" coordorigin="5,5" coordsize="2,685">
              <v:shape style="position:absolute;left:5;top:5;width:2;height:685" coordorigin="5,5" coordsize="0,685" path="m5,5l5,689e" filled="false" stroked="true" strokeweight=".48pt" strokecolor="#000000">
                <v:path arrowok="t"/>
              </v:shape>
            </v:group>
            <v:group style="position:absolute;left:10;top:684;width:2190;height:2" coordorigin="10,684" coordsize="2190,2">
              <v:shape style="position:absolute;left:10;top:684;width:2190;height:2" coordorigin="10,684" coordsize="2190,0" path="m10,684l2199,684e" filled="false" stroked="true" strokeweight=".48pt" strokecolor="#000000">
                <v:path arrowok="t"/>
              </v:shape>
            </v:group>
            <v:group style="position:absolute;left:2204;top:5;width:2;height:685" coordorigin="2204,5" coordsize="2,685">
              <v:shape style="position:absolute;left:2204;top:5;width:2;height:685" coordorigin="2204,5" coordsize="0,685" path="m2204,5l2204,689e" filled="false" stroked="true" strokeweight=".48pt" strokecolor="#000000">
                <v:path arrowok="t"/>
              </v:shape>
            </v:group>
            <v:group style="position:absolute;left:2208;top:684;width:7360;height:2" coordorigin="2208,684" coordsize="7360,2">
              <v:shape style="position:absolute;left:2208;top:684;width:7360;height:2" coordorigin="2208,684" coordsize="7360,0" path="m2208,684l9568,684e" filled="false" stroked="true" strokeweight=".48pt" strokecolor="#000000">
                <v:path arrowok="t"/>
              </v:shape>
            </v:group>
            <v:group style="position:absolute;left:9573;top:5;width:2;height:685" coordorigin="9573,5" coordsize="2,685">
              <v:shape style="position:absolute;left:9573;top:5;width:2;height:685" coordorigin="9573,5" coordsize="0,685" path="m9573,5l9573,689e" filled="false" stroked="true" strokeweight=".47998pt" strokecolor="#000000">
                <v:path arrowok="t"/>
              </v:shape>
              <v:shape style="position:absolute;left:5;top:10;width:2199;height:675" type="#_x0000_t202" filled="false" stroked="false">
                <v:textbox inset="0,0,0,0">
                  <w:txbxContent>
                    <w:p>
                      <w:pPr>
                        <w:spacing w:line="316" w:lineRule="auto" w:before="15"/>
                        <w:ind w:left="28" w:right="189" w:firstLine="0"/>
                        <w:jc w:val="left"/>
                        <w:rPr>
                          <w:rFonts w:ascii="宋体" w:hAnsi="宋体" w:cs="宋体" w:eastAsia="宋体" w:hint="default"/>
                          <w:sz w:val="18"/>
                          <w:szCs w:val="18"/>
                        </w:rPr>
                      </w:pPr>
                      <w:r>
                        <w:rPr>
                          <w:rFonts w:ascii="宋体" w:hAnsi="宋体" w:cs="宋体" w:eastAsia="宋体" w:hint="default"/>
                          <w:sz w:val="18"/>
                          <w:szCs w:val="18"/>
                        </w:rPr>
                        <w:t>参股的其他境内外上市公 司的股权情况</w:t>
                      </w:r>
                    </w:p>
                  </w:txbxContent>
                </v:textbox>
                <w10:wrap type="none"/>
              </v:shape>
            </v:group>
          </v:group>
        </w:pict>
      </w:r>
      <w:r>
        <w:rPr>
          <w:rFonts w:ascii="宋体" w:hAnsi="宋体" w:cs="宋体" w:eastAsia="宋体" w:hint="default"/>
          <w:position w:val="-13"/>
          <w:sz w:val="20"/>
          <w:szCs w:val="20"/>
        </w:rPr>
      </w:r>
    </w:p>
    <w:p>
      <w:pPr>
        <w:pStyle w:val="BodyText"/>
        <w:spacing w:line="240" w:lineRule="auto" w:before="46"/>
        <w:ind w:right="141"/>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141"/>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434"/>
        <w:jc w:val="left"/>
      </w:pPr>
      <w:r>
        <w:rPr/>
        <w:t>实际控制人性质：境内自然人 实际控制人类型：自然人</w:t>
      </w:r>
    </w:p>
    <w:tbl>
      <w:tblPr>
        <w:tblW w:w="0" w:type="auto"/>
        <w:jc w:val="left"/>
        <w:tblInd w:w="181" w:type="dxa"/>
        <w:tblLayout w:type="fixed"/>
        <w:tblCellMar>
          <w:top w:w="0" w:type="dxa"/>
          <w:left w:w="0" w:type="dxa"/>
          <w:bottom w:w="0" w:type="dxa"/>
          <w:right w:w="0" w:type="dxa"/>
        </w:tblCellMar>
        <w:tblLook w:val="01E0"/>
      </w:tblPr>
      <w:tblGrid>
        <w:gridCol w:w="3335"/>
        <w:gridCol w:w="2057"/>
        <w:gridCol w:w="4177"/>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汪建先生现任华大基因董事长，华大控股董事长、总经理。</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41"/>
        <w:jc w:val="left"/>
      </w:pPr>
      <w:r>
        <w:rPr/>
        <w:t>实际控制人报告期内变更</w:t>
      </w:r>
    </w:p>
    <w:p>
      <w:pPr>
        <w:pStyle w:val="BodyText"/>
        <w:spacing w:line="35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5380" w:lineRule="exact"/>
        <w:ind w:left="3105" w:right="0" w:firstLine="0"/>
        <w:rPr>
          <w:rFonts w:ascii="宋体" w:hAnsi="宋体" w:cs="宋体" w:eastAsia="宋体" w:hint="default"/>
          <w:sz w:val="20"/>
          <w:szCs w:val="20"/>
        </w:rPr>
      </w:pPr>
      <w:r>
        <w:rPr>
          <w:rFonts w:ascii="宋体" w:hAnsi="宋体" w:cs="宋体" w:eastAsia="宋体" w:hint="default"/>
          <w:position w:val="-107"/>
          <w:sz w:val="20"/>
          <w:szCs w:val="20"/>
        </w:rPr>
        <w:drawing>
          <wp:inline distT="0" distB="0" distL="0" distR="0">
            <wp:extent cx="2376494" cy="3416808"/>
            <wp:effectExtent l="0" t="0" r="0" b="0"/>
            <wp:docPr id="7" name="image12.png" descr=""/>
            <wp:cNvGraphicFramePr>
              <a:graphicFrameLocks noChangeAspect="1"/>
            </wp:cNvGraphicFramePr>
            <a:graphic>
              <a:graphicData uri="http://schemas.openxmlformats.org/drawingml/2006/picture">
                <pic:pic>
                  <pic:nvPicPr>
                    <pic:cNvPr id="8" name="image12.png"/>
                    <pic:cNvPicPr/>
                  </pic:nvPicPr>
                  <pic:blipFill>
                    <a:blip r:embed="rId39" cstate="print"/>
                    <a:stretch>
                      <a:fillRect/>
                    </a:stretch>
                  </pic:blipFill>
                  <pic:spPr>
                    <a:xfrm>
                      <a:off x="0" y="0"/>
                      <a:ext cx="2376494" cy="3416808"/>
                    </a:xfrm>
                    <a:prstGeom prst="rect">
                      <a:avLst/>
                    </a:prstGeom>
                  </pic:spPr>
                </pic:pic>
              </a:graphicData>
            </a:graphic>
          </wp:inline>
        </w:drawing>
      </w:r>
      <w:r>
        <w:rPr>
          <w:rFonts w:ascii="宋体" w:hAnsi="宋体" w:cs="宋体" w:eastAsia="宋体" w:hint="default"/>
          <w:position w:val="-107"/>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32"/>
        <w:ind w:right="141"/>
        <w:jc w:val="left"/>
      </w:pPr>
      <w:r>
        <w:rPr/>
        <w:t>实际控制人通过信托或其他资产管理方式控制公司</w:t>
      </w:r>
    </w:p>
    <w:p>
      <w:pPr>
        <w:pStyle w:val="BodyText"/>
        <w:spacing w:line="240" w:lineRule="auto" w:before="115"/>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974"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41"/>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44"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2578"/>
        <w:gridCol w:w="1817"/>
        <w:gridCol w:w="1412"/>
        <w:gridCol w:w="1637"/>
        <w:gridCol w:w="2125"/>
      </w:tblGrid>
      <w:tr>
        <w:trPr>
          <w:trHeight w:val="715" w:hRule="exact"/>
        </w:trPr>
        <w:tc>
          <w:tcPr>
            <w:tcW w:w="2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4" w:right="67"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337"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2"/>
              <w:jc w:val="left"/>
              <w:rPr>
                <w:rFonts w:ascii="宋体" w:hAnsi="宋体" w:cs="宋体" w:eastAsia="宋体" w:hint="default"/>
                <w:sz w:val="18"/>
                <w:szCs w:val="18"/>
              </w:rPr>
            </w:pPr>
            <w:r>
              <w:rPr>
                <w:rFonts w:ascii="宋体" w:hAnsi="宋体" w:cs="宋体" w:eastAsia="宋体" w:hint="default"/>
                <w:sz w:val="18"/>
                <w:szCs w:val="18"/>
              </w:rPr>
              <w:t>深圳前海华大基因投资企业（有 限合伙）</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4,992.50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股权投资；投资兴办实业</w:t>
            </w:r>
          </w:p>
          <w:p>
            <w:pPr>
              <w:pStyle w:val="TableParagraph"/>
              <w:spacing w:line="316" w:lineRule="auto" w:before="76"/>
              <w:ind w:left="23" w:right="110"/>
              <w:jc w:val="left"/>
              <w:rPr>
                <w:rFonts w:ascii="宋体" w:hAnsi="宋体" w:cs="宋体" w:eastAsia="宋体" w:hint="default"/>
                <w:sz w:val="18"/>
                <w:szCs w:val="18"/>
              </w:rPr>
            </w:pPr>
            <w:r>
              <w:rPr>
                <w:rFonts w:ascii="宋体" w:hAnsi="宋体" w:cs="宋体" w:eastAsia="宋体" w:hint="default"/>
                <w:spacing w:val="-9"/>
                <w:sz w:val="18"/>
                <w:szCs w:val="18"/>
              </w:rPr>
              <w:t>（具体项目另行申报）；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投资咨询、投资管理（以 上均不含限制项目）</w:t>
            </w:r>
          </w:p>
        </w:tc>
      </w:tr>
    </w:tbl>
    <w:p>
      <w:pPr>
        <w:pStyle w:val="BodyText"/>
        <w:spacing w:line="240" w:lineRule="auto" w:before="51"/>
        <w:ind w:right="141"/>
        <w:jc w:val="left"/>
      </w:pPr>
      <w:r>
        <w:rPr/>
        <w:t>注：深圳前海华大基因投资企业（有限合伙）执行合伙人为王俊。</w:t>
      </w:r>
    </w:p>
    <w:p>
      <w:pPr>
        <w:spacing w:line="240" w:lineRule="auto" w:before="0"/>
        <w:rPr>
          <w:rFonts w:ascii="宋体" w:hAnsi="宋体" w:cs="宋体" w:eastAsia="宋体" w:hint="default"/>
          <w:sz w:val="18"/>
          <w:szCs w:val="18"/>
        </w:rPr>
      </w:pPr>
    </w:p>
    <w:p>
      <w:pPr>
        <w:pStyle w:val="Heading3"/>
        <w:spacing w:line="240" w:lineRule="auto" w:before="118"/>
        <w:ind w:right="141"/>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974"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285" w:right="141"/>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0" w:footer="974"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1679" w:right="141"/>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41"/>
        <w:jc w:val="left"/>
        <w:rPr>
          <w:b w:val="0"/>
          <w:bCs w:val="0"/>
        </w:rPr>
      </w:pP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797"/>
        <w:gridCol w:w="797"/>
        <w:gridCol w:w="797"/>
        <w:gridCol w:w="800"/>
        <w:gridCol w:w="797"/>
        <w:gridCol w:w="797"/>
        <w:gridCol w:w="800"/>
        <w:gridCol w:w="797"/>
        <w:gridCol w:w="799"/>
        <w:gridCol w:w="797"/>
        <w:gridCol w:w="799"/>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3" w:right="35" w:hanging="180"/>
              <w:jc w:val="left"/>
              <w:rPr>
                <w:rFonts w:ascii="宋体" w:hAnsi="宋体" w:cs="宋体" w:eastAsia="宋体" w:hint="default"/>
                <w:sz w:val="18"/>
                <w:szCs w:val="18"/>
              </w:rPr>
            </w:pPr>
            <w:r>
              <w:rPr>
                <w:rFonts w:ascii="宋体" w:hAnsi="宋体" w:cs="宋体" w:eastAsia="宋体" w:hint="default"/>
                <w:sz w:val="18"/>
                <w:szCs w:val="18"/>
              </w:rPr>
              <w:t>其他增减 变动</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尹烨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董事（总 经理、 </w:t>
            </w:r>
            <w:r>
              <w:rPr>
                <w:rFonts w:ascii="Times New Roman" w:hAnsi="Times New Roman" w:cs="Times New Roman" w:eastAsia="Times New Roman" w:hint="default"/>
                <w:sz w:val="18"/>
                <w:szCs w:val="18"/>
              </w:rPr>
              <w:t>CEO</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孙英俊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李英睿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金春保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徐爱民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谢宏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797"/>
        <w:gridCol w:w="797"/>
        <w:gridCol w:w="797"/>
        <w:gridCol w:w="800"/>
        <w:gridCol w:w="797"/>
        <w:gridCol w:w="797"/>
        <w:gridCol w:w="800"/>
        <w:gridCol w:w="797"/>
        <w:gridCol w:w="799"/>
        <w:gridCol w:w="797"/>
        <w:gridCol w:w="799"/>
        <w:gridCol w:w="797"/>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李松岗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李雯琪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胡宇洁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张凌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首席运营 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刘娜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陈轶青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李治平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人力资源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王威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首席医学 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徐茜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1"/>
              <w:jc w:val="both"/>
              <w:rPr>
                <w:rFonts w:ascii="宋体" w:hAnsi="宋体" w:cs="宋体" w:eastAsia="宋体" w:hint="default"/>
                <w:sz w:val="18"/>
                <w:szCs w:val="18"/>
              </w:rPr>
            </w:pPr>
            <w:r>
              <w:rPr>
                <w:rFonts w:ascii="宋体" w:hAnsi="宋体" w:cs="宋体" w:eastAsia="宋体" w:hint="default"/>
                <w:sz w:val="18"/>
                <w:szCs w:val="18"/>
              </w:rPr>
              <w:t>董事会秘 书、法务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吴淳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赵谦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797"/>
        <w:gridCol w:w="797"/>
        <w:gridCol w:w="797"/>
        <w:gridCol w:w="800"/>
        <w:gridCol w:w="797"/>
        <w:gridCol w:w="797"/>
        <w:gridCol w:w="800"/>
        <w:gridCol w:w="797"/>
        <w:gridCol w:w="799"/>
        <w:gridCol w:w="797"/>
        <w:gridCol w:w="799"/>
        <w:gridCol w:w="797"/>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郭晋龙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9"/>
        <w:rPr>
          <w:rFonts w:ascii="Times New Roman" w:hAnsi="Times New Roman" w:cs="Times New Roman" w:eastAsia="Times New Roman" w:hint="default"/>
          <w:sz w:val="20"/>
          <w:szCs w:val="20"/>
        </w:rPr>
      </w:pPr>
    </w:p>
    <w:p>
      <w:pPr>
        <w:pStyle w:val="Heading2"/>
        <w:spacing w:line="240" w:lineRule="auto" w:before="26"/>
        <w:ind w:right="141"/>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4"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郭晋龙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股东大会选举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个人原因辞任</w:t>
            </w:r>
          </w:p>
        </w:tc>
      </w:tr>
    </w:tbl>
    <w:p>
      <w:pPr>
        <w:spacing w:line="240" w:lineRule="auto" w:before="3"/>
        <w:rPr>
          <w:rFonts w:ascii="宋体" w:hAnsi="宋体" w:cs="宋体" w:eastAsia="宋体" w:hint="default"/>
          <w:sz w:val="18"/>
          <w:szCs w:val="18"/>
        </w:rPr>
      </w:pPr>
    </w:p>
    <w:p>
      <w:pPr>
        <w:pStyle w:val="Heading2"/>
        <w:spacing w:line="240" w:lineRule="auto" w:before="26"/>
        <w:ind w:right="141"/>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1"/>
        <w:jc w:val="left"/>
      </w:pPr>
      <w:r>
        <w:rPr/>
        <w:t>公司现任董事、监事、高级管理人员专业背景、主要工作经历以及目前在公司的主要职责</w:t>
      </w:r>
    </w:p>
    <w:p>
      <w:pPr>
        <w:spacing w:line="240" w:lineRule="auto" w:before="3"/>
        <w:rPr>
          <w:rFonts w:ascii="宋体" w:hAnsi="宋体" w:cs="宋体" w:eastAsia="宋体" w:hint="default"/>
          <w:sz w:val="15"/>
          <w:szCs w:val="15"/>
        </w:rPr>
      </w:pPr>
    </w:p>
    <w:p>
      <w:pPr>
        <w:pStyle w:val="Heading4"/>
        <w:spacing w:line="240" w:lineRule="auto" w:before="0"/>
        <w:ind w:right="141"/>
        <w:jc w:val="left"/>
        <w:rPr>
          <w:b w:val="0"/>
          <w:bCs w:val="0"/>
        </w:rPr>
      </w:pPr>
      <w:r>
        <w:rPr/>
        <w:t>（一）董事</w:t>
      </w:r>
      <w:r>
        <w:rPr>
          <w:b w:val="0"/>
          <w:bCs w:val="0"/>
        </w:rPr>
      </w:r>
    </w:p>
    <w:p>
      <w:pPr>
        <w:spacing w:line="240" w:lineRule="auto" w:before="11"/>
        <w:rPr>
          <w:rFonts w:ascii="宋体" w:hAnsi="宋体" w:cs="宋体" w:eastAsia="宋体" w:hint="default"/>
          <w:b/>
          <w:bCs/>
          <w:sz w:val="14"/>
          <w:szCs w:val="14"/>
        </w:rPr>
      </w:pPr>
    </w:p>
    <w:p>
      <w:pPr>
        <w:pStyle w:val="BodyText"/>
        <w:spacing w:line="300" w:lineRule="auto"/>
        <w:ind w:right="419" w:firstLine="353"/>
        <w:jc w:val="left"/>
      </w:pPr>
      <w:r>
        <w:rPr>
          <w:rFonts w:ascii="宋体" w:hAnsi="宋体" w:cs="宋体" w:eastAsia="宋体" w:hint="default"/>
          <w:b/>
          <w:bCs/>
        </w:rPr>
        <w:t>汪建，</w:t>
      </w:r>
      <w:r>
        <w:rPr/>
        <w:t>男，</w:t>
      </w:r>
      <w:r>
        <w:rPr>
          <w:rFonts w:ascii="Times New Roman" w:hAnsi="Times New Roman" w:cs="Times New Roman" w:eastAsia="Times New Roman" w:hint="default"/>
        </w:rPr>
        <w:t>1954</w:t>
      </w:r>
      <w:r>
        <w:rPr/>
        <w:t>年出生，中国国籍，无境外居留权。硕士、研究员。现任华大基因董事长，华大控股董事长、总经 理。曾任华大研究院院长。</w:t>
      </w:r>
    </w:p>
    <w:p>
      <w:pPr>
        <w:pStyle w:val="BodyText"/>
        <w:spacing w:line="300" w:lineRule="auto" w:before="151"/>
        <w:ind w:right="248" w:firstLine="360"/>
        <w:jc w:val="both"/>
      </w:pPr>
      <w:r>
        <w:rPr>
          <w:rFonts w:ascii="宋体" w:hAnsi="宋体" w:cs="宋体" w:eastAsia="宋体" w:hint="default"/>
          <w:b/>
          <w:bCs/>
        </w:rPr>
        <w:t>尹烨，</w:t>
      </w:r>
      <w:r>
        <w:rPr/>
        <w:t>男，</w:t>
      </w:r>
      <w:r>
        <w:rPr>
          <w:rFonts w:ascii="Times New Roman" w:hAnsi="Times New Roman" w:cs="Times New Roman" w:eastAsia="Times New Roman" w:hint="default"/>
        </w:rPr>
        <w:t>1979</w:t>
      </w:r>
      <w:r>
        <w:rPr/>
        <w:t>年出生，中国国籍，无境外居留权。工程硕士，现任华大基因董事、总经理，华大科技董事。曾任华 大控股首席运营官，华大医学（现已与华大科技合并为华大基因）总经理。</w:t>
      </w:r>
    </w:p>
    <w:p>
      <w:pPr>
        <w:pStyle w:val="BodyText"/>
        <w:spacing w:line="297" w:lineRule="auto" w:before="154"/>
        <w:ind w:right="248" w:firstLine="360"/>
        <w:jc w:val="both"/>
      </w:pPr>
      <w:r>
        <w:rPr>
          <w:rFonts w:ascii="宋体" w:hAnsi="宋体" w:cs="宋体" w:eastAsia="宋体" w:hint="default"/>
          <w:b/>
          <w:bCs/>
        </w:rPr>
        <w:t>孙英俊，</w:t>
      </w:r>
      <w:r>
        <w:rPr/>
        <w:t>男，</w:t>
      </w:r>
      <w:r>
        <w:rPr>
          <w:rFonts w:ascii="Times New Roman" w:hAnsi="Times New Roman" w:cs="Times New Roman" w:eastAsia="Times New Roman" w:hint="default"/>
        </w:rPr>
        <w:t>1971</w:t>
      </w:r>
      <w:r>
        <w:rPr/>
        <w:t>年出生，中国国籍，无境外居留权。硕士，经济师、金融理财师。现任华大基因董事，华大控股首 席财务官。</w:t>
      </w:r>
    </w:p>
    <w:p>
      <w:pPr>
        <w:pStyle w:val="BodyText"/>
        <w:spacing w:line="307" w:lineRule="auto" w:before="155"/>
        <w:ind w:right="247" w:firstLine="360"/>
        <w:jc w:val="both"/>
      </w:pPr>
      <w:r>
        <w:rPr>
          <w:rFonts w:ascii="宋体" w:hAnsi="宋体" w:cs="宋体" w:eastAsia="宋体" w:hint="default"/>
          <w:b/>
          <w:bCs/>
        </w:rPr>
        <w:t>王俊， </w:t>
      </w:r>
      <w:r>
        <w:rPr/>
        <w:t>男，</w:t>
      </w:r>
      <w:r>
        <w:rPr>
          <w:rFonts w:ascii="Times New Roman" w:hAnsi="Times New Roman" w:cs="Times New Roman" w:eastAsia="Times New Roman" w:hint="default"/>
        </w:rPr>
        <w:t>1976</w:t>
      </w:r>
      <w:r>
        <w:rPr>
          <w:rFonts w:ascii="Times New Roman" w:hAnsi="Times New Roman" w:cs="Times New Roman" w:eastAsia="Times New Roman" w:hint="default"/>
          <w:spacing w:val="41"/>
        </w:rPr>
        <w:t> </w:t>
      </w:r>
      <w:r>
        <w:rPr/>
        <w:t>年出生，中国籍无境外居留权。博士、研究员、博士生导师。现任华大基因董事，深圳碳基投资有 限公司董事长，深圳碳云智能科技有限公司董事长、总经理，深圳碳云控股有限公司执行（常务）董事、总经理，深圳数 字生命研究院院长、理事，广州市碳云智能科技研究院理事。曾任华大科技董事长，华大研究院院长。</w:t>
      </w:r>
    </w:p>
    <w:p>
      <w:pPr>
        <w:pStyle w:val="BodyText"/>
        <w:spacing w:line="297" w:lineRule="auto" w:before="148"/>
        <w:ind w:right="248" w:firstLine="360"/>
        <w:jc w:val="both"/>
      </w:pPr>
      <w:r>
        <w:rPr>
          <w:rFonts w:ascii="宋体" w:hAnsi="宋体" w:cs="宋体" w:eastAsia="宋体" w:hint="default"/>
          <w:b/>
          <w:bCs/>
        </w:rPr>
        <w:t>李英睿，</w:t>
      </w:r>
      <w:r>
        <w:rPr/>
        <w:t>男，</w:t>
      </w:r>
      <w:r>
        <w:rPr>
          <w:rFonts w:ascii="Times New Roman" w:hAnsi="Times New Roman" w:cs="Times New Roman" w:eastAsia="Times New Roman" w:hint="default"/>
        </w:rPr>
        <w:t>1986</w:t>
      </w:r>
      <w:r>
        <w:rPr/>
        <w:t>年出生，中国国籍，无境外居留权。本科。现任华大基因董事，深圳碳云智能科技有限公司董事， 深圳基智投资有限公司执行（常务）董事、总经理。</w:t>
      </w:r>
    </w:p>
    <w:p>
      <w:pPr>
        <w:pStyle w:val="BodyText"/>
        <w:spacing w:line="300" w:lineRule="auto" w:before="155"/>
        <w:ind w:right="247" w:firstLine="360"/>
        <w:jc w:val="both"/>
      </w:pPr>
      <w:r>
        <w:rPr>
          <w:rFonts w:ascii="宋体" w:hAnsi="宋体" w:cs="宋体" w:eastAsia="宋体" w:hint="default"/>
          <w:b/>
          <w:bCs/>
        </w:rPr>
        <w:t>王洪涛，</w:t>
      </w:r>
      <w:r>
        <w:rPr/>
        <w:t>男，</w:t>
      </w:r>
      <w:r>
        <w:rPr>
          <w:rFonts w:ascii="Times New Roman" w:hAnsi="Times New Roman" w:cs="Times New Roman" w:eastAsia="Times New Roman" w:hint="default"/>
        </w:rPr>
        <w:t>1974</w:t>
      </w:r>
      <w:r>
        <w:rPr/>
        <w:t>年出生，中国国籍，无境外居留权。硕士。现任高林资本管理有限公司创始合伙人、董事长，北京 高林投资有限公司执行董事、总经理，北京宅急送快运股份有限公司董事长兼</w:t>
      </w:r>
      <w:r>
        <w:rPr>
          <w:rFonts w:ascii="Times New Roman" w:hAnsi="Times New Roman" w:cs="Times New Roman" w:eastAsia="Times New Roman" w:hint="default"/>
        </w:rPr>
        <w:t>CEO</w:t>
      </w:r>
      <w:r>
        <w:rPr/>
        <w:t>。历任泰康资产管理有限责任公司股权 投资负责人、董事总经理，中信基金投委会委员、基金经理，光大控股创业投资（深圳）有限公司资产管理部总经理，招</w:t>
      </w:r>
    </w:p>
    <w:p>
      <w:pPr>
        <w:spacing w:after="0" w:line="300" w:lineRule="auto"/>
        <w:jc w:val="both"/>
        <w:sectPr>
          <w:pgSz w:w="11910" w:h="16840"/>
          <w:pgMar w:header="0" w:footer="974" w:top="1100" w:bottom="1160" w:left="980" w:right="980"/>
        </w:sectPr>
      </w:pPr>
    </w:p>
    <w:p>
      <w:pPr>
        <w:spacing w:line="240" w:lineRule="auto" w:before="0"/>
        <w:rPr>
          <w:rFonts w:ascii="宋体" w:hAnsi="宋体" w:cs="宋体" w:eastAsia="宋体" w:hint="default"/>
          <w:sz w:val="22"/>
          <w:szCs w:val="22"/>
        </w:rPr>
      </w:pPr>
    </w:p>
    <w:p>
      <w:pPr>
        <w:pStyle w:val="BodyText"/>
        <w:spacing w:line="240" w:lineRule="auto" w:before="44"/>
        <w:ind w:right="141"/>
        <w:jc w:val="left"/>
      </w:pPr>
      <w:r>
        <w:rPr/>
        <w:t>商证券研发中心产品经理，平安保险资产管理中心投资经理。</w:t>
      </w:r>
    </w:p>
    <w:p>
      <w:pPr>
        <w:spacing w:line="240" w:lineRule="auto" w:before="3"/>
        <w:rPr>
          <w:rFonts w:ascii="宋体" w:hAnsi="宋体" w:cs="宋体" w:eastAsia="宋体" w:hint="default"/>
          <w:sz w:val="15"/>
          <w:szCs w:val="15"/>
        </w:rPr>
      </w:pPr>
    </w:p>
    <w:p>
      <w:pPr>
        <w:pStyle w:val="BodyText"/>
        <w:spacing w:line="307" w:lineRule="auto"/>
        <w:ind w:right="248" w:firstLine="360"/>
        <w:jc w:val="both"/>
      </w:pPr>
      <w:r>
        <w:rPr>
          <w:rFonts w:ascii="宋体" w:hAnsi="宋体" w:cs="宋体" w:eastAsia="宋体" w:hint="default"/>
          <w:b/>
          <w:bCs/>
        </w:rPr>
        <w:t>金春保，</w:t>
      </w:r>
      <w:r>
        <w:rPr/>
        <w:t>男，</w:t>
      </w:r>
      <w:r>
        <w:rPr>
          <w:rFonts w:ascii="Times New Roman" w:hAnsi="Times New Roman" w:cs="Times New Roman" w:eastAsia="Times New Roman" w:hint="default"/>
        </w:rPr>
        <w:t>1967</w:t>
      </w:r>
      <w:r>
        <w:rPr/>
        <w:t>年出生，中国国籍，无境外居留权。硕士。现任华大基因董事，深圳市盛桥投资管理有限公司董事 长，深圳市今天国际物流技术股份有限公司监事会主席。曾任湖南友谊阿波罗商业股份有限公司监事，云南锗业股份有限 公司董事，北京旋极信息股份有限公司董事。</w:t>
      </w:r>
    </w:p>
    <w:p>
      <w:pPr>
        <w:pStyle w:val="BodyText"/>
        <w:spacing w:line="300" w:lineRule="auto" w:before="148"/>
        <w:ind w:right="231" w:firstLine="360"/>
        <w:jc w:val="left"/>
      </w:pPr>
      <w:r>
        <w:rPr>
          <w:rFonts w:ascii="宋体" w:hAnsi="宋体" w:cs="宋体" w:eastAsia="宋体" w:hint="default"/>
          <w:b/>
          <w:bCs/>
        </w:rPr>
        <w:t>陈鹏辉，</w:t>
      </w:r>
      <w:r>
        <w:rPr/>
        <w:t>男，</w:t>
      </w:r>
      <w:r>
        <w:rPr>
          <w:rFonts w:ascii="Times New Roman" w:hAnsi="Times New Roman" w:cs="Times New Roman" w:eastAsia="Times New Roman" w:hint="default"/>
        </w:rPr>
        <w:t>1972</w:t>
      </w:r>
      <w:r>
        <w:rPr/>
        <w:t>年出生，美国国籍。硕士。现任华大基因董事，博远资本创始合伙人。曾任美国圣地亚哥生物技术 公司</w:t>
      </w:r>
      <w:r>
        <w:rPr>
          <w:rFonts w:ascii="Times New Roman" w:hAnsi="Times New Roman" w:cs="Times New Roman" w:eastAsia="Times New Roman" w:hint="default"/>
        </w:rPr>
        <w:t>Ligand</w:t>
      </w:r>
      <w:r>
        <w:rPr>
          <w:rFonts w:ascii="Times New Roman" w:hAnsi="Times New Roman" w:cs="Times New Roman" w:eastAsia="Times New Roman" w:hint="default"/>
          <w:spacing w:val="-2"/>
        </w:rPr>
        <w:t> </w:t>
      </w:r>
      <w:r>
        <w:rPr>
          <w:rFonts w:ascii="Times New Roman" w:hAnsi="Times New Roman" w:cs="Times New Roman" w:eastAsia="Times New Roman" w:hint="default"/>
        </w:rPr>
        <w:t>Pharmaceuticals</w:t>
      </w:r>
      <w:r>
        <w:rPr/>
        <w:t>研究员，中信资本控股有限公司投资副总裁，尚华医药集团首席运营官、首席财务官、总裁， 中国光大控股有限公司医疗基金负责人、董事总经理，红杉资本中国基金合伙人。</w:t>
      </w:r>
    </w:p>
    <w:p>
      <w:pPr>
        <w:pStyle w:val="BodyText"/>
        <w:spacing w:line="307" w:lineRule="auto" w:before="154"/>
        <w:ind w:right="231" w:firstLine="360"/>
        <w:jc w:val="left"/>
      </w:pPr>
      <w:r>
        <w:rPr>
          <w:rFonts w:ascii="宋体" w:hAnsi="宋体" w:cs="宋体" w:eastAsia="宋体" w:hint="default"/>
          <w:b/>
          <w:bCs/>
        </w:rPr>
        <w:t>徐爱民，</w:t>
      </w:r>
      <w:r>
        <w:rPr/>
        <w:t>男，</w:t>
      </w:r>
      <w:r>
        <w:rPr>
          <w:rFonts w:ascii="Times New Roman" w:hAnsi="Times New Roman" w:cs="Times New Roman" w:eastAsia="Times New Roman" w:hint="default"/>
        </w:rPr>
        <w:t>1967</w:t>
      </w:r>
      <w:r>
        <w:rPr/>
        <w:t>年出生，中国国籍，有境外居留权。博士，教授。现任华大基因独立董事，中山大学达安基因股份 有限公司独立董事，香港大学内科学系、药理及药剂学系终身教授。同时兼任香港大学生物医药技术国家重点实验室主 任，香港大学抗体及免疫检测服务中心主任。</w:t>
      </w:r>
    </w:p>
    <w:p>
      <w:pPr>
        <w:pStyle w:val="BodyText"/>
        <w:spacing w:line="297" w:lineRule="auto" w:before="149"/>
        <w:ind w:right="231" w:firstLine="360"/>
        <w:jc w:val="left"/>
      </w:pPr>
      <w:r>
        <w:rPr>
          <w:rFonts w:ascii="宋体" w:hAnsi="宋体" w:cs="宋体" w:eastAsia="宋体" w:hint="default"/>
          <w:b/>
          <w:bCs/>
        </w:rPr>
        <w:t>蒋昌建，</w:t>
      </w:r>
      <w:r>
        <w:rPr/>
        <w:t>男，</w:t>
      </w:r>
      <w:r>
        <w:rPr>
          <w:rFonts w:ascii="Times New Roman" w:hAnsi="Times New Roman" w:cs="Times New Roman" w:eastAsia="Times New Roman" w:hint="default"/>
        </w:rPr>
        <w:t>1965</w:t>
      </w:r>
      <w:r>
        <w:rPr/>
        <w:t>年出生，中国国籍，无境外居留权。博士，副教授。现任华大基因独立董事，复旦大学国际关系与 公共事务学院副教授。曾任安徽师范大学附属中学教师。</w:t>
      </w:r>
    </w:p>
    <w:p>
      <w:pPr>
        <w:pStyle w:val="BodyText"/>
        <w:spacing w:line="297" w:lineRule="auto" w:before="155"/>
        <w:ind w:right="232" w:firstLine="360"/>
        <w:jc w:val="left"/>
      </w:pPr>
      <w:r>
        <w:rPr>
          <w:rFonts w:ascii="宋体" w:hAnsi="宋体" w:cs="宋体" w:eastAsia="宋体" w:hint="default"/>
          <w:b/>
          <w:bCs/>
        </w:rPr>
        <w:t>谢宏，</w:t>
      </w:r>
      <w:r>
        <w:rPr/>
        <w:t>男，</w:t>
      </w:r>
      <w:r>
        <w:rPr>
          <w:rFonts w:ascii="Times New Roman" w:hAnsi="Times New Roman" w:cs="Times New Roman" w:eastAsia="Times New Roman" w:hint="default"/>
        </w:rPr>
        <w:t>1965</w:t>
      </w:r>
      <w:r>
        <w:rPr/>
        <w:t>年出生。中国国籍，无境外居留权。本科学历。现任华大基因独立董事。曾任贝因美婴童食品股份有 限公司董事长，现为该公司的实际控制人。</w:t>
      </w:r>
    </w:p>
    <w:p>
      <w:pPr>
        <w:pStyle w:val="BodyText"/>
        <w:spacing w:line="307" w:lineRule="auto" w:before="155"/>
        <w:ind w:right="232" w:firstLine="360"/>
        <w:jc w:val="left"/>
      </w:pPr>
      <w:r>
        <w:rPr>
          <w:rFonts w:ascii="宋体" w:hAnsi="宋体" w:cs="宋体" w:eastAsia="宋体" w:hint="default"/>
          <w:b/>
          <w:bCs/>
        </w:rPr>
        <w:t>吴育辉</w:t>
      </w:r>
      <w:r>
        <w:rPr/>
        <w:t>，男，</w:t>
      </w:r>
      <w:r>
        <w:rPr>
          <w:rFonts w:ascii="Times New Roman" w:hAnsi="Times New Roman" w:cs="Times New Roman" w:eastAsia="Times New Roman" w:hint="default"/>
        </w:rPr>
        <w:t>1978</w:t>
      </w:r>
      <w:r>
        <w:rPr/>
        <w:t>年出生。中国国籍，无境外居留权。博士，教授，博士生导师。现任华大基因独立董事，厦门大学 管理学院财务学系副主任（主持工作），福耀玻璃工业集团股份有限公司独立董事，深圳顺络电子股份有限公司独立董 事，合力泰科技股份有限公司独立董事。</w:t>
      </w:r>
    </w:p>
    <w:p>
      <w:pPr>
        <w:pStyle w:val="Heading4"/>
        <w:spacing w:line="240" w:lineRule="auto" w:before="148"/>
        <w:ind w:right="141"/>
        <w:jc w:val="left"/>
        <w:rPr>
          <w:b w:val="0"/>
          <w:bCs w:val="0"/>
        </w:rPr>
      </w:pPr>
      <w:r>
        <w:rPr/>
        <w:t>（二）监事</w:t>
      </w:r>
      <w:r>
        <w:rPr>
          <w:b w:val="0"/>
          <w:bCs w:val="0"/>
        </w:rPr>
      </w:r>
    </w:p>
    <w:p>
      <w:pPr>
        <w:spacing w:line="240" w:lineRule="auto" w:before="11"/>
        <w:rPr>
          <w:rFonts w:ascii="宋体" w:hAnsi="宋体" w:cs="宋体" w:eastAsia="宋体" w:hint="default"/>
          <w:b/>
          <w:bCs/>
          <w:sz w:val="14"/>
          <w:szCs w:val="14"/>
        </w:rPr>
      </w:pPr>
    </w:p>
    <w:p>
      <w:pPr>
        <w:pStyle w:val="BodyText"/>
        <w:spacing w:line="300" w:lineRule="auto"/>
        <w:ind w:right="232" w:firstLine="360"/>
        <w:jc w:val="left"/>
      </w:pPr>
      <w:r>
        <w:rPr>
          <w:rFonts w:ascii="宋体" w:hAnsi="宋体" w:cs="宋体" w:eastAsia="宋体" w:hint="default"/>
          <w:b/>
          <w:bCs/>
        </w:rPr>
        <w:t>李松岗</w:t>
      </w:r>
      <w:r>
        <w:rPr/>
        <w:t>，男，</w:t>
      </w:r>
      <w:r>
        <w:rPr>
          <w:rFonts w:ascii="Times New Roman" w:hAnsi="Times New Roman" w:cs="Times New Roman" w:eastAsia="Times New Roman" w:hint="default"/>
        </w:rPr>
        <w:t>1947</w:t>
      </w:r>
      <w:r>
        <w:rPr/>
        <w:t>年出生，中国国籍，无境外居留权。硕士。现任华大基因监事。曾任北京大学生命科学学院讲师、 副教授、教授。</w:t>
      </w:r>
    </w:p>
    <w:p>
      <w:pPr>
        <w:pStyle w:val="BodyText"/>
        <w:spacing w:line="297" w:lineRule="auto" w:before="154"/>
        <w:ind w:right="232" w:firstLine="360"/>
        <w:jc w:val="left"/>
      </w:pPr>
      <w:r>
        <w:rPr>
          <w:rFonts w:ascii="宋体" w:hAnsi="宋体" w:cs="宋体" w:eastAsia="宋体" w:hint="default"/>
          <w:b/>
          <w:bCs/>
        </w:rPr>
        <w:t>李雯琪</w:t>
      </w:r>
      <w:r>
        <w:rPr/>
        <w:t>，女，</w:t>
      </w:r>
      <w:r>
        <w:rPr>
          <w:rFonts w:ascii="Times New Roman" w:hAnsi="Times New Roman" w:cs="Times New Roman" w:eastAsia="Times New Roman" w:hint="default"/>
        </w:rPr>
        <w:t>1986</w:t>
      </w:r>
      <w:r>
        <w:rPr/>
        <w:t>年出生，中国国籍，无境外居留权。硕士学历。现任华大基因监事、华大基因总经理助理。曾任华 大科技日本片区业务经理、实验平台行政总监。</w:t>
      </w:r>
    </w:p>
    <w:p>
      <w:pPr>
        <w:pStyle w:val="BodyText"/>
        <w:spacing w:line="240" w:lineRule="auto" w:before="155"/>
        <w:ind w:left="513" w:right="141"/>
        <w:jc w:val="left"/>
      </w:pPr>
      <w:r>
        <w:rPr>
          <w:rFonts w:ascii="宋体" w:hAnsi="宋体" w:cs="宋体" w:eastAsia="宋体" w:hint="default"/>
          <w:b/>
          <w:bCs/>
        </w:rPr>
        <w:t>胡宇洁</w:t>
      </w:r>
      <w:r>
        <w:rPr/>
        <w:t>，女，</w:t>
      </w:r>
      <w:r>
        <w:rPr>
          <w:rFonts w:ascii="Times New Roman" w:hAnsi="Times New Roman" w:cs="Times New Roman" w:eastAsia="Times New Roman" w:hint="default"/>
        </w:rPr>
        <w:t>1984</w:t>
      </w:r>
      <w:r>
        <w:rPr/>
        <w:t>年出生，中国国籍，无境外居留权。硕士学历。现任华大基因监事。曾任华大科技人力资源总监。</w:t>
      </w:r>
    </w:p>
    <w:p>
      <w:pPr>
        <w:spacing w:line="240" w:lineRule="auto" w:before="13"/>
        <w:rPr>
          <w:rFonts w:ascii="宋体" w:hAnsi="宋体" w:cs="宋体" w:eastAsia="宋体" w:hint="default"/>
          <w:sz w:val="13"/>
          <w:szCs w:val="13"/>
        </w:rPr>
      </w:pPr>
    </w:p>
    <w:p>
      <w:pPr>
        <w:spacing w:line="436" w:lineRule="auto" w:before="0"/>
        <w:ind w:left="513" w:right="6012" w:hanging="361"/>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b/>
          <w:bCs/>
          <w:sz w:val="18"/>
          <w:szCs w:val="18"/>
        </w:rPr>
        <w:t>高级管理人员</w:t>
      </w:r>
      <w:r>
        <w:rPr>
          <w:rFonts w:ascii="宋体" w:hAnsi="宋体" w:cs="宋体" w:eastAsia="宋体" w:hint="default"/>
          <w:b/>
          <w:bCs/>
          <w:w w:val="99"/>
          <w:sz w:val="18"/>
          <w:szCs w:val="18"/>
        </w:rPr>
        <w:t> </w:t>
      </w:r>
      <w:r>
        <w:rPr>
          <w:rFonts w:ascii="宋体" w:hAnsi="宋体" w:cs="宋体" w:eastAsia="宋体" w:hint="default"/>
          <w:b/>
          <w:bCs/>
          <w:sz w:val="18"/>
          <w:szCs w:val="18"/>
        </w:rPr>
        <w:t>尹烨</w:t>
      </w:r>
      <w:r>
        <w:rPr>
          <w:rFonts w:ascii="宋体" w:hAnsi="宋体" w:cs="宋体" w:eastAsia="宋体" w:hint="default"/>
          <w:sz w:val="18"/>
          <w:szCs w:val="18"/>
        </w:rPr>
        <w:t>，简历见本节之</w:t>
      </w:r>
      <w:r>
        <w:rPr>
          <w:rFonts w:ascii="Times New Roman" w:hAnsi="Times New Roman" w:cs="Times New Roman" w:eastAsia="Times New Roman" w:hint="default"/>
          <w:sz w:val="18"/>
          <w:szCs w:val="18"/>
        </w:rPr>
        <w:t>“</w:t>
      </w:r>
      <w:r>
        <w:rPr>
          <w:rFonts w:ascii="宋体" w:hAnsi="宋体" w:cs="宋体" w:eastAsia="宋体" w:hint="default"/>
          <w:sz w:val="18"/>
          <w:szCs w:val="18"/>
        </w:rPr>
        <w:t>（一）董事会成员</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BodyText"/>
        <w:spacing w:line="300" w:lineRule="auto" w:before="19"/>
        <w:ind w:right="232" w:firstLine="360"/>
        <w:jc w:val="left"/>
      </w:pPr>
      <w:r>
        <w:rPr>
          <w:rFonts w:ascii="宋体" w:hAnsi="宋体" w:cs="宋体" w:eastAsia="宋体" w:hint="default"/>
          <w:b/>
          <w:bCs/>
        </w:rPr>
        <w:t>张凌，</w:t>
      </w:r>
      <w:r>
        <w:rPr/>
        <w:t>男，</w:t>
      </w:r>
      <w:r>
        <w:rPr>
          <w:rFonts w:ascii="Times New Roman" w:hAnsi="Times New Roman" w:cs="Times New Roman" w:eastAsia="Times New Roman" w:hint="default"/>
        </w:rPr>
        <w:t>1973</w:t>
      </w:r>
      <w:r>
        <w:rPr/>
        <w:t>年出生，中国国籍，有香港居留权。硕士。现任华大基因首席运营官。曾任摩根大通证券（亚太）有 限公司董事总经理、中国医疗投资银行主管，花旗环球金融亚洲有限公司董事总经理，中国国际金融有限公司副总裁。</w:t>
      </w:r>
    </w:p>
    <w:p>
      <w:pPr>
        <w:pStyle w:val="BodyText"/>
        <w:spacing w:line="300" w:lineRule="auto" w:before="152"/>
        <w:ind w:right="212" w:firstLine="360"/>
        <w:jc w:val="left"/>
      </w:pPr>
      <w:r>
        <w:rPr>
          <w:rFonts w:ascii="宋体" w:hAnsi="宋体" w:cs="宋体" w:eastAsia="宋体" w:hint="default"/>
          <w:b/>
          <w:bCs/>
        </w:rPr>
        <w:t>刘娜，</w:t>
      </w:r>
      <w:r>
        <w:rPr/>
        <w:t>女，</w:t>
      </w:r>
      <w:r>
        <w:rPr>
          <w:rFonts w:ascii="Times New Roman" w:hAnsi="Times New Roman" w:cs="Times New Roman" w:eastAsia="Times New Roman" w:hint="default"/>
        </w:rPr>
        <w:t>1979</w:t>
      </w:r>
      <w:r>
        <w:rPr/>
        <w:t>年出生，中国国籍，无境外居留权。博士。现任华大基因副总裁。曾任华大控股科技合作事业部</w:t>
      </w:r>
      <w:r>
        <w:rPr>
          <w:rFonts w:ascii="Times New Roman" w:hAnsi="Times New Roman" w:cs="Times New Roman" w:eastAsia="Times New Roman" w:hint="default"/>
        </w:rPr>
        <w:t>RNA</w:t>
      </w:r>
      <w:r>
        <w:rPr>
          <w:rFonts w:ascii="Times New Roman" w:hAnsi="Times New Roman" w:cs="Times New Roman" w:eastAsia="Times New Roman" w:hint="default"/>
          <w:w w:val="99"/>
        </w:rPr>
        <w:t> </w:t>
      </w:r>
      <w:r>
        <w:rPr/>
        <w:t>业务线总监，制药与生物技术研究业务线总监，华大科技董事长、副总裁。</w:t>
      </w:r>
    </w:p>
    <w:p>
      <w:pPr>
        <w:pStyle w:val="BodyText"/>
        <w:spacing w:line="309" w:lineRule="auto" w:before="151"/>
        <w:ind w:right="248" w:firstLine="360"/>
        <w:jc w:val="both"/>
      </w:pPr>
      <w:r>
        <w:rPr>
          <w:rFonts w:ascii="宋体" w:hAnsi="宋体" w:cs="宋体" w:eastAsia="宋体" w:hint="default"/>
          <w:b/>
          <w:bCs/>
        </w:rPr>
        <w:t>陈轶青，</w:t>
      </w:r>
      <w:r>
        <w:rPr/>
        <w:t>男，</w:t>
      </w:r>
      <w:r>
        <w:rPr>
          <w:rFonts w:ascii="Times New Roman" w:hAnsi="Times New Roman" w:cs="Times New Roman" w:eastAsia="Times New Roman" w:hint="default"/>
        </w:rPr>
        <w:t>1984</w:t>
      </w:r>
      <w:r>
        <w:rPr/>
        <w:t>年出生，中国国籍，无境外居留权。硕士，中国注册会计师资格。现任华大基因财务总监。曾任华 大科技财务总监，东方花旗证券有限公司投资银行部业务总监，东方证券有限公司投资银行部业务副总监，安永华明会计 师事务所审计师。</w:t>
      </w:r>
    </w:p>
    <w:p>
      <w:pPr>
        <w:pStyle w:val="BodyText"/>
        <w:spacing w:line="300" w:lineRule="auto" w:before="144"/>
        <w:ind w:right="231" w:firstLine="360"/>
        <w:jc w:val="left"/>
      </w:pPr>
      <w:r>
        <w:rPr>
          <w:rFonts w:ascii="宋体" w:hAnsi="宋体" w:cs="宋体" w:eastAsia="宋体" w:hint="default"/>
          <w:b/>
          <w:bCs/>
        </w:rPr>
        <w:t>李治平，</w:t>
      </w:r>
      <w:r>
        <w:rPr/>
        <w:t>男，</w:t>
      </w:r>
      <w:r>
        <w:rPr>
          <w:rFonts w:ascii="Times New Roman" w:hAnsi="Times New Roman" w:cs="Times New Roman" w:eastAsia="Times New Roman" w:hint="default"/>
        </w:rPr>
        <w:t>1979</w:t>
      </w:r>
      <w:r>
        <w:rPr/>
        <w:t>年出生，中国国籍，无境外居留权。本科学历。现任华大基因人力资源总监。曾任华大控股人力资 源副总监，华大医学人力资源总监。</w:t>
      </w:r>
    </w:p>
    <w:p>
      <w:pPr>
        <w:pStyle w:val="BodyText"/>
        <w:spacing w:line="300" w:lineRule="auto" w:before="151"/>
        <w:ind w:right="232" w:firstLine="360"/>
        <w:jc w:val="left"/>
      </w:pPr>
      <w:r>
        <w:rPr>
          <w:rFonts w:ascii="宋体" w:hAnsi="宋体" w:cs="宋体" w:eastAsia="宋体" w:hint="default"/>
          <w:b/>
          <w:bCs/>
        </w:rPr>
        <w:t>王威，</w:t>
      </w:r>
      <w:r>
        <w:rPr/>
        <w:t>女，</w:t>
      </w:r>
      <w:r>
        <w:rPr>
          <w:rFonts w:ascii="Times New Roman" w:hAnsi="Times New Roman" w:cs="Times New Roman" w:eastAsia="Times New Roman" w:hint="default"/>
        </w:rPr>
        <w:t>1973</w:t>
      </w:r>
      <w:r>
        <w:rPr/>
        <w:t>年出生，中国国籍，无境外居留权。博士，副研究员。现任华大基因首席医学官。曾任华大医学总经 理，北京基因研究基因分型平台负责人。</w:t>
      </w:r>
    </w:p>
    <w:p>
      <w:pPr>
        <w:pStyle w:val="BodyText"/>
        <w:spacing w:line="240" w:lineRule="auto" w:before="152"/>
        <w:ind w:left="513" w:right="141"/>
        <w:jc w:val="left"/>
      </w:pPr>
      <w:r>
        <w:rPr>
          <w:rFonts w:ascii="宋体" w:hAnsi="宋体" w:cs="宋体" w:eastAsia="宋体" w:hint="default"/>
          <w:b/>
          <w:bCs/>
        </w:rPr>
        <w:t>徐茜，</w:t>
      </w:r>
      <w:r>
        <w:rPr/>
        <w:t>女，</w:t>
      </w:r>
      <w:r>
        <w:rPr>
          <w:rFonts w:ascii="Times New Roman" w:hAnsi="Times New Roman" w:cs="Times New Roman" w:eastAsia="Times New Roman" w:hint="default"/>
        </w:rPr>
        <w:t>1984</w:t>
      </w:r>
      <w:r>
        <w:rPr/>
        <w:t>年出生，中国国籍，无境外居留权。硕士。现任华大基因董事会秘书、法务总监。曾任华大科技法务</w:t>
      </w:r>
    </w:p>
    <w:p>
      <w:pPr>
        <w:spacing w:after="0" w:line="240" w:lineRule="auto"/>
        <w:jc w:val="left"/>
        <w:sectPr>
          <w:pgSz w:w="11910" w:h="16840"/>
          <w:pgMar w:header="0" w:footer="974" w:top="1100" w:bottom="1160" w:left="980" w:right="980"/>
        </w:sectPr>
      </w:pPr>
    </w:p>
    <w:p>
      <w:pPr>
        <w:spacing w:line="240" w:lineRule="auto" w:before="0"/>
        <w:rPr>
          <w:rFonts w:ascii="宋体" w:hAnsi="宋体" w:cs="宋体" w:eastAsia="宋体" w:hint="default"/>
          <w:sz w:val="22"/>
          <w:szCs w:val="22"/>
        </w:rPr>
      </w:pPr>
    </w:p>
    <w:p>
      <w:pPr>
        <w:pStyle w:val="BodyText"/>
        <w:spacing w:line="240" w:lineRule="auto" w:before="44"/>
        <w:ind w:right="141"/>
        <w:jc w:val="left"/>
      </w:pPr>
      <w:r>
        <w:rPr/>
        <w:t>总监。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4"/>
        <w:ind w:right="141"/>
        <w:jc w:val="left"/>
      </w:pPr>
      <w:r>
        <w:rPr/>
        <w:t>在股东单位任职情况</w:t>
      </w:r>
    </w:p>
    <w:p>
      <w:pPr>
        <w:pStyle w:val="BodyText"/>
        <w:spacing w:line="240" w:lineRule="auto" w:before="115"/>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200"/>
        <w:gridCol w:w="3190"/>
        <w:gridCol w:w="1064"/>
        <w:gridCol w:w="1198"/>
        <w:gridCol w:w="1330"/>
        <w:gridCol w:w="1586"/>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9"/>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5"/>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8" w:right="65"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94"/>
              <w:jc w:val="right"/>
              <w:rPr>
                <w:rFonts w:ascii="宋体" w:hAnsi="宋体" w:cs="宋体" w:eastAsia="宋体" w:hint="default"/>
                <w:sz w:val="18"/>
                <w:szCs w:val="18"/>
              </w:rPr>
            </w:pPr>
            <w:r>
              <w:rPr>
                <w:rFonts w:ascii="宋体" w:hAnsi="宋体" w:cs="宋体" w:eastAsia="宋体" w:hint="default"/>
                <w:sz w:val="18"/>
                <w:szCs w:val="18"/>
              </w:rPr>
              <w:t>深圳华大基因科技有限公司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4"/>
              <w:jc w:val="right"/>
              <w:rPr>
                <w:rFonts w:ascii="宋体" w:hAnsi="宋体" w:cs="宋体" w:eastAsia="宋体" w:hint="default"/>
                <w:sz w:val="18"/>
                <w:szCs w:val="18"/>
              </w:rPr>
            </w:pPr>
            <w:r>
              <w:rPr>
                <w:rFonts w:ascii="宋体" w:hAnsi="宋体" w:cs="宋体" w:eastAsia="宋体" w:hint="default"/>
                <w:sz w:val="18"/>
                <w:szCs w:val="18"/>
              </w:rPr>
              <w:t>深圳华大基因科技有限公司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孙英俊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94"/>
              <w:jc w:val="right"/>
              <w:rPr>
                <w:rFonts w:ascii="宋体" w:hAnsi="宋体" w:cs="宋体" w:eastAsia="宋体" w:hint="default"/>
                <w:sz w:val="18"/>
                <w:szCs w:val="18"/>
              </w:rPr>
            </w:pPr>
            <w:r>
              <w:rPr>
                <w:rFonts w:ascii="宋体" w:hAnsi="宋体" w:cs="宋体" w:eastAsia="宋体" w:hint="default"/>
                <w:sz w:val="18"/>
                <w:szCs w:val="18"/>
              </w:rPr>
              <w:t>深圳华大基因科技有限公司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141"/>
        <w:jc w:val="left"/>
      </w:pPr>
      <w:r>
        <w:rPr/>
        <w:t>在其他单位任职情况</w:t>
      </w:r>
    </w:p>
    <w:p>
      <w:pPr>
        <w:pStyle w:val="BodyText"/>
        <w:spacing w:line="240" w:lineRule="auto" w:before="115"/>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200"/>
        <w:gridCol w:w="3190"/>
        <w:gridCol w:w="1064"/>
        <w:gridCol w:w="1198"/>
        <w:gridCol w:w="1323"/>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深圳前海华大基因投资企业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深圳碳云控股有限公司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总经理、执 行董事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深圳碳基投资有限公司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深圳碳基智能科技有限公司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总经理、执 行董事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深圳碳云智能科技有限公司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深圳碳原智能科技有限公司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深圳碳元科技有限公司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广州碳云智能科技有限公司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深圳碳云智造科技有限公司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总经理、董 事长</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上海碳翎智能科技有限公司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上海碳翎科技股份有限公司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40"/>
          <w:pgSz w:w="11910" w:h="16840"/>
          <w:pgMar w:footer="974" w:header="0" w:top="1100" w:bottom="1160" w:left="980" w:right="980"/>
          <w:pgNumType w:start="11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200"/>
        <w:gridCol w:w="3190"/>
        <w:gridCol w:w="1064"/>
        <w:gridCol w:w="1198"/>
        <w:gridCol w:w="1323"/>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深圳曦和数字生命科技有限公司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总经理、</w:t>
            </w:r>
            <w:r>
              <w:rPr>
                <w:rFonts w:ascii="宋体" w:hAnsi="宋体" w:cs="宋体" w:eastAsia="宋体" w:hint="default"/>
                <w:spacing w:val="1"/>
                <w:sz w:val="18"/>
                <w:szCs w:val="18"/>
              </w:rPr>
              <w:t> </w:t>
            </w:r>
            <w:r>
              <w:rPr>
                <w:rFonts w:ascii="宋体" w:hAnsi="宋体" w:cs="宋体" w:eastAsia="宋体" w:hint="default"/>
                <w:sz w:val="18"/>
                <w:szCs w:val="18"/>
              </w:rPr>
              <w:t>执</w:t>
            </w:r>
            <w:r>
              <w:rPr>
                <w:rFonts w:ascii="宋体" w:hAnsi="宋体" w:cs="宋体" w:eastAsia="宋体" w:hint="default"/>
                <w:sz w:val="18"/>
                <w:szCs w:val="18"/>
              </w:rPr>
              <w:t> 行董事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深圳碳云数字生命科技有限公司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深圳碳云智能数字生命活力圈科技有限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94"/>
              <w:jc w:val="left"/>
              <w:rPr>
                <w:rFonts w:ascii="宋体" w:hAnsi="宋体" w:cs="宋体" w:eastAsia="宋体" w:hint="default"/>
                <w:sz w:val="18"/>
                <w:szCs w:val="18"/>
              </w:rPr>
            </w:pPr>
            <w:r>
              <w:rPr>
                <w:rFonts w:ascii="宋体" w:hAnsi="宋体" w:cs="宋体" w:eastAsia="宋体" w:hint="default"/>
                <w:sz w:val="18"/>
                <w:szCs w:val="18"/>
              </w:rPr>
              <w:t>深圳碳云智能数字生命活力圈健康管理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深圳数字生命研究院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院长、理事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广州市碳云智能科技研究院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碳雲智能科技有限公司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碳雲控股國際有限公司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深圳艾问传播管理有限公司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深圳云肴咨询有限公司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总经理、执 行董事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李英睿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深圳碳云智能科技有限公司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李英睿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深圳碳基投资有限公司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李英睿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深圳碳元科技有限公司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李英睿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深圳基智投资有限公司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李英睿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深圳碳原智能科技有限公司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李英睿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94"/>
              <w:jc w:val="left"/>
              <w:rPr>
                <w:rFonts w:ascii="宋体" w:hAnsi="宋体" w:cs="宋体" w:eastAsia="宋体" w:hint="default"/>
                <w:sz w:val="18"/>
                <w:szCs w:val="18"/>
              </w:rPr>
            </w:pPr>
            <w:r>
              <w:rPr>
                <w:rFonts w:ascii="宋体" w:hAnsi="宋体" w:cs="宋体" w:eastAsia="宋体" w:hint="default"/>
                <w:sz w:val="18"/>
                <w:szCs w:val="18"/>
              </w:rPr>
              <w:t>深圳碳云智能数字生命活力圈健康管理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李英睿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深圳数字生命研究院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李英睿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广州市碳云智能科技研究院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高林资本管理有限公司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董事长、经 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北京高林投资有限公司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北京高林管理咨询有限公司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深圳盈泰华瑞投资管理有限公司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执行（常 务）董事、 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上海高林固泰投资管理有限公司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上海高林固泰创业投资管理有限公司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200"/>
        <w:gridCol w:w="3190"/>
        <w:gridCol w:w="1064"/>
        <w:gridCol w:w="1198"/>
        <w:gridCol w:w="1323"/>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高林（深圳）资本管理有限公司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执行（常 务）董事、 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深圳弘泰资本投资有限公司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吉贝克信息技术（北京）有限公司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北京丽家丽婴婴童用品股份有限公司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北京宅急送快运股份有限公司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CEO</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石家庄优创科技股份有限公司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金春保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深圳市盛桥投资管理有限公司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金春保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北京天学网教育科技股份有限公司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金春保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博远嘉泰股权投资管理有限公司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创始合伙人</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成都安琪儿医疗控股有限公司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方润医疗器械科技（上海）有限公司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成都光控世纪医疗健康创业投资有限公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上海复医天健医疗服务产业股份有限公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北京美中宜和医疗管理有限公司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北京美中宜和妇儿医院有限公司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北京联安福得医疗科技有限公司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徐爱民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中山大学达安基因股份有限公司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徐爱民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贝因美集团有限公司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复旦大学国际关系与公共事务学院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200"/>
        <w:gridCol w:w="3190"/>
        <w:gridCol w:w="1064"/>
        <w:gridCol w:w="1198"/>
        <w:gridCol w:w="1323"/>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南京蒋大哥文化传媒工作室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上海旭京生物科技股份有限公司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上海天狐创意设计股份有限公司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上海淘璞电子商务有限公司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上海通游网络科技有限公司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上海众妙电子科技有限公司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南通蒋大哥文化传媒工作室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上海弦理文化传媒工作室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杭州超体文化传媒有限公司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集美杏林文化传媒东台工作室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厦门大学管理学院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福耀玻璃工业集团股份有限公司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合力泰科技股份有限公司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深圳顺络电子股份有限公司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深圳国际仲裁院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p>
      <w:pPr>
        <w:pStyle w:val="BodyText"/>
        <w:spacing w:line="240" w:lineRule="auto"/>
        <w:ind w:right="141"/>
        <w:jc w:val="left"/>
      </w:pPr>
      <w:r>
        <w:rPr/>
        <w:t>公司现任及报告期内离任董事、监事和高级管理人员近三年证券监管机构处罚的情况</w:t>
      </w:r>
    </w:p>
    <w:p>
      <w:pPr>
        <w:pStyle w:val="BodyText"/>
        <w:spacing w:line="240" w:lineRule="auto" w:before="117"/>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1"/>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t>董事、监事、高级管理人员报酬的决策程序、确定依据、实际支付情况</w:t>
      </w:r>
    </w:p>
    <w:p>
      <w:pPr>
        <w:spacing w:after="0" w:line="240" w:lineRule="auto"/>
        <w:jc w:val="left"/>
        <w:sectPr>
          <w:pgSz w:w="11910" w:h="16840"/>
          <w:pgMar w:header="0" w:footer="974" w:top="1100" w:bottom="1160" w:left="980" w:right="980"/>
        </w:sectPr>
      </w:pPr>
    </w:p>
    <w:p>
      <w:pPr>
        <w:spacing w:line="240" w:lineRule="auto" w:before="0"/>
        <w:rPr>
          <w:rFonts w:ascii="宋体" w:hAnsi="宋体" w:cs="宋体" w:eastAsia="宋体" w:hint="default"/>
          <w:sz w:val="22"/>
          <w:szCs w:val="22"/>
        </w:rPr>
      </w:pPr>
    </w:p>
    <w:p>
      <w:pPr>
        <w:pStyle w:val="Heading4"/>
        <w:spacing w:line="240" w:lineRule="auto"/>
        <w:ind w:left="424" w:right="141"/>
        <w:jc w:val="left"/>
        <w:rPr>
          <w:b w:val="0"/>
          <w:bCs w:val="0"/>
        </w:rPr>
      </w:pPr>
      <w:r>
        <w:rPr/>
        <w:t>（一）董事、监事、高级管理人员报酬的决策程序</w:t>
      </w:r>
      <w:r>
        <w:rPr>
          <w:b w:val="0"/>
          <w:bCs w:val="0"/>
        </w:rPr>
      </w:r>
    </w:p>
    <w:p>
      <w:pPr>
        <w:pStyle w:val="BodyText"/>
        <w:spacing w:line="240" w:lineRule="auto" w:before="117"/>
        <w:ind w:left="513" w:right="141"/>
        <w:jc w:val="left"/>
      </w:pPr>
      <w:r>
        <w:rPr>
          <w:rFonts w:ascii="Times New Roman" w:hAnsi="Times New Roman" w:cs="Times New Roman" w:eastAsia="Times New Roman" w:hint="default"/>
        </w:rPr>
        <w:t>1</w:t>
      </w:r>
      <w:r>
        <w:rPr/>
        <w:t>、公司董事、监事报酬由股东大会审议决定，高级管理人员报酬由董事会审议决定；</w:t>
      </w:r>
    </w:p>
    <w:p>
      <w:pPr>
        <w:pStyle w:val="BodyText"/>
        <w:spacing w:line="309" w:lineRule="auto" w:before="101"/>
        <w:ind w:right="144" w:firstLine="360"/>
        <w:jc w:val="left"/>
      </w:pPr>
      <w:r>
        <w:rPr>
          <w:rFonts w:ascii="Times New Roman" w:hAnsi="Times New Roman" w:cs="Times New Roman" w:eastAsia="Times New Roman" w:hint="default"/>
        </w:rPr>
        <w:t>2</w:t>
      </w:r>
      <w:r>
        <w:rPr/>
        <w:t>、在公司任职的董事、监事、高级管理人员报酬由公司按照公司薪酬考核体系的确定标准支付，董事、监事不另外领 取津贴。根据公司《董事会薪酬与考核委员会实施细则》，薪酬与考核委员会提出的公司董事的薪酬计划，须报经董事会 同意后，提交股东大会审议通过后方可实施；</w:t>
      </w:r>
    </w:p>
    <w:p>
      <w:pPr>
        <w:pStyle w:val="BodyText"/>
        <w:spacing w:line="240" w:lineRule="auto" w:before="65"/>
        <w:ind w:left="513" w:right="141"/>
        <w:jc w:val="left"/>
      </w:pPr>
      <w:r>
        <w:rPr>
          <w:rFonts w:ascii="Times New Roman" w:hAnsi="Times New Roman" w:cs="Times New Roman" w:eastAsia="Times New Roman" w:hint="default"/>
        </w:rPr>
        <w:t>3</w:t>
      </w:r>
      <w:r>
        <w:rPr/>
        <w:t>、公司独立董事津贴由公司董事会薪酬与考核委员会提出方案，报公司董事会、股东大会审议通过后实施。</w:t>
      </w:r>
    </w:p>
    <w:p>
      <w:pPr>
        <w:pStyle w:val="Heading4"/>
        <w:spacing w:line="240" w:lineRule="auto" w:before="103"/>
        <w:ind w:left="424" w:right="141"/>
        <w:jc w:val="left"/>
        <w:rPr>
          <w:b w:val="0"/>
          <w:bCs w:val="0"/>
        </w:rPr>
      </w:pPr>
      <w:r>
        <w:rPr/>
        <w:t>（二）董事、监事、高级管理人员报酬确定依据</w:t>
      </w:r>
      <w:r>
        <w:rPr>
          <w:b w:val="0"/>
          <w:bCs w:val="0"/>
        </w:rPr>
      </w:r>
    </w:p>
    <w:p>
      <w:pPr>
        <w:pStyle w:val="BodyText"/>
        <w:spacing w:line="300" w:lineRule="auto" w:before="115"/>
        <w:ind w:right="151" w:firstLine="353"/>
        <w:jc w:val="left"/>
      </w:pPr>
      <w:r>
        <w:rPr>
          <w:rFonts w:ascii="Times New Roman" w:hAnsi="Times New Roman" w:cs="Times New Roman" w:eastAsia="Times New Roman" w:hint="default"/>
        </w:rPr>
        <w:t>1</w:t>
      </w:r>
      <w:r>
        <w:rPr/>
        <w:t>、在公司任职的董事、监事和高级管理人员薪酬方案根据公司经营业绩、个人工作能力考核、同行业上市公司相应岗 位薪资情况综合确定。</w:t>
      </w:r>
    </w:p>
    <w:p>
      <w:pPr>
        <w:pStyle w:val="BodyText"/>
        <w:spacing w:line="240" w:lineRule="auto" w:before="72"/>
        <w:ind w:left="506" w:right="141"/>
        <w:jc w:val="left"/>
      </w:pPr>
      <w:r>
        <w:rPr>
          <w:rFonts w:ascii="Times New Roman" w:hAnsi="Times New Roman" w:cs="Times New Roman" w:eastAsia="Times New Roman" w:hint="default"/>
        </w:rPr>
        <w:t>2</w:t>
      </w:r>
      <w:r>
        <w:rPr/>
        <w:t>、独立董事的津贴标准参照本地区、同行业上市公司的整体水平来确定。</w:t>
      </w:r>
    </w:p>
    <w:p>
      <w:pPr>
        <w:spacing w:line="357" w:lineRule="auto" w:before="104"/>
        <w:ind w:left="424" w:right="142" w:firstLine="0"/>
        <w:jc w:val="left"/>
        <w:rPr>
          <w:rFonts w:ascii="宋体" w:hAnsi="宋体" w:cs="宋体" w:eastAsia="宋体" w:hint="default"/>
          <w:sz w:val="18"/>
          <w:szCs w:val="18"/>
        </w:rPr>
      </w:pPr>
      <w:r>
        <w:rPr>
          <w:rFonts w:ascii="宋体" w:hAnsi="宋体" w:cs="宋体" w:eastAsia="宋体" w:hint="default"/>
          <w:b/>
          <w:bCs/>
          <w:sz w:val="18"/>
          <w:szCs w:val="18"/>
        </w:rPr>
        <w:t>（三）董事、监事和高级管理人员报酬的实际支付情况</w:t>
      </w:r>
      <w:r>
        <w:rPr>
          <w:rFonts w:ascii="宋体" w:hAnsi="宋体" w:cs="宋体" w:eastAsia="宋体" w:hint="default"/>
          <w:b/>
          <w:bCs/>
          <w:w w:val="99"/>
          <w:sz w:val="18"/>
          <w:szCs w:val="18"/>
        </w:rPr>
        <w:t> </w:t>
      </w:r>
      <w:r>
        <w:rPr>
          <w:rFonts w:ascii="宋体" w:hAnsi="宋体" w:cs="宋体" w:eastAsia="宋体" w:hint="default"/>
          <w:sz w:val="18"/>
          <w:szCs w:val="18"/>
        </w:rPr>
        <w:t>报告期内，在上市公司领薪的董事、监事、高级管理人员共</w:t>
      </w:r>
      <w:r>
        <w:rPr>
          <w:rFonts w:ascii="Times New Roman" w:hAnsi="Times New Roman" w:cs="Times New Roman" w:eastAsia="Times New Roman" w:hint="default"/>
          <w:sz w:val="18"/>
          <w:szCs w:val="18"/>
        </w:rPr>
        <w:t>15</w:t>
      </w:r>
      <w:r>
        <w:rPr>
          <w:rFonts w:ascii="宋体" w:hAnsi="宋体" w:cs="宋体" w:eastAsia="宋体" w:hint="default"/>
          <w:sz w:val="18"/>
          <w:szCs w:val="18"/>
        </w:rPr>
        <w:t>人，均按规定全额发放。</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年度公司实际支付上述人员</w:t>
      </w:r>
    </w:p>
    <w:p>
      <w:pPr>
        <w:pStyle w:val="BodyText"/>
        <w:spacing w:line="214" w:lineRule="exact"/>
        <w:ind w:left="136" w:right="5631"/>
        <w:jc w:val="center"/>
      </w:pPr>
      <w:r>
        <w:rPr/>
        <w:t>薪酬</w:t>
      </w:r>
      <w:r>
        <w:rPr>
          <w:spacing w:val="-1"/>
        </w:rPr>
        <w:t> </w:t>
      </w:r>
      <w:r>
        <w:rPr>
          <w:rFonts w:ascii="Times New Roman" w:hAnsi="Times New Roman" w:cs="Times New Roman" w:eastAsia="Times New Roman" w:hint="default"/>
        </w:rPr>
        <w:t>1,001.83</w:t>
      </w:r>
      <w:r>
        <w:rPr/>
        <w:t>万元，其中支付独立董事津贴</w:t>
      </w:r>
      <w:r>
        <w:rPr>
          <w:rFonts w:ascii="Times New Roman" w:hAnsi="Times New Roman" w:cs="Times New Roman" w:eastAsia="Times New Roman" w:hint="default"/>
        </w:rPr>
        <w:t>42</w:t>
      </w:r>
      <w:r>
        <w:rPr/>
        <w:t>万元。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right="141"/>
        <w:jc w:val="left"/>
      </w:pPr>
      <w:r>
        <w:rPr/>
        <w:t>公司报告期内董事、监事和高级管理人员报酬情况</w:t>
      </w:r>
    </w:p>
    <w:p>
      <w:pPr>
        <w:pStyle w:val="BodyText"/>
        <w:spacing w:line="240" w:lineRule="auto" w:before="115"/>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133"/>
        <w:gridCol w:w="1702"/>
        <w:gridCol w:w="1267"/>
        <w:gridCol w:w="1368"/>
        <w:gridCol w:w="1368"/>
        <w:gridCol w:w="1366"/>
        <w:gridCol w:w="1368"/>
      </w:tblGrid>
      <w:tr>
        <w:trPr>
          <w:trHeight w:val="713"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尹烨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董事、总经理、</w:t>
            </w:r>
            <w:r>
              <w:rPr>
                <w:rFonts w:ascii="Times New Roman" w:hAnsi="Times New Roman" w:cs="Times New Roman" w:eastAsia="Times New Roman" w:hint="default"/>
                <w:sz w:val="18"/>
                <w:szCs w:val="18"/>
              </w:rPr>
              <w:t>CEO</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孙英俊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李英睿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金春保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徐爱民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谢宏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李松岗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李雯琪</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胡宇洁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首席运营官</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刘娜</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陈轶青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96.17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李治平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人力资源总监</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133"/>
        <w:gridCol w:w="1702"/>
        <w:gridCol w:w="1267"/>
        <w:gridCol w:w="1368"/>
        <w:gridCol w:w="1368"/>
        <w:gridCol w:w="1366"/>
        <w:gridCol w:w="1368"/>
      </w:tblGrid>
      <w:tr>
        <w:trPr>
          <w:trHeight w:val="40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首席医学官</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94.42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徐茜</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46"/>
              <w:jc w:val="left"/>
              <w:rPr>
                <w:rFonts w:ascii="宋体" w:hAnsi="宋体" w:cs="宋体" w:eastAsia="宋体" w:hint="default"/>
                <w:sz w:val="18"/>
                <w:szCs w:val="18"/>
              </w:rPr>
            </w:pPr>
            <w:r>
              <w:rPr>
                <w:rFonts w:ascii="宋体" w:hAnsi="宋体" w:cs="宋体" w:eastAsia="宋体" w:hint="default"/>
                <w:sz w:val="18"/>
                <w:szCs w:val="18"/>
              </w:rPr>
              <w:t>董事会秘书、法务总 监</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赵谦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郭晋龙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1,001.83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141"/>
        <w:jc w:val="left"/>
      </w:pPr>
      <w:r>
        <w:rPr/>
        <w:t>公司董事、高级管理人员报告期内被授予的股权激励情况</w:t>
      </w:r>
    </w:p>
    <w:p>
      <w:pPr>
        <w:pStyle w:val="BodyText"/>
        <w:spacing w:line="240" w:lineRule="auto" w:before="115"/>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1"/>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2,459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2,846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2,846</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r>
      <w:tr>
        <w:trPr>
          <w:trHeight w:val="396"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971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739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645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77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323</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2,846</w:t>
            </w:r>
          </w:p>
        </w:tc>
      </w:tr>
      <w:tr>
        <w:trPr>
          <w:trHeight w:val="398"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688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686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2,846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80"/>
        </w:sectPr>
      </w:pPr>
    </w:p>
    <w:p>
      <w:pPr>
        <w:spacing w:line="240" w:lineRule="auto" w:before="12"/>
        <w:rPr>
          <w:rFonts w:ascii="宋体" w:hAnsi="宋体" w:cs="宋体" w:eastAsia="宋体" w:hint="default"/>
          <w:b/>
          <w:bCs/>
          <w:sz w:val="20"/>
          <w:szCs w:val="20"/>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firstLine="360"/>
        <w:jc w:val="left"/>
      </w:pPr>
      <w:r>
        <w:rPr>
          <w:spacing w:val="-2"/>
        </w:rPr>
        <w:t>为适应公司经营发展需要，更好地吸引、激励、开发和保留公司员工，充分调动员工的积极性和创造性，公司制定了较</w:t>
      </w:r>
      <w:r>
        <w:rPr/>
        <w:t> 为完善的薪酬管理制度。</w:t>
      </w:r>
    </w:p>
    <w:p>
      <w:pPr>
        <w:pStyle w:val="BodyText"/>
        <w:spacing w:line="300" w:lineRule="auto" w:before="57"/>
        <w:ind w:right="94" w:firstLine="360"/>
        <w:jc w:val="left"/>
      </w:pPr>
      <w:r>
        <w:rPr>
          <w:spacing w:val="-2"/>
        </w:rPr>
        <w:t>根据相关制度，公司薪酬管理的基本原则为：（</w:t>
      </w:r>
      <w:r>
        <w:rPr>
          <w:rFonts w:ascii="Times New Roman" w:hAnsi="Times New Roman" w:cs="Times New Roman" w:eastAsia="Times New Roman" w:hint="default"/>
          <w:spacing w:val="-2"/>
        </w:rPr>
        <w:t>1</w:t>
      </w:r>
      <w:r>
        <w:rPr>
          <w:spacing w:val="-2"/>
        </w:rPr>
        <w:t>）效率优先，多劳多得，量入为出；（</w:t>
      </w:r>
      <w:r>
        <w:rPr>
          <w:rFonts w:ascii="Times New Roman" w:hAnsi="Times New Roman" w:cs="Times New Roman" w:eastAsia="Times New Roman" w:hint="default"/>
          <w:spacing w:val="-2"/>
        </w:rPr>
        <w:t>2</w:t>
      </w:r>
      <w:r>
        <w:rPr>
          <w:spacing w:val="-2"/>
        </w:rPr>
        <w:t>）关注市场薪酬竞争力，兼顾</w:t>
      </w:r>
      <w:r>
        <w:rPr/>
        <w:t> 内外部公平；（</w:t>
      </w:r>
      <w:r>
        <w:rPr>
          <w:rFonts w:ascii="Times New Roman" w:hAnsi="Times New Roman" w:cs="Times New Roman" w:eastAsia="Times New Roman" w:hint="default"/>
        </w:rPr>
        <w:t>3</w:t>
      </w:r>
      <w:r>
        <w:rPr/>
        <w:t>）在整体人工可控的前提下，薪酬水平与职位、能力、业绩表现紧密挂钩，以吸引和聚集核心人才；（</w:t>
      </w:r>
      <w:r>
        <w:rPr>
          <w:rFonts w:ascii="Times New Roman" w:hAnsi="Times New Roman" w:cs="Times New Roman" w:eastAsia="Times New Roman" w:hint="default"/>
        </w:rPr>
        <w:t>4</w:t>
      </w:r>
      <w:r>
        <w:rPr/>
        <w:t>）</w:t>
      </w:r>
      <w:r>
        <w:rPr>
          <w:spacing w:val="-83"/>
        </w:rPr>
        <w:t> </w:t>
      </w:r>
      <w:r>
        <w:rPr/>
        <w:t>确保薪酬政策符合法律法规的要求。</w:t>
      </w:r>
    </w:p>
    <w:p>
      <w:pPr>
        <w:pStyle w:val="BodyText"/>
        <w:spacing w:line="316" w:lineRule="auto" w:before="72"/>
        <w:ind w:right="94" w:firstLine="360"/>
        <w:jc w:val="left"/>
      </w:pPr>
      <w:r>
        <w:rPr>
          <w:spacing w:val="-2"/>
        </w:rPr>
        <w:t>员工薪酬将根据一定的原则进行调整，主要包括基于员工工作模式变化、任职晋升、绩效表现等因素进行调整，以实现</w:t>
      </w:r>
      <w:r>
        <w:rPr/>
        <w:t> 责任风险与收益对等的有效激励。</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right="290" w:firstLine="360"/>
        <w:jc w:val="both"/>
      </w:pPr>
      <w:r>
        <w:rPr/>
        <w:t>公司建立了完善的培训体系、培训制度、内训师队伍、课程体系及在线学习平台，为员工提供系统化培训，实现员工 与企业的共同成长。结合企业发展与组织能力提升的需要，公司制定了年度培训计划。采用内部培训与外部培训相结合的 模式，根据员工需求与特点采用不同培养方式，包括在线学习、现场授课、主题研讨、继续教育、员工交流等；针对不同 岗位员工学习需求设计相匹配的人才培养方案，报告期内，母公司组织了</w:t>
      </w:r>
      <w:r>
        <w:rPr>
          <w:rFonts w:ascii="Times New Roman" w:hAnsi="Times New Roman" w:cs="Times New Roman" w:eastAsia="Times New Roman" w:hint="default"/>
        </w:rPr>
        <w:t>27</w:t>
      </w:r>
      <w:r>
        <w:rPr/>
        <w:t>次公司级培训，包括新员工入职培训、岗位专 业技能培训、管理能力培训、员工综合素质提升等课程。</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102,472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4,560,000.00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135"/>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251" w:firstLine="331"/>
        <w:jc w:val="both"/>
      </w:pPr>
      <w:r>
        <w:rPr/>
        <w:t>报告期内，公司严格按照《公司法》、《上市公司治理准则》、《深圳证券交易所创业板股票上市规则》、《深圳证 券交易所创业板上市公司规范运作指引》等法律、法规的要求，不断完善公司治理结构，建立健全公司内部控制制度，促 进公司规范运作。截至报告期末，股东大会、董事会、监事会依法运作，公司治理的实际情况符合《上市公司治理准则》 和《深圳证券交易所创业板上市公司规范运作指引》的相关要求。</w:t>
      </w:r>
    </w:p>
    <w:p>
      <w:pPr>
        <w:spacing w:line="432" w:lineRule="exact" w:before="4"/>
        <w:ind w:left="453" w:right="293" w:firstLine="31"/>
        <w:jc w:val="left"/>
        <w:rPr>
          <w:rFonts w:ascii="宋体" w:hAnsi="宋体" w:cs="宋体" w:eastAsia="宋体" w:hint="default"/>
          <w:sz w:val="18"/>
          <w:szCs w:val="18"/>
        </w:rPr>
      </w:pPr>
      <w:r>
        <w:rPr>
          <w:rFonts w:ascii="宋体" w:hAnsi="宋体" w:cs="宋体" w:eastAsia="宋体" w:hint="default"/>
          <w:b/>
          <w:bCs/>
          <w:sz w:val="18"/>
          <w:szCs w:val="18"/>
        </w:rPr>
        <w:t>（一）关于股东与股东大会</w:t>
      </w:r>
      <w:r>
        <w:rPr>
          <w:rFonts w:ascii="宋体" w:hAnsi="宋体" w:cs="宋体" w:eastAsia="宋体" w:hint="default"/>
          <w:b/>
          <w:bCs/>
          <w:w w:val="99"/>
          <w:sz w:val="18"/>
          <w:szCs w:val="18"/>
        </w:rPr>
        <w:t> </w:t>
      </w:r>
      <w:r>
        <w:rPr>
          <w:rFonts w:ascii="宋体" w:hAnsi="宋体" w:cs="宋体" w:eastAsia="宋体" w:hint="default"/>
          <w:sz w:val="18"/>
          <w:szCs w:val="18"/>
        </w:rPr>
        <w:t>公司严格按照《公司法》、《公司章程》及公司《股东大会议事规则》的规定召集和召开股东大会，平等对待所有股</w:t>
      </w:r>
    </w:p>
    <w:p>
      <w:pPr>
        <w:pStyle w:val="BodyText"/>
        <w:spacing w:line="316" w:lineRule="auto" w:before="15"/>
        <w:ind w:right="251"/>
        <w:jc w:val="both"/>
      </w:pPr>
      <w:r>
        <w:rPr/>
        <w:t>东，尽可能为股东参加股东大会创造便利条件，确保股东合法充分地行使权益。报告期内，公司严格按照相关规定召开股 东大会，公司聘请的法律顾问对股东大会现场会议进行了见证并出具了法律意见书，不存在重大事项绕过股东大会或先实 施后审议的情况，不存在违反《上市公司股东大会规则》的情形。</w:t>
      </w:r>
    </w:p>
    <w:p>
      <w:pPr>
        <w:spacing w:line="432" w:lineRule="exact" w:before="3"/>
        <w:ind w:left="453" w:right="473" w:firstLine="0"/>
        <w:jc w:val="left"/>
        <w:rPr>
          <w:rFonts w:ascii="宋体" w:hAnsi="宋体" w:cs="宋体" w:eastAsia="宋体" w:hint="default"/>
          <w:sz w:val="18"/>
          <w:szCs w:val="18"/>
        </w:rPr>
      </w:pPr>
      <w:r>
        <w:rPr>
          <w:rFonts w:ascii="宋体" w:hAnsi="宋体" w:cs="宋体" w:eastAsia="宋体" w:hint="default"/>
          <w:b/>
          <w:bCs/>
          <w:sz w:val="18"/>
          <w:szCs w:val="18"/>
        </w:rPr>
        <w:t>（二）关于公司与控股股东</w:t>
      </w:r>
      <w:r>
        <w:rPr>
          <w:rFonts w:ascii="宋体" w:hAnsi="宋体" w:cs="宋体" w:eastAsia="宋体" w:hint="default"/>
          <w:b/>
          <w:bCs/>
          <w:w w:val="99"/>
          <w:sz w:val="18"/>
          <w:szCs w:val="18"/>
        </w:rPr>
        <w:t> </w:t>
      </w:r>
      <w:r>
        <w:rPr>
          <w:rFonts w:ascii="宋体" w:hAnsi="宋体" w:cs="宋体" w:eastAsia="宋体" w:hint="default"/>
          <w:sz w:val="18"/>
          <w:szCs w:val="18"/>
        </w:rPr>
        <w:t>公司控股股东华大控股严格按照《深圳证券交易所创业板上市规则》、《深证证券交易所创业板规范运作指引》、</w:t>
      </w:r>
    </w:p>
    <w:p>
      <w:pPr>
        <w:pStyle w:val="BodyText"/>
        <w:spacing w:line="319" w:lineRule="auto" w:before="15"/>
        <w:ind w:right="251"/>
        <w:jc w:val="both"/>
      </w:pPr>
      <w:r>
        <w:rPr/>
        <w:t>《公司章程》等相关规定和要求，通过股东大会依法行使其权利并承担义务，不存在超越股东大会直接或间接干预公司经 营活动的行为。公司拥有独立完整的业务体系和自主经营能力，在业务、人员、资产、机构、财务上独立于控股股东及其 控制的其他企业。报告期内公司不存在为控股股东及其关联企业提供担保，亦不存在控股股东占用公司非经营性资金的行 为。</w:t>
      </w:r>
    </w:p>
    <w:p>
      <w:pPr>
        <w:pStyle w:val="BodyText"/>
        <w:spacing w:line="432" w:lineRule="exact" w:before="1"/>
        <w:ind w:left="453" w:right="203"/>
        <w:jc w:val="left"/>
      </w:pPr>
      <w:r>
        <w:rPr>
          <w:rFonts w:ascii="宋体" w:hAnsi="宋体" w:cs="宋体" w:eastAsia="宋体" w:hint="default"/>
          <w:b/>
          <w:bCs/>
        </w:rPr>
        <w:t>（三）关于董事和董事会</w:t>
      </w:r>
      <w:r>
        <w:rPr>
          <w:rFonts w:ascii="宋体" w:hAnsi="宋体" w:cs="宋体" w:eastAsia="宋体" w:hint="default"/>
          <w:b/>
          <w:bCs/>
          <w:w w:val="99"/>
        </w:rPr>
        <w:t> </w:t>
      </w:r>
      <w:r>
        <w:rPr/>
        <w:t>公司董事会设董事</w:t>
      </w:r>
      <w:r>
        <w:rPr>
          <w:rFonts w:ascii="Times New Roman" w:hAnsi="Times New Roman" w:cs="Times New Roman" w:eastAsia="Times New Roman" w:hint="default"/>
        </w:rPr>
        <w:t>12</w:t>
      </w:r>
      <w:r>
        <w:rPr/>
        <w:t>名，其中独立董事</w:t>
      </w:r>
      <w:r>
        <w:rPr>
          <w:rFonts w:ascii="Times New Roman" w:hAnsi="Times New Roman" w:cs="Times New Roman" w:eastAsia="Times New Roman" w:hint="default"/>
        </w:rPr>
        <w:t>4</w:t>
      </w:r>
      <w:r>
        <w:rPr/>
        <w:t>名，董事会的人数及人员构成符合法律、法规和《公司章程》的要求，其任免</w:t>
      </w:r>
    </w:p>
    <w:p>
      <w:pPr>
        <w:pStyle w:val="BodyText"/>
        <w:spacing w:line="316" w:lineRule="auto" w:before="15"/>
        <w:ind w:right="251"/>
        <w:jc w:val="both"/>
      </w:pPr>
      <w:r>
        <w:rPr/>
        <w:t>均严格履行董事会、股东大会批准程序。各位董事能够依据《董事会议事规则》、《独立董事制度》、《深圳证券交易所 创业板上市公司规范运作指引》的要求开展工作，在职期间按规定出席董事会和股东大会，勤勉尽责地履行职责和义务， 持续关注公司经营状况，主动参加相关培训，熟悉相关法律法规，提高履职能力。独立董事独立于公司实际控制人、控股 股东和其他关联方，能够发挥各自的专业特长，就相关事项独立地作出判断并发表意见。</w:t>
      </w:r>
    </w:p>
    <w:p>
      <w:pPr>
        <w:pStyle w:val="BodyText"/>
        <w:spacing w:line="319" w:lineRule="auto" w:before="139"/>
        <w:ind w:right="234" w:firstLine="300"/>
        <w:jc w:val="left"/>
      </w:pPr>
      <w:r>
        <w:rPr/>
        <w:t>根据《上市公司治理准则》的要求，公司董事会下设审计委员会、薪酬与考核委员会与提名委员会，并制定了各委员 会实施细则。专门委员会严格按照有关法律法规、《公司章程》和各专门委员会实施细则的规定履行职责，均由独立董事 担任召集人，不受公司任何其他部门和个人的干预，为董事会的决策提供了科学和专业的意见。</w:t>
      </w:r>
    </w:p>
    <w:p>
      <w:pPr>
        <w:pStyle w:val="BodyText"/>
        <w:spacing w:line="240" w:lineRule="auto" w:before="137"/>
        <w:ind w:left="453" w:right="141"/>
        <w:jc w:val="left"/>
      </w:pPr>
      <w:r>
        <w:rPr/>
        <w:t>公司董事会会议的召集、召开等程序均符合相关规定的要求，会议记录完整规范。董事会依法履行了《公司法》、</w:t>
      </w:r>
    </w:p>
    <w:p>
      <w:pPr>
        <w:pStyle w:val="BodyText"/>
        <w:spacing w:line="240" w:lineRule="auto" w:before="76"/>
        <w:ind w:right="0"/>
        <w:jc w:val="both"/>
      </w:pPr>
      <w:r>
        <w:rPr/>
        <w:t>《公司章程》赋予的权利和义务，规范运作，不存在违反相关法律法规行使职权的行为。</w:t>
      </w:r>
    </w:p>
    <w:p>
      <w:pPr>
        <w:pStyle w:val="BodyText"/>
        <w:spacing w:line="432" w:lineRule="exact" w:before="61"/>
        <w:ind w:left="453" w:right="293"/>
        <w:jc w:val="left"/>
      </w:pPr>
      <w:r>
        <w:rPr>
          <w:rFonts w:ascii="宋体" w:hAnsi="宋体" w:cs="宋体" w:eastAsia="宋体" w:hint="default"/>
          <w:b/>
          <w:bCs/>
        </w:rPr>
        <w:t>（四）关于监事和监事会</w:t>
      </w:r>
      <w:r>
        <w:rPr>
          <w:rFonts w:ascii="宋体" w:hAnsi="宋体" w:cs="宋体" w:eastAsia="宋体" w:hint="default"/>
          <w:b/>
          <w:bCs/>
          <w:w w:val="99"/>
        </w:rPr>
        <w:t> </w:t>
      </w:r>
      <w:r>
        <w:rPr/>
        <w:t>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名，监事会的人数和构成符合法律、法规的要求；公司监事会会议的召集、召</w:t>
      </w:r>
    </w:p>
    <w:p>
      <w:pPr>
        <w:pStyle w:val="BodyText"/>
        <w:spacing w:line="316" w:lineRule="auto" w:before="15"/>
        <w:ind w:right="234"/>
        <w:jc w:val="left"/>
      </w:pPr>
      <w:r>
        <w:rPr/>
        <w:t>开程序符合《公司章程》、《监事会议事规则》的相关规定。公司监事能够按照相关规定认真履行职责，对公司重大事 项、关联交易、财务状况以及公司董事、高级管理人员履行职责的合法合规性进行监督，维护公司及股东的合法权益。报 告期内，各位监事能够按照《公司章程》及《监事会议事规则》等有关规定出席监事会，认真审议各项议案，勤勉尽责， 依法行使职权。</w:t>
      </w:r>
    </w:p>
    <w:p>
      <w:pPr>
        <w:pStyle w:val="Heading4"/>
        <w:spacing w:line="240" w:lineRule="auto" w:before="139"/>
        <w:ind w:left="453" w:right="141"/>
        <w:jc w:val="left"/>
        <w:rPr>
          <w:b w:val="0"/>
          <w:bCs w:val="0"/>
        </w:rPr>
      </w:pPr>
      <w:r>
        <w:rPr/>
        <w:t>（五）关于绩效评价与激励约束机制</w:t>
      </w:r>
      <w:r>
        <w:rPr>
          <w:b w:val="0"/>
          <w:bCs w:val="0"/>
        </w:rPr>
      </w:r>
    </w:p>
    <w:p>
      <w:pPr>
        <w:spacing w:after="0" w:line="240" w:lineRule="auto"/>
        <w:jc w:val="left"/>
        <w:sectPr>
          <w:pgSz w:w="11910" w:h="16840"/>
          <w:pgMar w:header="0" w:footer="974" w:top="1100" w:bottom="1160" w:left="980" w:right="980"/>
        </w:sectPr>
      </w:pPr>
    </w:p>
    <w:p>
      <w:pPr>
        <w:spacing w:line="240" w:lineRule="auto" w:before="0"/>
        <w:rPr>
          <w:rFonts w:ascii="宋体" w:hAnsi="宋体" w:cs="宋体" w:eastAsia="宋体" w:hint="default"/>
          <w:b/>
          <w:bCs/>
          <w:sz w:val="22"/>
          <w:szCs w:val="22"/>
        </w:rPr>
      </w:pPr>
    </w:p>
    <w:p>
      <w:pPr>
        <w:pStyle w:val="BodyText"/>
        <w:spacing w:line="316" w:lineRule="auto" w:before="44"/>
        <w:ind w:right="294" w:firstLine="300"/>
        <w:jc w:val="left"/>
      </w:pPr>
      <w:r>
        <w:rPr/>
        <w:t>公司建立了董事、高级管理人员绩效评价与激励约束机制，董事会薪酬与考核委员会负责对公司的董事、高级管理人 员进行绩效考评，绩效评价标准和评价程序公正透明，公司现有考核及激励约束机制符合公司现阶段实际发展的要求。</w:t>
      </w:r>
    </w:p>
    <w:p>
      <w:pPr>
        <w:spacing w:line="432" w:lineRule="exact" w:before="3"/>
        <w:ind w:left="453" w:right="141" w:firstLine="0"/>
        <w:jc w:val="left"/>
        <w:rPr>
          <w:rFonts w:ascii="宋体" w:hAnsi="宋体" w:cs="宋体" w:eastAsia="宋体" w:hint="default"/>
          <w:sz w:val="18"/>
          <w:szCs w:val="18"/>
        </w:rPr>
      </w:pPr>
      <w:r>
        <w:rPr>
          <w:rFonts w:ascii="宋体" w:hAnsi="宋体" w:cs="宋体" w:eastAsia="宋体" w:hint="default"/>
          <w:b/>
          <w:bCs/>
          <w:sz w:val="18"/>
          <w:szCs w:val="18"/>
        </w:rPr>
        <w:t>（六）关于信息披露与透明度</w:t>
      </w:r>
      <w:r>
        <w:rPr>
          <w:rFonts w:ascii="宋体" w:hAnsi="宋体" w:cs="宋体" w:eastAsia="宋体" w:hint="default"/>
          <w:b/>
          <w:bCs/>
          <w:w w:val="99"/>
          <w:sz w:val="18"/>
          <w:szCs w:val="18"/>
        </w:rPr>
        <w:t> </w:t>
      </w:r>
      <w:r>
        <w:rPr>
          <w:rFonts w:ascii="宋体" w:hAnsi="宋体" w:cs="宋体" w:eastAsia="宋体" w:hint="default"/>
          <w:spacing w:val="-1"/>
          <w:sz w:val="18"/>
          <w:szCs w:val="18"/>
        </w:rPr>
        <w:t>公司高度重视信息披露工作，严格按照《上市公司信息披露管理办法》、公司《信息披露管理制度》、以及《重大信息</w:t>
      </w:r>
    </w:p>
    <w:p>
      <w:pPr>
        <w:pStyle w:val="BodyText"/>
        <w:spacing w:line="316" w:lineRule="auto" w:before="15"/>
        <w:ind w:right="142"/>
        <w:jc w:val="left"/>
      </w:pPr>
      <w:r>
        <w:rPr>
          <w:spacing w:val="-2"/>
        </w:rPr>
        <w:t>内部报告制度》等相关规定，真实、准确、完整、及时地披露信息。同时，明确董事长为公司信息披露工作第一责任人，董</w:t>
      </w:r>
      <w:r>
        <w:rPr>
          <w:spacing w:val="-65"/>
        </w:rPr>
        <w:t> </w:t>
      </w:r>
      <w:r>
        <w:rPr>
          <w:spacing w:val="-65"/>
        </w:rPr>
      </w:r>
      <w:r>
        <w:rPr>
          <w:spacing w:val="-8"/>
        </w:rPr>
        <w:t>事会秘书为信息披露工作主要责任人，公司证券部为信息披露事务的日常管理部门。公司指定《证券日报》、《中国证券报》、</w:t>
      </w:r>
    </w:p>
    <w:p>
      <w:pPr>
        <w:pStyle w:val="BodyText"/>
        <w:spacing w:line="300" w:lineRule="auto" w:before="19"/>
        <w:ind w:right="139"/>
        <w:jc w:val="left"/>
      </w:pPr>
      <w:r>
        <w:rPr/>
        <w:t>《证券时报》、《上海证券报》为公司信息披露的指定纸质媒体，巨潮资讯网（</w:t>
      </w:r>
      <w:hyperlink r:id="rId9">
        <w:r>
          <w:rPr>
            <w:rFonts w:ascii="Times New Roman" w:hAnsi="Times New Roman" w:cs="Times New Roman" w:eastAsia="Times New Roman" w:hint="default"/>
          </w:rPr>
          <w:t>http://www.cninfo.com.cn</w:t>
        </w:r>
      </w:hyperlink>
      <w:r>
        <w:rPr/>
        <w:t>）为指定信息披露 网站，确保所有股东能公平地获取公司信息。</w:t>
      </w:r>
    </w:p>
    <w:p>
      <w:pPr>
        <w:spacing w:line="432" w:lineRule="exact" w:before="16"/>
        <w:ind w:left="453" w:right="293" w:firstLine="0"/>
        <w:jc w:val="left"/>
        <w:rPr>
          <w:rFonts w:ascii="宋体" w:hAnsi="宋体" w:cs="宋体" w:eastAsia="宋体" w:hint="default"/>
          <w:sz w:val="18"/>
          <w:szCs w:val="18"/>
        </w:rPr>
      </w:pPr>
      <w:r>
        <w:rPr>
          <w:rFonts w:ascii="宋体" w:hAnsi="宋体" w:cs="宋体" w:eastAsia="宋体" w:hint="default"/>
          <w:b/>
          <w:bCs/>
          <w:sz w:val="18"/>
          <w:szCs w:val="18"/>
        </w:rPr>
        <w:t>（七）关于投资者关系管理</w:t>
      </w:r>
      <w:r>
        <w:rPr>
          <w:rFonts w:ascii="宋体" w:hAnsi="宋体" w:cs="宋体" w:eastAsia="宋体" w:hint="default"/>
          <w:b/>
          <w:bCs/>
          <w:w w:val="99"/>
          <w:sz w:val="18"/>
          <w:szCs w:val="18"/>
        </w:rPr>
        <w:t> </w:t>
      </w:r>
      <w:r>
        <w:rPr>
          <w:rFonts w:ascii="宋体" w:hAnsi="宋体" w:cs="宋体" w:eastAsia="宋体" w:hint="default"/>
          <w:sz w:val="18"/>
          <w:szCs w:val="18"/>
        </w:rPr>
        <w:t>公司严格按照相关法律法规及《投资者关系管理制度》的要求，指定公司董事会秘书为公司投资者关系管理负责人，</w:t>
      </w:r>
    </w:p>
    <w:p>
      <w:pPr>
        <w:pStyle w:val="BodyText"/>
        <w:spacing w:line="312" w:lineRule="auto" w:before="15"/>
        <w:ind w:right="234"/>
        <w:jc w:val="left"/>
      </w:pPr>
      <w:r>
        <w:rPr/>
        <w:t>公司证券部为投资者关系管理职能部门，具体负责公司投资者关系的日常管理工作。公司高度重视投资者关系管理工作， 不断学习先进投资者关系管理经验，不断尝试更加有效的方式开展投资者关系管理工作。公司通过投资者专线电话、传 真、专用邮箱、深交所</w:t>
      </w:r>
      <w:r>
        <w:rPr>
          <w:rFonts w:ascii="Times New Roman" w:hAnsi="Times New Roman" w:cs="Times New Roman" w:eastAsia="Times New Roman" w:hint="default"/>
        </w:rPr>
        <w:t>“</w:t>
      </w:r>
      <w:r>
        <w:rPr/>
        <w:t>互动易</w:t>
      </w:r>
      <w:r>
        <w:rPr>
          <w:rFonts w:ascii="Times New Roman" w:hAnsi="Times New Roman" w:cs="Times New Roman" w:eastAsia="Times New Roman" w:hint="default"/>
        </w:rPr>
        <w:t>”</w:t>
      </w:r>
      <w:r>
        <w:rPr/>
        <w:t>平台等多种形式回复投资者问询，促进与投资者良性互动，切实提高公司的透明度，树立 公司在资本市场的良好形象。</w:t>
      </w:r>
    </w:p>
    <w:p>
      <w:pPr>
        <w:pStyle w:val="BodyText"/>
        <w:spacing w:line="432" w:lineRule="exact" w:before="7"/>
        <w:ind w:left="453" w:right="293"/>
        <w:jc w:val="left"/>
      </w:pPr>
      <w:r>
        <w:rPr>
          <w:rFonts w:ascii="宋体" w:hAnsi="宋体" w:cs="宋体" w:eastAsia="宋体" w:hint="default"/>
          <w:b/>
          <w:bCs/>
        </w:rPr>
        <w:t>（八）关于相关利益者</w:t>
      </w:r>
      <w:r>
        <w:rPr>
          <w:rFonts w:ascii="宋体" w:hAnsi="宋体" w:cs="宋体" w:eastAsia="宋体" w:hint="default"/>
          <w:b/>
          <w:bCs/>
          <w:w w:val="99"/>
        </w:rPr>
        <w:t> </w:t>
      </w:r>
      <w:r>
        <w:rPr/>
        <w:t>公司充分尊重和维护相关利益者的合法权益，重视公司的社会责任，加强与各方的沟通和交流，实现股东、员工、社</w:t>
      </w:r>
    </w:p>
    <w:p>
      <w:pPr>
        <w:pStyle w:val="BodyText"/>
        <w:spacing w:line="240" w:lineRule="auto" w:before="15"/>
        <w:ind w:right="141"/>
        <w:jc w:val="left"/>
      </w:pPr>
      <w:r>
        <w:rPr/>
        <w:t>会等各方利益的协调平衡，共同推动公司持续、健康发展。</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141"/>
        <w:jc w:val="left"/>
      </w:pPr>
      <w:r>
        <w:rPr/>
        <w:t>公司治理的实际状况与中国证监会发布的有关上市公司治理的规范性文件是否存在重大差异</w:t>
      </w:r>
    </w:p>
    <w:p>
      <w:pPr>
        <w:pStyle w:val="BodyText"/>
        <w:spacing w:line="340" w:lineRule="auto" w:before="115"/>
        <w:ind w:right="25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41"/>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3" w:firstLine="360"/>
        <w:jc w:val="both"/>
      </w:pPr>
      <w:r>
        <w:rPr>
          <w:spacing w:val="-2"/>
        </w:rPr>
        <w:t>公司严格按照《公司法》、《证券法》等有关法律法规及《公司章程》的相关要求规范运作，报告期内，公司与控股股</w:t>
      </w:r>
      <w:r>
        <w:rPr/>
        <w:t> </w:t>
      </w:r>
      <w:r>
        <w:rPr>
          <w:spacing w:val="-2"/>
        </w:rPr>
        <w:t>东深圳华大基因科技有限公司在业务、人员、资产、机构、财务等方面相互独立，具有完整的业务体系和直接面向市场独立</w:t>
      </w:r>
      <w:r>
        <w:rPr>
          <w:spacing w:val="-65"/>
        </w:rPr>
        <w:t> </w:t>
      </w:r>
      <w:r>
        <w:rPr>
          <w:spacing w:val="-65"/>
        </w:rPr>
      </w:r>
      <w:r>
        <w:rPr/>
        <w:t>经营的能力。</w:t>
      </w:r>
    </w:p>
    <w:p>
      <w:pPr>
        <w:pStyle w:val="BodyText"/>
        <w:spacing w:line="432" w:lineRule="exact" w:before="3"/>
        <w:ind w:left="424" w:right="142"/>
        <w:jc w:val="left"/>
      </w:pPr>
      <w:r>
        <w:rPr/>
        <w:t>（一）业务独立 公司具有独立完整的研发、生产能力，以及采购、销售渠道，独立从事采购、研发、生产与销售，在业务上与主要股东</w:t>
      </w:r>
    </w:p>
    <w:p>
      <w:pPr>
        <w:pStyle w:val="BodyText"/>
        <w:spacing w:line="316" w:lineRule="auto" w:before="15"/>
        <w:ind w:right="141"/>
        <w:jc w:val="left"/>
      </w:pPr>
      <w:r>
        <w:rPr>
          <w:spacing w:val="-2"/>
        </w:rPr>
        <w:t>不存在依赖关系；公司业务独立于控股股东、实际控制人及其控制的其他企业，与控股股东、实际控制人及其控制的其他企</w:t>
      </w:r>
      <w:r>
        <w:rPr>
          <w:spacing w:val="-63"/>
        </w:rPr>
        <w:t> </w:t>
      </w:r>
      <w:r>
        <w:rPr>
          <w:spacing w:val="-63"/>
        </w:rPr>
      </w:r>
      <w:r>
        <w:rPr/>
        <w:t>业间不存在同业竞争或者显失公平的关联交易。</w:t>
      </w:r>
    </w:p>
    <w:p>
      <w:pPr>
        <w:pStyle w:val="BodyText"/>
        <w:spacing w:line="432" w:lineRule="exact" w:before="3"/>
        <w:ind w:left="513" w:right="141" w:hanging="89"/>
        <w:jc w:val="left"/>
      </w:pPr>
      <w:r>
        <w:rPr/>
        <w:t>（二）人员独立 </w:t>
      </w:r>
      <w:r>
        <w:rPr>
          <w:spacing w:val="-2"/>
        </w:rPr>
        <w:t>公司建立健全了法人治理结构，董事、监事及高级管理人员严格按照《公司法》、《公司章程》的相关规定产生，不存</w:t>
      </w:r>
    </w:p>
    <w:p>
      <w:pPr>
        <w:pStyle w:val="BodyText"/>
        <w:spacing w:line="316" w:lineRule="auto" w:before="15"/>
        <w:ind w:left="513" w:right="141" w:hanging="361"/>
        <w:jc w:val="left"/>
      </w:pPr>
      <w:r>
        <w:rPr/>
        <w:t>在控股股东指派或干预高级管理人员任免的情形； </w:t>
      </w:r>
      <w:r>
        <w:rPr>
          <w:spacing w:val="-2"/>
        </w:rPr>
        <w:t>公司总经理（</w:t>
      </w:r>
      <w:r>
        <w:rPr>
          <w:rFonts w:ascii="Times New Roman" w:hAnsi="Times New Roman" w:cs="Times New Roman" w:eastAsia="Times New Roman" w:hint="default"/>
          <w:spacing w:val="-2"/>
        </w:rPr>
        <w:t>CEO</w:t>
      </w:r>
      <w:r>
        <w:rPr>
          <w:spacing w:val="-2"/>
        </w:rPr>
        <w:t>）、副总裁、财务负责人和董事会秘书等高级管理人员不在控股股东、实际控制人及其控制的其他企</w:t>
      </w:r>
    </w:p>
    <w:p>
      <w:pPr>
        <w:pStyle w:val="BodyText"/>
        <w:spacing w:line="314" w:lineRule="auto"/>
        <w:ind w:right="149"/>
        <w:jc w:val="left"/>
      </w:pPr>
      <w:r>
        <w:rPr>
          <w:spacing w:val="-5"/>
        </w:rPr>
        <w:t>业中担任除董事、监事以外的其他职务，不在控股股东、实际控制人及其控制的其他企业领薪；公司财务人员不在控股股东、</w:t>
      </w:r>
      <w:r>
        <w:rPr>
          <w:spacing w:val="-78"/>
        </w:rPr>
        <w:t> </w:t>
      </w:r>
      <w:r>
        <w:rPr>
          <w:spacing w:val="-78"/>
        </w:rPr>
      </w:r>
      <w:r>
        <w:rPr/>
        <w:t>实际控制人及其控制的其他企业中兼职。</w:t>
      </w:r>
    </w:p>
    <w:p>
      <w:pPr>
        <w:pStyle w:val="BodyText"/>
        <w:spacing w:line="319" w:lineRule="auto" w:before="20"/>
        <w:ind w:right="150" w:firstLine="360"/>
        <w:jc w:val="both"/>
      </w:pPr>
      <w:r>
        <w:rPr>
          <w:spacing w:val="-5"/>
        </w:rPr>
        <w:t>公司建立了独立的人力资源管理系统，建立了有效激励与竞争机制的薪酬福利体系，与全体员工均签订了《劳动合同》，</w:t>
      </w:r>
      <w:r>
        <w:rPr/>
        <w:t> 建立了独立的社会保障与薪酬福利体系，劳动、人事与工资管理独立完整，不存在受控股股东干涉的情形。</w:t>
      </w:r>
    </w:p>
    <w:p>
      <w:pPr>
        <w:pStyle w:val="BodyText"/>
        <w:spacing w:line="240" w:lineRule="auto" w:before="137"/>
        <w:ind w:left="424" w:right="141"/>
        <w:jc w:val="left"/>
      </w:pPr>
      <w:r>
        <w:rPr/>
        <w:t>（三）资产独立</w:t>
      </w:r>
    </w:p>
    <w:p>
      <w:pPr>
        <w:spacing w:after="0" w:line="240" w:lineRule="auto"/>
        <w:jc w:val="left"/>
        <w:sectPr>
          <w:pgSz w:w="11910" w:h="16840"/>
          <w:pgMar w:header="0" w:footer="974" w:top="1100" w:bottom="1160" w:left="980" w:right="980"/>
        </w:sectPr>
      </w:pPr>
    </w:p>
    <w:p>
      <w:pPr>
        <w:spacing w:line="240" w:lineRule="auto" w:before="0"/>
        <w:rPr>
          <w:rFonts w:ascii="宋体" w:hAnsi="宋体" w:cs="宋体" w:eastAsia="宋体" w:hint="default"/>
          <w:sz w:val="22"/>
          <w:szCs w:val="22"/>
        </w:rPr>
      </w:pPr>
    </w:p>
    <w:p>
      <w:pPr>
        <w:pStyle w:val="BodyText"/>
        <w:spacing w:line="316" w:lineRule="auto" w:before="44"/>
        <w:ind w:right="94" w:firstLine="271"/>
        <w:jc w:val="left"/>
      </w:pPr>
      <w:r>
        <w:rPr/>
        <w:t>公司作为基因组学类的诊断和研究服务提供商，已具备与经营有关的业务体系及主要相关资产，合法拥有与生产经营有 关的主要土地、厂房、机器设备以及商标、专利、非专利技术的所有权或者使用权，具有独立的原料采购和服务提供系统。</w:t>
      </w:r>
    </w:p>
    <w:p>
      <w:pPr>
        <w:pStyle w:val="BodyText"/>
        <w:spacing w:line="432" w:lineRule="exact" w:before="3"/>
        <w:ind w:left="513" w:right="93" w:hanging="89"/>
        <w:jc w:val="left"/>
      </w:pPr>
      <w:r>
        <w:rPr/>
        <w:t>（四）机构独立 公司设立了健全的组织架构，股东大会、董事会、监事会以及各职能部门等均按照法律法规及公司规定行使各自职能。</w:t>
      </w:r>
    </w:p>
    <w:p>
      <w:pPr>
        <w:pStyle w:val="BodyText"/>
        <w:spacing w:line="316" w:lineRule="auto" w:before="15"/>
        <w:ind w:right="94"/>
        <w:jc w:val="left"/>
      </w:pPr>
      <w:r>
        <w:rPr>
          <w:spacing w:val="-2"/>
        </w:rPr>
        <w:t>公司设有健全的内部经营管理机构，拥有完整的采购、生产、销售系统及配套部门，独立行使经营管理职权，与控股股东和</w:t>
      </w:r>
      <w:r>
        <w:rPr>
          <w:spacing w:val="-67"/>
        </w:rPr>
        <w:t> </w:t>
      </w:r>
      <w:r>
        <w:rPr>
          <w:spacing w:val="-67"/>
        </w:rPr>
      </w:r>
      <w:r>
        <w:rPr/>
        <w:t>实际控制人及其控制的其他企业间不存在机构混同的情形。</w:t>
      </w:r>
    </w:p>
    <w:p>
      <w:pPr>
        <w:pStyle w:val="BodyText"/>
        <w:spacing w:line="432" w:lineRule="exact" w:before="3"/>
        <w:ind w:left="513" w:right="94" w:hanging="89"/>
        <w:jc w:val="left"/>
      </w:pPr>
      <w:r>
        <w:rPr/>
        <w:t>（五）财务独立 </w:t>
      </w:r>
      <w:r>
        <w:rPr>
          <w:spacing w:val="-2"/>
        </w:rPr>
        <w:t>公司设立了独立的财务部门，配备了专职财务人员，独立进行财务决策，建立了独立的会计核算体系和财务管理相关内</w:t>
      </w:r>
    </w:p>
    <w:p>
      <w:pPr>
        <w:pStyle w:val="BodyText"/>
        <w:spacing w:line="319" w:lineRule="auto" w:before="15"/>
        <w:ind w:right="191"/>
        <w:jc w:val="both"/>
      </w:pPr>
      <w:r>
        <w:rPr>
          <w:spacing w:val="-2"/>
        </w:rPr>
        <w:t>控制度，独立进行财务决策，不存在控股股东干预公司资金使用的情形；公司拥有独立的银行账户，依法独立纳税，独立对</w:t>
      </w:r>
      <w:r>
        <w:rPr>
          <w:spacing w:val="-67"/>
        </w:rPr>
        <w:t> </w:t>
      </w:r>
      <w:r>
        <w:rPr>
          <w:spacing w:val="-67"/>
        </w:rPr>
      </w:r>
      <w:r>
        <w:rPr>
          <w:spacing w:val="-2"/>
        </w:rPr>
        <w:t>外签订合同；公司不存在违规为股东及其附属企业提供担保或以公司名义申请的借款转借给股东单位使用的情况，不存在控</w:t>
      </w:r>
      <w:r>
        <w:rPr>
          <w:spacing w:val="-63"/>
        </w:rPr>
        <w:t> </w:t>
      </w:r>
      <w:r>
        <w:rPr>
          <w:spacing w:val="-63"/>
        </w:rPr>
      </w:r>
      <w:r>
        <w:rPr/>
        <w:t>股股东占用公司资金、资源的情形。</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0"/>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上市前无需披露</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上市前无需披露</w:t>
            </w:r>
          </w:p>
        </w:tc>
      </w:tr>
      <w:tr>
        <w:trPr>
          <w:trHeight w:val="165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6" w:right="2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 大会的决议公告》</w:t>
            </w:r>
          </w:p>
          <w:p>
            <w:pPr>
              <w:pStyle w:val="TableParagraph"/>
              <w:spacing w:line="300" w:lineRule="auto" w:before="24"/>
              <w:ind w:left="26" w:right="415"/>
              <w:jc w:val="left"/>
              <w:rPr>
                <w:rFonts w:ascii="宋体" w:hAnsi="宋体" w:cs="宋体" w:eastAsia="宋体" w:hint="default"/>
                <w:sz w:val="18"/>
                <w:szCs w:val="18"/>
              </w:rPr>
            </w:pPr>
            <w:r>
              <w:rPr>
                <w:rFonts w:ascii="宋体" w:hAnsi="宋体" w:cs="宋体" w:eastAsia="宋体" w:hint="default"/>
                <w:sz w:val="18"/>
                <w:szCs w:val="18"/>
              </w:rPr>
              <w:t>（编号：</w:t>
            </w:r>
            <w:r>
              <w:rPr>
                <w:rFonts w:ascii="Times New Roman" w:hAnsi="Times New Roman" w:cs="Times New Roman" w:eastAsia="Times New Roman" w:hint="default"/>
                <w:sz w:val="18"/>
                <w:szCs w:val="18"/>
              </w:rPr>
              <w:t>2017- 024</w:t>
            </w:r>
            <w:r>
              <w:rPr>
                <w:rFonts w:ascii="宋体" w:hAnsi="宋体" w:cs="宋体" w:eastAsia="宋体" w:hint="default"/>
                <w:sz w:val="18"/>
                <w:szCs w:val="18"/>
              </w:rPr>
              <w:t>）</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6" w:right="2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 大会的决议公告》</w:t>
            </w:r>
          </w:p>
          <w:p>
            <w:pPr>
              <w:pStyle w:val="TableParagraph"/>
              <w:spacing w:line="300" w:lineRule="auto" w:before="26"/>
              <w:ind w:left="26" w:right="415"/>
              <w:jc w:val="left"/>
              <w:rPr>
                <w:rFonts w:ascii="宋体" w:hAnsi="宋体" w:cs="宋体" w:eastAsia="宋体" w:hint="default"/>
                <w:sz w:val="18"/>
                <w:szCs w:val="18"/>
              </w:rPr>
            </w:pPr>
            <w:r>
              <w:rPr>
                <w:rFonts w:ascii="宋体" w:hAnsi="宋体" w:cs="宋体" w:eastAsia="宋体" w:hint="default"/>
                <w:sz w:val="18"/>
                <w:szCs w:val="18"/>
              </w:rPr>
              <w:t>（编号：</w:t>
            </w:r>
            <w:r>
              <w:rPr>
                <w:rFonts w:ascii="Times New Roman" w:hAnsi="Times New Roman" w:cs="Times New Roman" w:eastAsia="Times New Roman" w:hint="default"/>
                <w:sz w:val="18"/>
                <w:szCs w:val="18"/>
              </w:rPr>
              <w:t>2017- 039</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974" w:top="1100" w:bottom="1160" w:left="980" w:right="940"/>
        </w:sectPr>
      </w:pPr>
    </w:p>
    <w:p>
      <w:pPr>
        <w:spacing w:line="240" w:lineRule="auto" w:before="12"/>
        <w:rPr>
          <w:rFonts w:ascii="宋体" w:hAnsi="宋体" w:cs="宋体" w:eastAsia="宋体" w:hint="default"/>
          <w:sz w:val="19"/>
          <w:szCs w:val="19"/>
        </w:rPr>
      </w:pPr>
    </w:p>
    <w:p>
      <w:pPr>
        <w:pStyle w:val="Heading2"/>
        <w:spacing w:line="240" w:lineRule="auto" w:before="26"/>
        <w:ind w:right="141"/>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1426"/>
        <w:gridCol w:w="1164"/>
        <w:gridCol w:w="1165"/>
        <w:gridCol w:w="1164"/>
        <w:gridCol w:w="1164"/>
        <w:gridCol w:w="1162"/>
        <w:gridCol w:w="1165"/>
        <w:gridCol w:w="1162"/>
      </w:tblGrid>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5" w:right="36"/>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6"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徐爱民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谢宏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郭晋龙</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51"/>
        <w:ind w:right="7074"/>
        <w:jc w:val="left"/>
      </w:pPr>
      <w:r>
        <w:rPr/>
        <w:t>连续两次未亲自出席董事会的说明 无</w:t>
      </w:r>
    </w:p>
    <w:p>
      <w:pPr>
        <w:spacing w:line="240" w:lineRule="auto" w:before="12"/>
        <w:rPr>
          <w:rFonts w:ascii="宋体" w:hAnsi="宋体" w:cs="宋体" w:eastAsia="宋体" w:hint="default"/>
          <w:sz w:val="19"/>
          <w:szCs w:val="19"/>
        </w:rPr>
      </w:pPr>
    </w:p>
    <w:p>
      <w:pPr>
        <w:pStyle w:val="Heading3"/>
        <w:spacing w:line="240" w:lineRule="auto"/>
        <w:ind w:right="141"/>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t>独立董事对公司有关事项是否提出异议</w:t>
      </w:r>
    </w:p>
    <w:p>
      <w:pPr>
        <w:pStyle w:val="BodyText"/>
        <w:spacing w:line="338" w:lineRule="auto" w:before="117"/>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141"/>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t>独立董事对公司有关建议是否被采纳</w:t>
      </w:r>
    </w:p>
    <w:p>
      <w:pPr>
        <w:pStyle w:val="BodyText"/>
        <w:spacing w:line="338" w:lineRule="auto" w:before="117"/>
        <w:ind w:right="58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125"/>
        <w:ind w:right="234" w:firstLine="300"/>
        <w:jc w:val="left"/>
      </w:pPr>
      <w:r>
        <w:rPr/>
        <w:t>报告期内，独立董事根据《公司章程》、《独立董事制度》等相关规定履行职责，按要求出席董事会会议和股东大 会，根据自身专业优势，对公司关联交易、续聘审计机构、利润分配、内部控制等相关事项作出独立、客观、公正的判 断，发表了独立意见。独立董事通过现场工作深入了解公司经营情况，积极与其他董事、监事、管理层沟通交流，并根据 公司实际情况，给公司的经营管理、规范运作提出了合理的建议并均被采纳，提高了公司决策的科学性，切实维护了公司 全体股东特别是中小投资者的利益。</w:t>
      </w:r>
    </w:p>
    <w:p>
      <w:pPr>
        <w:spacing w:line="240" w:lineRule="auto" w:before="11"/>
        <w:rPr>
          <w:rFonts w:ascii="宋体" w:hAnsi="宋体" w:cs="宋体" w:eastAsia="宋体" w:hint="default"/>
          <w:sz w:val="20"/>
          <w:szCs w:val="20"/>
        </w:rPr>
      </w:pPr>
    </w:p>
    <w:p>
      <w:pPr>
        <w:pStyle w:val="Heading2"/>
        <w:spacing w:line="240" w:lineRule="auto"/>
        <w:ind w:right="141"/>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41" w:firstLine="360"/>
        <w:jc w:val="left"/>
      </w:pPr>
      <w:r>
        <w:rPr>
          <w:spacing w:val="-2"/>
        </w:rPr>
        <w:t>公司董事会下设审计委员会、薪酬与考核委员会、提名委员会三个专门委员会，各委员会职责明确，依据公司董事会制</w:t>
      </w:r>
      <w:r>
        <w:rPr/>
        <w:t> 定的各专门委员会实施细则履行职责，为董事会决策提供参考，对公司规范治理与防范风险发挥了积极作用。</w:t>
      </w:r>
    </w:p>
    <w:p>
      <w:pPr>
        <w:pStyle w:val="BodyText"/>
        <w:spacing w:line="357" w:lineRule="auto" w:before="59"/>
        <w:ind w:left="513" w:right="141"/>
        <w:jc w:val="left"/>
      </w:pPr>
      <w:r>
        <w:rPr/>
        <w:t>（一）审计委员会履职情况 </w:t>
      </w:r>
      <w:r>
        <w:rPr>
          <w:spacing w:val="-2"/>
        </w:rPr>
        <w:t>报告期内，公司董事会审计委员会依照《公司章程》、《董事会审计委员会实施细则》的相关规定，充分发挥了审核与</w:t>
      </w:r>
    </w:p>
    <w:p>
      <w:pPr>
        <w:pStyle w:val="BodyText"/>
        <w:spacing w:line="224" w:lineRule="exact"/>
        <w:ind w:right="0"/>
        <w:jc w:val="left"/>
      </w:pPr>
      <w:r>
        <w:rPr/>
        <w:t>监督作用。审计委员会主要负责审核公司财务信息、内控制度和核查工作及外部审计机构的沟通工作。报告期内，审计委员</w:t>
      </w:r>
    </w:p>
    <w:p>
      <w:pPr>
        <w:spacing w:after="0" w:line="224" w:lineRule="exact"/>
        <w:jc w:val="left"/>
        <w:sectPr>
          <w:footerReference w:type="default" r:id="rId41"/>
          <w:pgSz w:w="11910" w:h="16840"/>
          <w:pgMar w:footer="974" w:header="0" w:top="1100" w:bottom="1160" w:left="980" w:right="980"/>
          <w:pgNumType w:start="120"/>
        </w:sectPr>
      </w:pPr>
    </w:p>
    <w:p>
      <w:pPr>
        <w:spacing w:line="240" w:lineRule="auto" w:before="0"/>
        <w:rPr>
          <w:rFonts w:ascii="宋体" w:hAnsi="宋体" w:cs="宋体" w:eastAsia="宋体" w:hint="default"/>
          <w:sz w:val="22"/>
          <w:szCs w:val="22"/>
        </w:rPr>
      </w:pPr>
    </w:p>
    <w:p>
      <w:pPr>
        <w:pStyle w:val="BodyText"/>
        <w:spacing w:line="240" w:lineRule="auto" w:before="44"/>
        <w:ind w:right="141"/>
        <w:jc w:val="left"/>
      </w:pPr>
      <w:r>
        <w:rPr/>
        <w:t>会共召开了</w:t>
      </w:r>
      <w:r>
        <w:rPr>
          <w:rFonts w:ascii="Times New Roman" w:hAnsi="Times New Roman" w:cs="Times New Roman" w:eastAsia="Times New Roman" w:hint="default"/>
        </w:rPr>
        <w:t>7</w:t>
      </w:r>
      <w:r>
        <w:rPr/>
        <w:t>次会议，对定期报告、聘任审计机构、内控制度、关联交易等事项进行了审议。</w:t>
      </w:r>
    </w:p>
    <w:p>
      <w:pPr>
        <w:pStyle w:val="BodyText"/>
        <w:spacing w:line="357" w:lineRule="auto" w:before="103"/>
        <w:ind w:left="513" w:right="141"/>
        <w:jc w:val="left"/>
      </w:pPr>
      <w:r>
        <w:rPr/>
        <w:t>（二）薪酬与考核委员会履职情况 </w:t>
      </w:r>
      <w:r>
        <w:rPr>
          <w:spacing w:val="-2"/>
        </w:rPr>
        <w:t>报告期内，公司董事会薪酬与考核委员会依照《公司章程》、《董事会薪酬与考核委员会工作细则》的相关规定认真履</w:t>
      </w:r>
    </w:p>
    <w:p>
      <w:pPr>
        <w:pStyle w:val="BodyText"/>
        <w:spacing w:line="237" w:lineRule="exact"/>
        <w:ind w:right="0"/>
        <w:jc w:val="left"/>
      </w:pPr>
      <w:r>
        <w:rPr/>
        <w:t>行职责，对公司薪酬及绩效考核情况进行监督。报告期内，薪酬与考核委员会召开了</w:t>
      </w:r>
      <w:r>
        <w:rPr>
          <w:rFonts w:ascii="Times New Roman" w:hAnsi="Times New Roman" w:cs="Times New Roman" w:eastAsia="Times New Roman" w:hint="default"/>
        </w:rPr>
        <w:t>1</w:t>
      </w:r>
      <w:r>
        <w:rPr/>
        <w:t>次会议，对</w:t>
      </w:r>
      <w:r>
        <w:rPr>
          <w:rFonts w:ascii="Times New Roman" w:hAnsi="Times New Roman" w:cs="Times New Roman" w:eastAsia="Times New Roman" w:hint="default"/>
        </w:rPr>
        <w:t>2017</w:t>
      </w:r>
      <w:r>
        <w:rPr/>
        <w:t>年度公司高级管理人</w:t>
      </w:r>
    </w:p>
    <w:p>
      <w:pPr>
        <w:pStyle w:val="BodyText"/>
        <w:spacing w:line="316" w:lineRule="auto" w:before="63"/>
        <w:ind w:right="141"/>
        <w:jc w:val="left"/>
      </w:pPr>
      <w:r>
        <w:rPr>
          <w:spacing w:val="-2"/>
        </w:rPr>
        <w:t>员薪酬进行了审议，对公司薪酬制度和考核情况提出合理化建议，促进公司在规范运作的基础上，进一步提高在薪酬考核方</w:t>
      </w:r>
      <w:r>
        <w:rPr>
          <w:spacing w:val="-63"/>
        </w:rPr>
        <w:t> </w:t>
      </w:r>
      <w:r>
        <w:rPr>
          <w:spacing w:val="-63"/>
        </w:rPr>
      </w:r>
      <w:r>
        <w:rPr/>
        <w:t>面的科学性。</w:t>
      </w:r>
    </w:p>
    <w:p>
      <w:pPr>
        <w:pStyle w:val="BodyText"/>
        <w:spacing w:line="360" w:lineRule="auto" w:before="59"/>
        <w:ind w:left="513" w:right="141"/>
        <w:jc w:val="left"/>
      </w:pPr>
      <w:r>
        <w:rPr/>
        <w:t>（三）提名委员会履职情况 </w:t>
      </w:r>
      <w:r>
        <w:rPr>
          <w:spacing w:val="-2"/>
        </w:rPr>
        <w:t>报告期内，公司董事会提名委员会依照《公司章程》、《董事会提名委员会工作细则》的相关规定积极履行职责。报告</w:t>
      </w:r>
    </w:p>
    <w:p>
      <w:pPr>
        <w:pStyle w:val="BodyText"/>
        <w:spacing w:line="236" w:lineRule="exact"/>
        <w:ind w:right="141"/>
        <w:jc w:val="left"/>
      </w:pPr>
      <w:r>
        <w:rPr/>
        <w:t>期内，提名委员会召开了</w:t>
      </w:r>
      <w:r>
        <w:rPr>
          <w:rFonts w:ascii="Times New Roman" w:hAnsi="Times New Roman" w:cs="Times New Roman" w:eastAsia="Times New Roman" w:hint="default"/>
        </w:rPr>
        <w:t>1</w:t>
      </w:r>
      <w:r>
        <w:rPr/>
        <w:t>次会议，重点对公司独立董事任职资格进行审查，对独立董事提名事项进行了审议。</w:t>
      </w:r>
    </w:p>
    <w:p>
      <w:pPr>
        <w:spacing w:line="240" w:lineRule="auto" w:before="1"/>
        <w:rPr>
          <w:rFonts w:ascii="宋体" w:hAnsi="宋体" w:cs="宋体" w:eastAsia="宋体" w:hint="default"/>
          <w:sz w:val="24"/>
          <w:szCs w:val="24"/>
        </w:rPr>
      </w:pPr>
    </w:p>
    <w:p>
      <w:pPr>
        <w:pStyle w:val="Heading2"/>
        <w:spacing w:line="240" w:lineRule="auto"/>
        <w:ind w:right="141"/>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1"/>
        <w:jc w:val="left"/>
      </w:pPr>
      <w:r>
        <w:rPr/>
        <w:t>监事会在报告期内的监督活动中发现公司是否存在风险</w:t>
      </w:r>
    </w:p>
    <w:p>
      <w:pPr>
        <w:pStyle w:val="BodyText"/>
        <w:spacing w:line="340" w:lineRule="auto" w:before="117"/>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41"/>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253" w:firstLine="358"/>
        <w:jc w:val="both"/>
      </w:pPr>
      <w:r>
        <w:rPr/>
        <w:t>公司建立了较为健全的高级管理人员绩效考核管理体系，明确了高级管理人员的薪酬与公司业绩挂钩的绩效考核与激 励约束机制，</w:t>
      </w:r>
      <w:r>
        <w:rPr>
          <w:rFonts w:ascii="Times New Roman" w:hAnsi="Times New Roman" w:cs="Times New Roman" w:eastAsia="Times New Roman" w:hint="default"/>
        </w:rPr>
        <w:t>“</w:t>
      </w:r>
      <w:r>
        <w:rPr/>
        <w:t>以岗定薪、以劳计酬</w:t>
      </w:r>
      <w:r>
        <w:rPr>
          <w:rFonts w:ascii="Times New Roman" w:hAnsi="Times New Roman" w:cs="Times New Roman" w:eastAsia="Times New Roman" w:hint="default"/>
        </w:rPr>
        <w:t>”</w:t>
      </w:r>
      <w:r>
        <w:rPr/>
        <w:t>，对公司高级管理人员实行基本年薪和绩效年薪考核相结合的薪酬制度。公司每年度 对高级管理人员开展工作述职活动以及绩效考评，根据年终考核结果给予确定薪酬方案，报公司董事会批准后执行。</w:t>
      </w:r>
    </w:p>
    <w:p>
      <w:pPr>
        <w:spacing w:line="240" w:lineRule="auto" w:before="4"/>
        <w:rPr>
          <w:rFonts w:ascii="宋体" w:hAnsi="宋体" w:cs="宋体" w:eastAsia="宋体" w:hint="default"/>
          <w:sz w:val="21"/>
          <w:szCs w:val="21"/>
        </w:rPr>
      </w:pPr>
    </w:p>
    <w:p>
      <w:pPr>
        <w:pStyle w:val="Heading2"/>
        <w:spacing w:line="240" w:lineRule="auto"/>
        <w:ind w:right="141"/>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189"/>
        <w:gridCol w:w="3328"/>
        <w:gridCol w:w="305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年度内部控制评价报告</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54"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8" w:type="dxa"/>
            <w:vMerge w:val="restart"/>
            <w:tcBorders>
              <w:top w:val="single" w:sz="4" w:space="0" w:color="000000"/>
              <w:left w:val="single" w:sz="4" w:space="0" w:color="000000"/>
              <w:right w:val="single" w:sz="4" w:space="0" w:color="000000"/>
            </w:tcBorders>
          </w:tcPr>
          <w:p>
            <w:pPr>
              <w:pStyle w:val="TableParagraph"/>
              <w:spacing w:line="300" w:lineRule="auto" w:before="51"/>
              <w:ind w:left="30" w:right="46"/>
              <w:jc w:val="left"/>
              <w:rPr>
                <w:rFonts w:ascii="宋体" w:hAnsi="宋体" w:cs="宋体" w:eastAsia="宋体" w:hint="default"/>
                <w:sz w:val="18"/>
                <w:szCs w:val="18"/>
              </w:rPr>
            </w:pPr>
            <w:r>
              <w:rPr>
                <w:rFonts w:ascii="宋体" w:hAnsi="宋体" w:cs="宋体" w:eastAsia="宋体" w:hint="default"/>
                <w:spacing w:val="-5"/>
                <w:sz w:val="18"/>
                <w:szCs w:val="18"/>
              </w:rPr>
              <w:t>重大缺陷：（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）公司董事、监事和高级管</w:t>
            </w:r>
            <w:r>
              <w:rPr>
                <w:rFonts w:ascii="宋体" w:hAnsi="宋体" w:cs="宋体" w:eastAsia="宋体" w:hint="default"/>
                <w:spacing w:val="-86"/>
                <w:sz w:val="18"/>
                <w:szCs w:val="18"/>
              </w:rPr>
              <w:t> </w:t>
            </w:r>
            <w:r>
              <w:rPr>
                <w:rFonts w:ascii="宋体" w:hAnsi="宋体" w:cs="宋体" w:eastAsia="宋体" w:hint="default"/>
                <w:sz w:val="18"/>
                <w:szCs w:val="18"/>
              </w:rPr>
              <w:t>理人员滥用职权</w:t>
            </w:r>
            <w:r>
              <w:rPr>
                <w:rFonts w:ascii="Times New Roman" w:hAnsi="Times New Roman" w:cs="Times New Roman" w:eastAsia="Times New Roman" w:hint="default"/>
                <w:sz w:val="18"/>
                <w:szCs w:val="18"/>
              </w:rPr>
              <w:t>,</w:t>
            </w:r>
            <w:r>
              <w:rPr>
                <w:rFonts w:ascii="宋体" w:hAnsi="宋体" w:cs="宋体" w:eastAsia="宋体" w:hint="default"/>
                <w:sz w:val="18"/>
                <w:szCs w:val="18"/>
              </w:rPr>
              <w:t>发生贪污、受贿、挪用 公款等舞弊行为，给公司造成重大损失；</w:t>
            </w:r>
          </w:p>
          <w:p>
            <w:pPr>
              <w:pStyle w:val="TableParagraph"/>
              <w:spacing w:line="240" w:lineRule="auto" w:before="31"/>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）外部审计发现当期财务报告存在重</w:t>
            </w:r>
          </w:p>
        </w:tc>
        <w:tc>
          <w:tcPr>
            <w:tcW w:w="3051"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重大缺陷：决策程序导致重大失误， 重要业务缺乏制度控制或系统性失 效，且缺乏有效的补偿性控制、内部 控制评价的结果特别是重大缺陷未得</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8" w:type="dxa"/>
            <w:vMerge/>
            <w:tcBorders>
              <w:left w:val="single" w:sz="4" w:space="0" w:color="000000"/>
              <w:right w:val="single" w:sz="4" w:space="0" w:color="000000"/>
            </w:tcBorders>
          </w:tcPr>
          <w:p>
            <w:pPr/>
          </w:p>
        </w:tc>
        <w:tc>
          <w:tcPr>
            <w:tcW w:w="3051" w:type="dxa"/>
            <w:vMerge/>
            <w:tcBorders>
              <w:left w:val="single" w:sz="4" w:space="0" w:color="000000"/>
              <w:right w:val="single" w:sz="4" w:space="0" w:color="000000"/>
            </w:tcBorders>
          </w:tcPr>
          <w:p>
            <w:pPr/>
          </w:p>
        </w:tc>
      </w:tr>
      <w:tr>
        <w:trPr>
          <w:trHeight w:val="454"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8" w:type="dxa"/>
            <w:vMerge/>
            <w:tcBorders>
              <w:left w:val="single" w:sz="4" w:space="0" w:color="000000"/>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81" w:type="dxa"/>
        <w:tblLayout w:type="fixed"/>
        <w:tblCellMar>
          <w:top w:w="0" w:type="dxa"/>
          <w:left w:w="0" w:type="dxa"/>
          <w:bottom w:w="0" w:type="dxa"/>
          <w:right w:w="0" w:type="dxa"/>
        </w:tblCellMar>
        <w:tblLook w:val="01E0"/>
      </w:tblPr>
      <w:tblGrid>
        <w:gridCol w:w="3195"/>
        <w:gridCol w:w="3322"/>
        <w:gridCol w:w="3051"/>
      </w:tblGrid>
      <w:tr>
        <w:trPr>
          <w:trHeight w:val="379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24" w:right="47"/>
              <w:jc w:val="both"/>
              <w:rPr>
                <w:rFonts w:ascii="宋体" w:hAnsi="宋体" w:cs="宋体" w:eastAsia="宋体" w:hint="default"/>
                <w:sz w:val="18"/>
                <w:szCs w:val="18"/>
              </w:rPr>
            </w:pPr>
            <w:r>
              <w:rPr>
                <w:rFonts w:ascii="宋体" w:hAnsi="宋体" w:cs="宋体" w:eastAsia="宋体" w:hint="default"/>
                <w:sz w:val="18"/>
                <w:szCs w:val="18"/>
              </w:rPr>
              <w:t>大错报，公司在运行过程中未能发现该错 </w:t>
            </w:r>
            <w:r>
              <w:rPr>
                <w:rFonts w:ascii="宋体" w:hAnsi="宋体" w:cs="宋体" w:eastAsia="宋体" w:hint="default"/>
                <w:spacing w:val="-5"/>
                <w:sz w:val="18"/>
                <w:szCs w:val="18"/>
              </w:rPr>
              <w:t>报；（</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）已经发现并报告给管理层的重大</w:t>
            </w:r>
            <w:r>
              <w:rPr>
                <w:rFonts w:ascii="宋体" w:hAnsi="宋体" w:cs="宋体" w:eastAsia="宋体" w:hint="default"/>
                <w:spacing w:val="-86"/>
                <w:sz w:val="18"/>
                <w:szCs w:val="18"/>
              </w:rPr>
              <w:t> </w:t>
            </w:r>
            <w:r>
              <w:rPr>
                <w:rFonts w:ascii="宋体" w:hAnsi="宋体" w:cs="宋体" w:eastAsia="宋体" w:hint="default"/>
                <w:spacing w:val="-5"/>
                <w:sz w:val="18"/>
                <w:szCs w:val="18"/>
              </w:rPr>
              <w:t>缺陷在合理的时间内未加以改正；（</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w:t>
            </w:r>
            <w:r>
              <w:rPr>
                <w:rFonts w:ascii="宋体" w:hAnsi="宋体" w:cs="宋体" w:eastAsia="宋体" w:hint="default"/>
                <w:spacing w:val="-86"/>
                <w:sz w:val="18"/>
                <w:szCs w:val="18"/>
              </w:rPr>
              <w:t> </w:t>
            </w:r>
            <w:r>
              <w:rPr>
                <w:rFonts w:ascii="宋体" w:hAnsi="宋体" w:cs="宋体" w:eastAsia="宋体" w:hint="default"/>
                <w:sz w:val="18"/>
                <w:szCs w:val="18"/>
              </w:rPr>
              <w:t>司审计委员会和公司内审内控部对内部控 </w:t>
            </w:r>
            <w:r>
              <w:rPr>
                <w:rFonts w:ascii="宋体" w:hAnsi="宋体" w:cs="宋体" w:eastAsia="宋体" w:hint="default"/>
                <w:spacing w:val="-5"/>
                <w:sz w:val="18"/>
                <w:szCs w:val="18"/>
              </w:rPr>
              <w:t>制的监督无效。重要缺陷：（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w:t>
            </w:r>
            <w:r>
              <w:rPr>
                <w:rFonts w:ascii="宋体" w:hAnsi="宋体" w:cs="宋体" w:eastAsia="宋体" w:hint="default"/>
                <w:spacing w:val="-86"/>
                <w:sz w:val="18"/>
                <w:szCs w:val="18"/>
              </w:rPr>
              <w:t> </w:t>
            </w:r>
            <w:r>
              <w:rPr>
                <w:rFonts w:ascii="宋体" w:hAnsi="宋体" w:cs="宋体" w:eastAsia="宋体" w:hint="default"/>
                <w:spacing w:val="-5"/>
                <w:sz w:val="18"/>
                <w:szCs w:val="18"/>
              </w:rPr>
              <w:t>认的会计准则和会计政策；（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w:t>
            </w:r>
            <w:r>
              <w:rPr>
                <w:rFonts w:ascii="宋体" w:hAnsi="宋体" w:cs="宋体" w:eastAsia="宋体" w:hint="default"/>
                <w:spacing w:val="-86"/>
                <w:sz w:val="18"/>
                <w:szCs w:val="18"/>
              </w:rPr>
              <w:t> </w:t>
            </w:r>
            <w:r>
              <w:rPr>
                <w:rFonts w:ascii="宋体" w:hAnsi="宋体" w:cs="宋体" w:eastAsia="宋体" w:hint="default"/>
                <w:spacing w:val="-5"/>
                <w:sz w:val="18"/>
                <w:szCs w:val="18"/>
              </w:rPr>
              <w:t>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）对于期末财务</w:t>
            </w:r>
            <w:r>
              <w:rPr>
                <w:rFonts w:ascii="宋体" w:hAnsi="宋体" w:cs="宋体" w:eastAsia="宋体" w:hint="default"/>
                <w:spacing w:val="-86"/>
                <w:sz w:val="18"/>
                <w:szCs w:val="18"/>
              </w:rPr>
              <w:t> </w:t>
            </w:r>
            <w:r>
              <w:rPr>
                <w:rFonts w:ascii="宋体" w:hAnsi="宋体" w:cs="宋体" w:eastAsia="宋体" w:hint="default"/>
                <w:sz w:val="18"/>
                <w:szCs w:val="18"/>
              </w:rPr>
              <w:t>报告过程的控制存在一项或多项内部控制 缺陷且不能合理保证编制的财务报表达到 真实、准确的目标。一般缺陷：未构成重 大缺陷、重要缺陷标准的其他内部控制缺 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35"/>
              <w:jc w:val="left"/>
              <w:rPr>
                <w:rFonts w:ascii="宋体" w:hAnsi="宋体" w:cs="宋体" w:eastAsia="宋体" w:hint="default"/>
                <w:sz w:val="18"/>
                <w:szCs w:val="18"/>
              </w:rPr>
            </w:pPr>
            <w:r>
              <w:rPr>
                <w:rFonts w:ascii="宋体" w:hAnsi="宋体" w:cs="宋体" w:eastAsia="宋体" w:hint="default"/>
                <w:sz w:val="18"/>
                <w:szCs w:val="18"/>
              </w:rPr>
              <w:t>到整改等可能造成直接或潜在的重大 赔偿、罚款或投资风险等损失。重要 缺陷：决策程序导致出现一般性失 误、重要业务制度或系统存在缺陷、 内部控制评价的结果特别是重要缺陷 未得到整改等可能造成的直接或潜在 的负面影响严重程度低于重大缺陷， 但仍有可能导致公司偏离控制目标的 内部控制缺陷。一般缺陷：未构成重 大缺陷、重要缺陷标准的其他内部控 制缺陷。</w:t>
            </w:r>
          </w:p>
        </w:tc>
      </w:tr>
      <w:tr>
        <w:trPr>
          <w:trHeight w:val="383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 缺陷：利润总额的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错报＜资产总额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错报＜营 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，所有者权益总额的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 般缺陷：错报＜利润总额的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 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，错报＜营业收入总额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，错报＜所有者权益总额的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00" w:lineRule="auto"/>
              <w:ind w:left="23" w:right="43"/>
              <w:jc w:val="both"/>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万元及以上；重要缺 陷：</w:t>
            </w:r>
            <w:r>
              <w:rPr>
                <w:rFonts w:ascii="Times New Roman" w:hAnsi="Times New Roman" w:cs="Times New Roman" w:eastAsia="Times New Roman" w:hint="default"/>
                <w:sz w:val="18"/>
                <w:szCs w:val="18"/>
              </w:rPr>
              <w:t>1500 </w:t>
            </w:r>
            <w:r>
              <w:rPr>
                <w:rFonts w:ascii="宋体" w:hAnsi="宋体" w:cs="宋体" w:eastAsia="宋体" w:hint="default"/>
                <w:sz w:val="18"/>
                <w:szCs w:val="18"/>
              </w:rPr>
              <w:t>万元（含）～</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万元；一 般缺陷：</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万元（含）～</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8"/>
          <w:szCs w:val="18"/>
        </w:rPr>
      </w:pPr>
    </w:p>
    <w:p>
      <w:pPr>
        <w:pStyle w:val="Heading2"/>
        <w:spacing w:line="240" w:lineRule="auto" w:before="26"/>
        <w:ind w:right="141"/>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t>不适用</w:t>
      </w:r>
    </w:p>
    <w:p>
      <w:pPr>
        <w:spacing w:after="0" w:line="240" w:lineRule="auto"/>
        <w:jc w:val="left"/>
        <w:sectPr>
          <w:pgSz w:w="11910" w:h="16840"/>
          <w:pgMar w:header="0" w:footer="974"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125" w:right="141"/>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0" w:footer="974"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137"/>
        <w:jc w:val="center"/>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1"/>
        <w:jc w:val="left"/>
        <w:rPr>
          <w:b w:val="0"/>
          <w:bCs w:val="0"/>
        </w:rPr>
      </w:pP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安永华明</w:t>
            </w:r>
            <w:r>
              <w:rPr>
                <w:rFonts w:ascii="Times New Roman" w:hAnsi="Times New Roman" w:cs="Times New Roman" w:eastAsia="Times New Roman" w:hint="default"/>
                <w:sz w:val="18"/>
                <w:szCs w:val="18"/>
              </w:rPr>
              <w:t>(2018)</w:t>
            </w:r>
            <w:r>
              <w:rPr>
                <w:rFonts w:ascii="宋体" w:hAnsi="宋体" w:cs="宋体" w:eastAsia="宋体" w:hint="default"/>
                <w:sz w:val="18"/>
                <w:szCs w:val="18"/>
              </w:rPr>
              <w:t>审字第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61098952_H01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李剑光、邓冬梅</w:t>
            </w:r>
          </w:p>
        </w:tc>
      </w:tr>
    </w:tbl>
    <w:p>
      <w:pPr>
        <w:pStyle w:val="Heading4"/>
        <w:spacing w:line="357" w:lineRule="auto" w:before="51"/>
        <w:ind w:left="4430" w:right="4429"/>
        <w:jc w:val="center"/>
        <w:rPr>
          <w:b w:val="0"/>
          <w:bCs w:val="0"/>
        </w:rPr>
      </w:pPr>
      <w:r>
        <w:rPr/>
        <w:t>审计报告正文</w:t>
      </w:r>
      <w:r>
        <w:rPr>
          <w:w w:val="99"/>
        </w:rPr>
        <w:t> </w:t>
      </w:r>
      <w:r>
        <w:rPr/>
        <w:t>审计报告</w:t>
      </w:r>
      <w:r>
        <w:rPr>
          <w:b w:val="0"/>
          <w:bCs w:val="0"/>
        </w:rPr>
      </w:r>
    </w:p>
    <w:p>
      <w:pPr>
        <w:spacing w:line="240" w:lineRule="auto" w:before="7"/>
        <w:rPr>
          <w:rFonts w:ascii="宋体" w:hAnsi="宋体" w:cs="宋体" w:eastAsia="宋体" w:hint="default"/>
          <w:b/>
          <w:bCs/>
          <w:sz w:val="19"/>
          <w:szCs w:val="19"/>
        </w:rPr>
      </w:pPr>
    </w:p>
    <w:p>
      <w:pPr>
        <w:pStyle w:val="BodyText"/>
        <w:spacing w:line="240" w:lineRule="auto" w:before="44"/>
        <w:ind w:left="0" w:right="148"/>
        <w:jc w:val="right"/>
      </w:pPr>
      <w:r>
        <w:rPr>
          <w:spacing w:val="-1"/>
        </w:rPr>
        <w:t>安永华明</w:t>
      </w:r>
      <w:r>
        <w:rPr>
          <w:rFonts w:ascii="Times New Roman" w:hAnsi="Times New Roman" w:cs="Times New Roman" w:eastAsia="Times New Roman" w:hint="default"/>
          <w:spacing w:val="-1"/>
        </w:rPr>
        <w:t>(2018)</w:t>
      </w:r>
      <w:r>
        <w:rPr>
          <w:spacing w:val="-1"/>
        </w:rPr>
        <w:t>审字第</w:t>
      </w:r>
      <w:r>
        <w:rPr>
          <w:rFonts w:ascii="Times New Roman" w:hAnsi="Times New Roman" w:cs="Times New Roman" w:eastAsia="Times New Roman" w:hint="default"/>
          <w:spacing w:val="-1"/>
        </w:rPr>
        <w:t>61098952_H01</w:t>
      </w:r>
      <w:r>
        <w:rPr>
          <w:spacing w:val="-1"/>
        </w:rPr>
        <w:t>号</w:t>
      </w:r>
    </w:p>
    <w:p>
      <w:pPr>
        <w:spacing w:line="240" w:lineRule="auto" w:before="3"/>
        <w:rPr>
          <w:rFonts w:ascii="宋体" w:hAnsi="宋体" w:cs="宋体" w:eastAsia="宋体" w:hint="default"/>
          <w:sz w:val="25"/>
          <w:szCs w:val="25"/>
        </w:rPr>
      </w:pPr>
    </w:p>
    <w:p>
      <w:pPr>
        <w:spacing w:line="636" w:lineRule="auto" w:before="44"/>
        <w:ind w:left="152" w:right="6714" w:firstLine="0"/>
        <w:jc w:val="left"/>
        <w:rPr>
          <w:rFonts w:ascii="宋体" w:hAnsi="宋体" w:cs="宋体" w:eastAsia="宋体" w:hint="default"/>
          <w:sz w:val="18"/>
          <w:szCs w:val="18"/>
        </w:rPr>
      </w:pPr>
      <w:r>
        <w:rPr>
          <w:rFonts w:ascii="宋体" w:hAnsi="宋体" w:cs="宋体" w:eastAsia="宋体" w:hint="default"/>
          <w:sz w:val="18"/>
          <w:szCs w:val="18"/>
        </w:rPr>
        <w:t>深圳华大基因股份有限公司全体股东：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300" w:lineRule="auto" w:before="92"/>
        <w:ind w:right="151" w:firstLine="427"/>
        <w:jc w:val="both"/>
      </w:pPr>
      <w:r>
        <w:rPr/>
        <w:t>我们审计了深圳华大基因股份有限公司的财务报表，包括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日的合并及公司资产负债表，</w:t>
      </w:r>
      <w:r>
        <w:rPr>
          <w:rFonts w:ascii="Times New Roman" w:hAnsi="Times New Roman" w:cs="Times New Roman" w:eastAsia="Times New Roman" w:hint="default"/>
        </w:rPr>
        <w:t>2017</w:t>
      </w:r>
      <w:r>
        <w:rPr/>
        <w:t>年度的合并 及公司利润表、股东权益变动表和现金流量表以及相关财务报表附注。</w:t>
      </w:r>
    </w:p>
    <w:p>
      <w:pPr>
        <w:pStyle w:val="BodyText"/>
        <w:spacing w:line="316" w:lineRule="auto" w:before="31"/>
        <w:ind w:right="156" w:firstLine="427"/>
        <w:jc w:val="both"/>
      </w:pPr>
      <w:r>
        <w:rPr/>
        <w:t>我们认为，后附的深圳华大基因股份有限公司的财务报表在所有重大方面按照企业会计准则的规定编制，公允反映了 深圳华大基因股份有限公司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2017</w:t>
      </w:r>
      <w:r>
        <w:rPr/>
        <w:t>年度的合并及公司经营成果和现金流量。</w:t>
      </w:r>
    </w:p>
    <w:p>
      <w:pPr>
        <w:pStyle w:val="BodyText"/>
        <w:spacing w:line="624" w:lineRule="exact" w:before="22"/>
        <w:ind w:left="580" w:right="141" w:hanging="428"/>
        <w:jc w:val="left"/>
      </w:pP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213" w:lineRule="exact"/>
        <w:ind w:right="0"/>
        <w:jc w:val="left"/>
      </w:pPr>
      <w:r>
        <w:rPr/>
        <w:t>步阐述了我们在这些准则下的责任。按照中国注册会计师职业道德守则，我们独立于深圳华大基因股份有限公司，并履行了</w:t>
      </w:r>
    </w:p>
    <w:p>
      <w:pPr>
        <w:pStyle w:val="BodyText"/>
        <w:spacing w:line="636" w:lineRule="auto" w:before="76"/>
        <w:ind w:right="1314"/>
        <w:jc w:val="left"/>
        <w:rPr>
          <w:rFonts w:ascii="宋体" w:hAnsi="宋体" w:cs="宋体" w:eastAsia="宋体" w:hint="default"/>
        </w:rPr>
      </w:pPr>
      <w:r>
        <w:rPr/>
        <w:t>职业道德方面的其他责任。我们相信，我们获取的审计证据是充分、适当的，为发表审计意见提供了基础。 </w:t>
      </w:r>
      <w:r>
        <w:rPr>
          <w:rFonts w:ascii="宋体" w:hAnsi="宋体" w:cs="宋体" w:eastAsia="宋体" w:hint="default"/>
          <w:b/>
          <w:bCs/>
        </w:rPr>
        <w:t>三、关键审计事项</w:t>
      </w:r>
      <w:r>
        <w:rPr>
          <w:rFonts w:ascii="宋体" w:hAnsi="宋体" w:cs="宋体" w:eastAsia="宋体" w:hint="default"/>
        </w:rPr>
      </w:r>
    </w:p>
    <w:p>
      <w:pPr>
        <w:pStyle w:val="BodyText"/>
        <w:spacing w:line="316" w:lineRule="auto" w:before="91"/>
        <w:ind w:right="153" w:firstLine="427"/>
        <w:jc w:val="both"/>
      </w:pPr>
      <w:r>
        <w:rPr/>
        <w:t>关键审计事项是我们根据职业判断，认为对本期财务报表审计最为重要的事项。这些事项的应对以对财务报表整体进 </w:t>
      </w:r>
      <w:r>
        <w:rPr>
          <w:spacing w:val="-2"/>
        </w:rPr>
        <w:t>行审计并形成审计意见为背景，我们不对这些事项单独发表意见。我们对下述每一事项在审计中是如何应对的描述也以此为</w:t>
      </w:r>
      <w:r>
        <w:rPr>
          <w:spacing w:val="-64"/>
        </w:rPr>
        <w:t> </w:t>
      </w:r>
      <w:r>
        <w:rPr>
          <w:spacing w:val="-64"/>
        </w:rPr>
      </w:r>
      <w:r>
        <w:rPr/>
        <w:t>背景。</w:t>
      </w:r>
    </w:p>
    <w:p>
      <w:pPr>
        <w:pStyle w:val="BodyText"/>
        <w:spacing w:line="309" w:lineRule="auto" w:before="19"/>
        <w:ind w:right="153" w:firstLine="427"/>
        <w:jc w:val="both"/>
      </w:pPr>
      <w:r>
        <w:rPr/>
        <w:t>我们已经履行了本报告</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部分阐述的责任，包括与这些关键审计事项相关的责任。 </w:t>
      </w:r>
      <w:r>
        <w:rPr>
          <w:spacing w:val="-2"/>
        </w:rPr>
        <w:t>相应地，我们的审计工作包括执行为应对评估的财务报表重大错报风险而设计的审计程序。我们执行审计程序的结果，包括</w:t>
      </w:r>
      <w:r>
        <w:rPr>
          <w:spacing w:val="-65"/>
        </w:rPr>
        <w:t> </w:t>
      </w:r>
      <w:r>
        <w:rPr>
          <w:spacing w:val="-65"/>
        </w:rPr>
      </w:r>
      <w:r>
        <w:rPr/>
        <w:t>应对下述关键审计事项所执行的程序，为财务报表整体发表审计意见提供了基础。</w:t>
      </w:r>
    </w:p>
    <w:p>
      <w:pPr>
        <w:spacing w:line="240" w:lineRule="auto" w:before="12"/>
        <w:rPr>
          <w:rFonts w:ascii="宋体" w:hAnsi="宋体" w:cs="宋体" w:eastAsia="宋体" w:hint="default"/>
          <w:sz w:val="24"/>
          <w:szCs w:val="24"/>
        </w:rPr>
      </w:pPr>
    </w:p>
    <w:tbl>
      <w:tblPr>
        <w:tblW w:w="0" w:type="auto"/>
        <w:jc w:val="left"/>
        <w:tblInd w:w="169" w:type="dxa"/>
        <w:tblLayout w:type="fixed"/>
        <w:tblCellMar>
          <w:top w:w="0" w:type="dxa"/>
          <w:left w:w="0" w:type="dxa"/>
          <w:bottom w:w="0" w:type="dxa"/>
          <w:right w:w="0" w:type="dxa"/>
        </w:tblCellMar>
        <w:tblLook w:val="01E0"/>
      </w:tblPr>
      <w:tblGrid>
        <w:gridCol w:w="4532"/>
        <w:gridCol w:w="4679"/>
      </w:tblGrid>
      <w:tr>
        <w:trPr>
          <w:trHeight w:val="348" w:hRule="exact"/>
        </w:trPr>
        <w:tc>
          <w:tcPr>
            <w:tcW w:w="4532" w:type="dxa"/>
            <w:tcBorders>
              <w:top w:val="single" w:sz="6" w:space="0" w:color="000000"/>
              <w:left w:val="single" w:sz="6" w:space="0" w:color="000000"/>
              <w:bottom w:val="single" w:sz="6" w:space="0" w:color="000000"/>
              <w:right w:val="single" w:sz="6" w:space="0" w:color="000000"/>
            </w:tcBorders>
            <w:shd w:val="clear" w:color="auto" w:fill="999999"/>
          </w:tcPr>
          <w:p>
            <w:pPr>
              <w:pStyle w:val="TableParagraph"/>
              <w:spacing w:line="240" w:lineRule="auto" w:before="20"/>
              <w:ind w:left="48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关键审计事项</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4679" w:type="dxa"/>
            <w:tcBorders>
              <w:top w:val="single" w:sz="6" w:space="0" w:color="000000"/>
              <w:left w:val="single" w:sz="6" w:space="0" w:color="000000"/>
              <w:bottom w:val="single" w:sz="6" w:space="0" w:color="000000"/>
              <w:right w:val="single" w:sz="6" w:space="0" w:color="000000"/>
            </w:tcBorders>
            <w:shd w:val="clear" w:color="auto" w:fill="999999"/>
          </w:tcPr>
          <w:p>
            <w:pPr>
              <w:pStyle w:val="TableParagraph"/>
              <w:spacing w:line="240" w:lineRule="auto" w:before="20"/>
              <w:ind w:left="48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该事项在审计中是如何应对</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1" w:hRule="exact"/>
        </w:trPr>
        <w:tc>
          <w:tcPr>
            <w:tcW w:w="9211"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b/>
                <w:bCs/>
                <w:sz w:val="18"/>
                <w:szCs w:val="18"/>
              </w:rPr>
              <w:t>应收账款的坏账准备</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69" w:type="dxa"/>
        <w:tblLayout w:type="fixed"/>
        <w:tblCellMar>
          <w:top w:w="0" w:type="dxa"/>
          <w:left w:w="0" w:type="dxa"/>
          <w:bottom w:w="0" w:type="dxa"/>
          <w:right w:w="0" w:type="dxa"/>
        </w:tblCellMar>
        <w:tblLook w:val="01E0"/>
      </w:tblPr>
      <w:tblGrid>
        <w:gridCol w:w="4532"/>
        <w:gridCol w:w="4679"/>
      </w:tblGrid>
      <w:tr>
        <w:trPr>
          <w:trHeight w:val="6964"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07" w:lineRule="auto"/>
              <w:ind w:left="2" w:right="12"/>
              <w:jc w:val="left"/>
              <w:rPr>
                <w:rFonts w:ascii="宋体" w:hAnsi="宋体" w:cs="宋体" w:eastAsia="宋体" w:hint="default"/>
                <w:sz w:val="18"/>
                <w:szCs w:val="18"/>
              </w:rPr>
            </w:pPr>
            <w:r>
              <w:rPr>
                <w:rFonts w:ascii="宋体" w:hAnsi="宋体" w:cs="宋体" w:eastAsia="宋体" w:hint="default"/>
                <w:sz w:val="18"/>
                <w:szCs w:val="18"/>
              </w:rPr>
              <w:t>深圳华大基因股份有限公司及其子公司应收账款金额重 大，于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日，应收账款在合并财务报表的账面 价值为人民币</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811,563,548.75</w:t>
            </w:r>
            <w:r>
              <w:rPr>
                <w:rFonts w:ascii="宋体" w:hAnsi="宋体" w:cs="宋体" w:eastAsia="宋体" w:hint="default"/>
                <w:sz w:val="18"/>
                <w:szCs w:val="18"/>
              </w:rPr>
              <w:t>元，占流动资产和资产总额 的比例分别为</w:t>
            </w:r>
            <w:r>
              <w:rPr>
                <w:rFonts w:ascii="Times New Roman" w:hAnsi="Times New Roman" w:cs="Times New Roman" w:eastAsia="Times New Roman" w:hint="default"/>
                <w:sz w:val="18"/>
                <w:szCs w:val="18"/>
              </w:rPr>
              <w:t>21.18%</w:t>
            </w:r>
            <w:r>
              <w:rPr>
                <w:rFonts w:ascii="宋体" w:hAnsi="宋体" w:cs="宋体" w:eastAsia="宋体" w:hint="default"/>
                <w:sz w:val="18"/>
                <w:szCs w:val="18"/>
              </w:rPr>
              <w:t>和</w:t>
            </w:r>
            <w:r>
              <w:rPr>
                <w:rFonts w:ascii="Times New Roman" w:hAnsi="Times New Roman" w:cs="Times New Roman" w:eastAsia="Times New Roman" w:hint="default"/>
                <w:sz w:val="18"/>
                <w:szCs w:val="18"/>
              </w:rPr>
              <w:t>15.88%</w:t>
            </w:r>
            <w:r>
              <w:rPr>
                <w:rFonts w:ascii="宋体" w:hAnsi="宋体" w:cs="宋体" w:eastAsia="宋体" w:hint="default"/>
                <w:sz w:val="18"/>
                <w:szCs w:val="18"/>
              </w:rPr>
              <w:t>。</w:t>
            </w:r>
          </w:p>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 w:right="13"/>
              <w:jc w:val="both"/>
              <w:rPr>
                <w:rFonts w:ascii="宋体" w:hAnsi="宋体" w:cs="宋体" w:eastAsia="宋体" w:hint="default"/>
                <w:sz w:val="18"/>
                <w:szCs w:val="18"/>
              </w:rPr>
            </w:pPr>
            <w:r>
              <w:rPr>
                <w:rFonts w:ascii="宋体" w:hAnsi="宋体" w:cs="宋体" w:eastAsia="宋体" w:hint="default"/>
                <w:sz w:val="18"/>
                <w:szCs w:val="18"/>
              </w:rPr>
              <w:t>应收账款主要对象是部分医院、科研机构、大专院校和代 理商，账龄较长，应收账款的坏账准备取决于管理层基于 应收账款的账龄、是否存在回款纠纷、以往付款情况以及 其他影响对方信用的信息而作出的综合判断。</w:t>
            </w:r>
          </w:p>
          <w:p>
            <w:pPr>
              <w:pStyle w:val="TableParagraph"/>
              <w:spacing w:line="240" w:lineRule="auto" w:before="9"/>
              <w:ind w:right="0"/>
              <w:jc w:val="left"/>
              <w:rPr>
                <w:rFonts w:ascii="宋体" w:hAnsi="宋体" w:cs="宋体" w:eastAsia="宋体" w:hint="default"/>
                <w:sz w:val="16"/>
                <w:szCs w:val="16"/>
              </w:rPr>
            </w:pPr>
          </w:p>
          <w:p>
            <w:pPr>
              <w:pStyle w:val="TableParagraph"/>
              <w:spacing w:line="309" w:lineRule="auto"/>
              <w:ind w:left="2" w:right="12"/>
              <w:jc w:val="left"/>
              <w:rPr>
                <w:rFonts w:ascii="宋体" w:hAnsi="宋体" w:cs="宋体" w:eastAsia="宋体" w:hint="default"/>
                <w:sz w:val="18"/>
                <w:szCs w:val="18"/>
              </w:rPr>
            </w:pPr>
            <w:r>
              <w:rPr>
                <w:rFonts w:ascii="宋体" w:hAnsi="宋体" w:cs="宋体" w:eastAsia="宋体" w:hint="default"/>
                <w:sz w:val="18"/>
                <w:szCs w:val="18"/>
              </w:rPr>
              <w:t>该会计政策、重大会计判断和估计以及相关财务报表披露 参见第十一节财务报告附注五“重要会计政策及会计估 计”的“</w:t>
            </w:r>
            <w:r>
              <w:rPr>
                <w:rFonts w:ascii="Times New Roman" w:hAnsi="Times New Roman" w:cs="Times New Roman" w:eastAsia="Times New Roman" w:hint="default"/>
                <w:sz w:val="18"/>
                <w:szCs w:val="18"/>
              </w:rPr>
              <w:t>27</w:t>
            </w:r>
            <w:r>
              <w:rPr>
                <w:rFonts w:ascii="宋体" w:hAnsi="宋体" w:cs="宋体" w:eastAsia="宋体" w:hint="default"/>
                <w:sz w:val="18"/>
                <w:szCs w:val="18"/>
              </w:rPr>
              <w:t>、重要会计政策和会计估计变更”以及第十一 节财务报告附注七“合并财务报表项目注释”的“</w:t>
            </w:r>
            <w:r>
              <w:rPr>
                <w:rFonts w:ascii="Times New Roman" w:hAnsi="Times New Roman" w:cs="Times New Roman" w:eastAsia="Times New Roman" w:hint="default"/>
                <w:sz w:val="18"/>
                <w:szCs w:val="18"/>
              </w:rPr>
              <w:t>3</w:t>
            </w:r>
            <w:r>
              <w:rPr>
                <w:rFonts w:ascii="宋体" w:hAnsi="宋体" w:cs="宋体" w:eastAsia="宋体" w:hint="default"/>
                <w:sz w:val="18"/>
                <w:szCs w:val="18"/>
              </w:rPr>
              <w:t>、应 收账款”。</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 w:right="339"/>
              <w:jc w:val="left"/>
              <w:rPr>
                <w:rFonts w:ascii="宋体" w:hAnsi="宋体" w:cs="宋体" w:eastAsia="宋体" w:hint="default"/>
                <w:sz w:val="18"/>
                <w:szCs w:val="18"/>
              </w:rPr>
            </w:pPr>
            <w:r>
              <w:rPr>
                <w:rFonts w:ascii="宋体" w:hAnsi="宋体" w:cs="宋体" w:eastAsia="宋体" w:hint="default"/>
                <w:sz w:val="18"/>
                <w:szCs w:val="18"/>
              </w:rPr>
              <w:t>我们在审计过程中对应收帐款的坏账准备执行了以下工 作：</w:t>
            </w: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422" w:right="99" w:hanging="360"/>
              <w:jc w:val="left"/>
              <w:rPr>
                <w:rFonts w:ascii="宋体" w:hAnsi="宋体" w:cs="宋体" w:eastAsia="宋体" w:hint="default"/>
                <w:sz w:val="18"/>
                <w:szCs w:val="18"/>
              </w:rPr>
            </w:pPr>
            <w:r>
              <w:rPr>
                <w:rFonts w:ascii="宋体" w:hAnsi="宋体" w:cs="宋体" w:eastAsia="宋体" w:hint="default"/>
                <w:sz w:val="18"/>
                <w:szCs w:val="18"/>
              </w:rPr>
              <w:t>· 对应收账款减值测试的内部控制的设计和运行有效性 进行测试；</w:t>
            </w: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422" w:right="99" w:hanging="360"/>
              <w:jc w:val="both"/>
              <w:rPr>
                <w:rFonts w:ascii="宋体" w:hAnsi="宋体" w:cs="宋体" w:eastAsia="宋体" w:hint="default"/>
                <w:sz w:val="18"/>
                <w:szCs w:val="18"/>
              </w:rPr>
            </w:pPr>
            <w:r>
              <w:rPr>
                <w:rFonts w:ascii="宋体" w:hAnsi="宋体" w:cs="宋体" w:eastAsia="宋体" w:hint="default"/>
                <w:sz w:val="18"/>
                <w:szCs w:val="18"/>
              </w:rPr>
              <w:t>· 针对单项金额重大的应收账款，我们执行的审计程序 主要包括：了解客户背景及信用评价，检查表明应收 账款发生减值的相关客观证据，了解并检查是否存在 客观证据表明应收账款价值已经恢复的情况，检查资 产负债表日至报告日是否收回款项；</w:t>
            </w: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422" w:right="99" w:hanging="360"/>
              <w:jc w:val="left"/>
              <w:rPr>
                <w:rFonts w:ascii="宋体" w:hAnsi="宋体" w:cs="宋体" w:eastAsia="宋体" w:hint="default"/>
                <w:sz w:val="18"/>
                <w:szCs w:val="18"/>
              </w:rPr>
            </w:pPr>
            <w:r>
              <w:rPr>
                <w:rFonts w:ascii="宋体" w:hAnsi="宋体" w:cs="宋体" w:eastAsia="宋体" w:hint="default"/>
                <w:sz w:val="18"/>
                <w:szCs w:val="18"/>
              </w:rPr>
              <w:t>· 针对单项金额不重大及在单项减值测试中没有客观证 据表明需要单独计提坏账准备的应收账款，我们执行 的审计程序包括：检查账龄划分的正确性；考虑行业 公司坏账计提水平以及通过检查各账龄段的历史还款 记录和坏账率，评价对于各账龄段坏账准备计提比率 的合理性；检查资产负债表日至报告日是否收回款 项；</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  复核财务报表附注中相关披露的充分性和完整性。</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4"/>
        <w:spacing w:line="240" w:lineRule="auto"/>
        <w:ind w:right="141"/>
        <w:jc w:val="left"/>
        <w:rPr>
          <w:b w:val="0"/>
          <w:bCs w:val="0"/>
        </w:rPr>
      </w:pPr>
      <w:r>
        <w:rPr/>
        <w:t>四、其他信息</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53"/>
        <w:ind w:right="141" w:firstLine="427"/>
        <w:jc w:val="left"/>
      </w:pPr>
      <w:r>
        <w:rPr/>
        <w:t>深圳华大基因股份有限公司管理层（以下简称管理层）对其他信息负责。其他信息包括年度报告中涵盖的信息，但不 包括财务报表和我们的审计报告。</w:t>
      </w:r>
    </w:p>
    <w:p>
      <w:pPr>
        <w:pStyle w:val="BodyText"/>
        <w:spacing w:line="316" w:lineRule="auto" w:before="19"/>
        <w:ind w:left="580" w:right="141"/>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319" w:lineRule="auto" w:before="19"/>
        <w:ind w:left="580" w:right="141" w:hanging="428"/>
        <w:jc w:val="left"/>
      </w:pPr>
      <w:r>
        <w:rPr/>
        <w:t>过程中了解到的情况存在重大不一致或者似乎存在重大错报。 基于我们已执行的工作，如果我们确定其他信息存在重大错报，我们应当报告该事实。在这方面，我们无任何事项需</w:t>
      </w:r>
    </w:p>
    <w:p>
      <w:pPr>
        <w:spacing w:line="636" w:lineRule="auto" w:before="17"/>
        <w:ind w:left="152" w:right="6702" w:firstLine="0"/>
        <w:jc w:val="left"/>
        <w:rPr>
          <w:rFonts w:ascii="宋体" w:hAnsi="宋体" w:cs="宋体" w:eastAsia="宋体" w:hint="default"/>
          <w:sz w:val="18"/>
          <w:szCs w:val="18"/>
        </w:rPr>
      </w:pPr>
      <w:r>
        <w:rPr>
          <w:rFonts w:ascii="宋体" w:hAnsi="宋体" w:cs="宋体" w:eastAsia="宋体" w:hint="default"/>
          <w:sz w:val="18"/>
          <w:szCs w:val="18"/>
        </w:rPr>
        <w:t>要报告。 </w:t>
      </w:r>
      <w:r>
        <w:rPr>
          <w:rFonts w:ascii="宋体" w:hAnsi="宋体" w:cs="宋体" w:eastAsia="宋体" w:hint="default"/>
          <w:b/>
          <w:bCs/>
          <w:sz w:val="18"/>
          <w:szCs w:val="18"/>
        </w:rPr>
        <w:t>五、管理层和治理层对财务报表的责任</w:t>
      </w:r>
      <w:r>
        <w:rPr>
          <w:rFonts w:ascii="宋体" w:hAnsi="宋体" w:cs="宋体" w:eastAsia="宋体" w:hint="default"/>
          <w:sz w:val="18"/>
          <w:szCs w:val="18"/>
        </w:rPr>
      </w:r>
    </w:p>
    <w:p>
      <w:pPr>
        <w:pStyle w:val="BodyText"/>
        <w:spacing w:line="316" w:lineRule="auto" w:before="91"/>
        <w:ind w:right="141" w:firstLine="427"/>
        <w:jc w:val="left"/>
      </w:pPr>
      <w:r>
        <w:rPr/>
        <w:t>管理层负责按照企业会计准则的规定编制财务报表，使其实现公允反映，并设计、执行和维护必要的内部控制，以使 财务报表不存在由于舞弊或错误导致的重大错报。</w:t>
      </w:r>
    </w:p>
    <w:p>
      <w:pPr>
        <w:pStyle w:val="BodyText"/>
        <w:spacing w:line="316" w:lineRule="auto" w:before="19"/>
        <w:ind w:right="141" w:firstLine="427"/>
        <w:jc w:val="left"/>
      </w:pPr>
      <w:r>
        <w:rPr/>
        <w:t>在编制财务报表时，管理层负责评估深圳华大基因股份有限公司的持续经营能力，披露与持续经营相关的事项（如适 用），并运用持续经营假设，除非计划进行清算、终止运营或别无其他现实的选择。</w:t>
      </w:r>
    </w:p>
    <w:p>
      <w:pPr>
        <w:spacing w:line="636" w:lineRule="auto" w:before="19"/>
        <w:ind w:left="152" w:right="4487" w:firstLine="427"/>
        <w:jc w:val="left"/>
        <w:rPr>
          <w:rFonts w:ascii="宋体" w:hAnsi="宋体" w:cs="宋体" w:eastAsia="宋体" w:hint="default"/>
          <w:sz w:val="18"/>
          <w:szCs w:val="18"/>
        </w:rPr>
      </w:pPr>
      <w:r>
        <w:rPr>
          <w:rFonts w:ascii="宋体" w:hAnsi="宋体" w:cs="宋体" w:eastAsia="宋体" w:hint="default"/>
          <w:sz w:val="18"/>
          <w:szCs w:val="18"/>
        </w:rPr>
        <w:t>治理层负责监督深圳华大基因股份有限公司的财务报告过程。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spacing w:after="0" w:line="636" w:lineRule="auto"/>
        <w:jc w:val="left"/>
        <w:rPr>
          <w:rFonts w:ascii="宋体" w:hAnsi="宋体" w:cs="宋体" w:eastAsia="宋体" w:hint="default"/>
          <w:sz w:val="18"/>
          <w:szCs w:val="18"/>
        </w:rPr>
        <w:sectPr>
          <w:pgSz w:w="11910" w:h="16840"/>
          <w:pgMar w:header="0" w:footer="974" w:top="1100" w:bottom="1160" w:left="980" w:right="980"/>
        </w:sectPr>
      </w:pPr>
    </w:p>
    <w:p>
      <w:pPr>
        <w:spacing w:line="240" w:lineRule="auto" w:before="0"/>
        <w:rPr>
          <w:rFonts w:ascii="宋体" w:hAnsi="宋体" w:cs="宋体" w:eastAsia="宋体" w:hint="default"/>
          <w:b/>
          <w:bCs/>
          <w:sz w:val="22"/>
          <w:szCs w:val="22"/>
        </w:rPr>
      </w:pPr>
    </w:p>
    <w:p>
      <w:pPr>
        <w:pStyle w:val="BodyText"/>
        <w:spacing w:line="316" w:lineRule="auto" w:before="44"/>
        <w:ind w:left="292" w:right="150" w:firstLine="425"/>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9"/>
        <w:ind w:left="653" w:right="234"/>
        <w:jc w:val="left"/>
      </w:pPr>
      <w:r>
        <w:rPr/>
        <w:t>在按照审计准则执行审计工作的过程中，我们运用职业判断，并保持职业怀疑。同时，我们也执行以下工作：</w:t>
      </w:r>
    </w:p>
    <w:p>
      <w:pPr>
        <w:pStyle w:val="BodyText"/>
        <w:spacing w:line="309" w:lineRule="auto" w:before="76"/>
        <w:ind w:left="292" w:right="234" w:firstLine="360"/>
        <w:jc w:val="left"/>
      </w:pPr>
      <w:r>
        <w:rPr/>
        <w:t>（</w:t>
      </w:r>
      <w:r>
        <w:rPr>
          <w:rFonts w:ascii="Times New Roman" w:hAnsi="Times New Roman" w:cs="Times New Roman" w:eastAsia="Times New Roman" w:hint="default"/>
        </w:rPr>
        <w:t>1</w:t>
      </w:r>
      <w:r>
        <w:rPr/>
        <w:t>）</w:t>
      </w:r>
      <w:r>
        <w:rPr>
          <w:spacing w:val="-62"/>
        </w:rPr>
        <w:t> </w:t>
      </w:r>
      <w:r>
        <w:rPr/>
        <w:t>识别和评估由于舞弊或错误导致的财务报表重大错报风险，设计和实施审计程序以应对这些风险，并获取充</w:t>
      </w:r>
      <w:r>
        <w:rPr/>
        <w:t> 分、适当的审计证据，作为发表审计意见的基础。由于舞弊可能涉及串通、伪造、故意遗漏、虚假陈述或凌驾于内部控制 之上，未能发现由于舞弊导致的重大错报的风险高于未能发现由于错误导致的重大错报的风险。</w:t>
      </w:r>
    </w:p>
    <w:p>
      <w:pPr>
        <w:pStyle w:val="BodyText"/>
        <w:spacing w:line="240" w:lineRule="auto" w:before="24"/>
        <w:ind w:left="653" w:right="234"/>
        <w:jc w:val="left"/>
      </w:pPr>
      <w:r>
        <w:rPr/>
        <w:t>（</w:t>
      </w:r>
      <w:r>
        <w:rPr>
          <w:rFonts w:ascii="Times New Roman" w:hAnsi="Times New Roman" w:cs="Times New Roman" w:eastAsia="Times New Roman" w:hint="default"/>
        </w:rPr>
        <w:t>2</w:t>
      </w:r>
      <w:r>
        <w:rPr/>
        <w:t>）</w:t>
      </w:r>
      <w:r>
        <w:rPr>
          <w:spacing w:val="-61"/>
        </w:rPr>
        <w:t> </w:t>
      </w:r>
      <w:r>
        <w:rPr/>
        <w:t>了解与审计相关的内部控制，以设计恰当的审计程序，但目的并非对内部控制的有效性发表意见。</w:t>
      </w:r>
    </w:p>
    <w:p>
      <w:pPr>
        <w:pStyle w:val="BodyText"/>
        <w:spacing w:line="300" w:lineRule="auto" w:before="63"/>
        <w:ind w:left="653" w:right="233"/>
        <w:jc w:val="left"/>
      </w:pPr>
      <w:r>
        <w:rPr/>
        <w:t>（</w:t>
      </w:r>
      <w:r>
        <w:rPr>
          <w:rFonts w:ascii="Times New Roman" w:hAnsi="Times New Roman" w:cs="Times New Roman" w:eastAsia="Times New Roman" w:hint="default"/>
        </w:rPr>
        <w:t>3</w:t>
      </w:r>
      <w:r>
        <w:rPr/>
        <w:t>）</w:t>
      </w:r>
      <w:r>
        <w:rPr>
          <w:spacing w:val="-62"/>
        </w:rPr>
        <w:t> </w:t>
      </w:r>
      <w:r>
        <w:rPr/>
        <w:t>评价管理层选用会计政策的恰当性和作出会计估计及相关披露的合理性。</w:t>
      </w:r>
      <w:r>
        <w:rPr/>
        <w:t> 在按照审计准则执行审计工作的过程中，我们运用职业判断，并保持职业怀疑。同时，我们也执行以下工作（续）：</w:t>
      </w:r>
    </w:p>
    <w:p>
      <w:pPr>
        <w:pStyle w:val="BodyText"/>
        <w:spacing w:line="314" w:lineRule="auto" w:before="32"/>
        <w:ind w:left="292" w:right="234" w:firstLine="360"/>
        <w:jc w:val="left"/>
      </w:pPr>
      <w:r>
        <w:rPr/>
        <w:t>（</w:t>
      </w:r>
      <w:r>
        <w:rPr>
          <w:rFonts w:ascii="Times New Roman" w:hAnsi="Times New Roman" w:cs="Times New Roman" w:eastAsia="Times New Roman" w:hint="default"/>
        </w:rPr>
        <w:t>4</w:t>
      </w:r>
      <w:r>
        <w:rPr/>
        <w:t>）</w:t>
      </w:r>
      <w:r>
        <w:rPr>
          <w:spacing w:val="-62"/>
        </w:rPr>
        <w:t> </w:t>
      </w:r>
      <w:r>
        <w:rPr/>
        <w:t>对管理层使用持续经营假设的恰当性得出结论。同时，根据获取的审计证据，就可能导致对深圳华大基因股份</w:t>
      </w:r>
      <w:r>
        <w:rPr/>
        <w:t> 有限公司持续经营能力产生重大疑虑的事项或情况是否存在重大不确定性得出结论。如果我们得出结论认为存在重大不确 定性，审计准则要求我们在审计报告中提请报表使用者注意财务报表中的相关披露；如果披露不充分，我们应当发表非无 保留意见。我们的结论基于截至审计报告日可获得的信息。然而，未来的事项或情况可能导致深圳华大基因股份有限公司 不能持续经营。</w:t>
      </w:r>
    </w:p>
    <w:p>
      <w:pPr>
        <w:pStyle w:val="BodyText"/>
        <w:spacing w:line="240" w:lineRule="auto" w:before="20"/>
        <w:ind w:left="653" w:right="234"/>
        <w:jc w:val="left"/>
      </w:pPr>
      <w:r>
        <w:rPr/>
        <w:t>（</w:t>
      </w:r>
      <w:r>
        <w:rPr>
          <w:rFonts w:ascii="Times New Roman" w:hAnsi="Times New Roman" w:cs="Times New Roman" w:eastAsia="Times New Roman" w:hint="default"/>
        </w:rPr>
        <w:t>5</w:t>
      </w:r>
      <w:r>
        <w:rPr/>
        <w:t>）</w:t>
      </w:r>
      <w:r>
        <w:rPr>
          <w:spacing w:val="-62"/>
        </w:rPr>
        <w:t> </w:t>
      </w:r>
      <w:r>
        <w:rPr/>
        <w:t>评价财务报表的总体列报、结构和内容（包括披露），并评价财务报表是否公允反映相关交易和事项。</w:t>
      </w:r>
    </w:p>
    <w:p>
      <w:pPr>
        <w:pStyle w:val="BodyText"/>
        <w:spacing w:line="300" w:lineRule="auto" w:before="63"/>
        <w:ind w:left="292" w:right="296" w:firstLine="360"/>
        <w:jc w:val="left"/>
      </w:pPr>
      <w:r>
        <w:rPr/>
        <w:t>（</w:t>
      </w:r>
      <w:r>
        <w:rPr>
          <w:rFonts w:ascii="Times New Roman" w:hAnsi="Times New Roman" w:cs="Times New Roman" w:eastAsia="Times New Roman" w:hint="default"/>
        </w:rPr>
        <w:t>6</w:t>
      </w:r>
      <w:r>
        <w:rPr/>
        <w:t>）</w:t>
      </w:r>
      <w:r>
        <w:rPr>
          <w:spacing w:val="-62"/>
        </w:rPr>
        <w:t> </w:t>
      </w:r>
      <w:r>
        <w:rPr/>
        <w:t>就深圳华大基因股份有限公司中实体或业务活动的财务信息获取充分、适当的审计证据，以对财务报表发表审</w:t>
      </w:r>
      <w:r>
        <w:rPr/>
        <w:t> 计意见。我们负责指导、监督和执行集团审计，并对审计意见承担全部责任。</w:t>
      </w:r>
    </w:p>
    <w:p>
      <w:pPr>
        <w:pStyle w:val="BodyText"/>
        <w:spacing w:line="316" w:lineRule="auto" w:before="31"/>
        <w:ind w:left="292" w:right="0" w:firstLine="360"/>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left="292" w:right="0" w:firstLine="360"/>
        <w:jc w:val="left"/>
      </w:pPr>
      <w:r>
        <w:rPr/>
        <w:t>我们还就已遵守与独立性相关的职业道德要求向治理层提供声明，并与治理层沟通可能被合理认为影响我们独立性的</w:t>
      </w:r>
      <w:r>
        <w:rPr>
          <w:spacing w:val="2"/>
        </w:rPr>
        <w:t> </w:t>
      </w:r>
      <w:r>
        <w:rPr/>
        <w:t>所有关系和其他事项，以及相关的防范措施（如适用）。</w:t>
      </w:r>
    </w:p>
    <w:p>
      <w:pPr>
        <w:pStyle w:val="BodyText"/>
        <w:spacing w:line="316" w:lineRule="auto" w:before="19"/>
        <w:ind w:left="292" w:right="15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4159"/>
        <w:gridCol w:w="4340"/>
      </w:tblGrid>
      <w:tr>
        <w:trPr>
          <w:trHeight w:val="1348" w:hRule="exact"/>
        </w:trPr>
        <w:tc>
          <w:tcPr>
            <w:tcW w:w="4159"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c>
          <w:tcPr>
            <w:tcW w:w="4340" w:type="dxa"/>
            <w:tcBorders>
              <w:top w:val="nil" w:sz="6" w:space="0" w:color="auto"/>
              <w:left w:val="nil" w:sz="6" w:space="0" w:color="auto"/>
              <w:bottom w:val="nil" w:sz="6" w:space="0" w:color="auto"/>
              <w:right w:val="nil" w:sz="6" w:space="0" w:color="auto"/>
            </w:tcBorders>
          </w:tcPr>
          <w:p>
            <w:pPr>
              <w:pStyle w:val="TableParagraph"/>
              <w:spacing w:line="180" w:lineRule="exact"/>
              <w:ind w:left="719" w:right="0"/>
              <w:jc w:val="left"/>
              <w:rPr>
                <w:rFonts w:ascii="宋体" w:hAnsi="宋体" w:cs="宋体" w:eastAsia="宋体" w:hint="default"/>
                <w:sz w:val="18"/>
                <w:szCs w:val="18"/>
              </w:rPr>
            </w:pPr>
            <w:r>
              <w:rPr>
                <w:rFonts w:ascii="宋体" w:hAnsi="宋体" w:cs="宋体" w:eastAsia="宋体" w:hint="default"/>
                <w:sz w:val="18"/>
                <w:szCs w:val="18"/>
              </w:rPr>
              <w:t>中国注册会计师： 李剑光</w:t>
            </w:r>
            <w:r>
              <w:rPr>
                <w:rFonts w:ascii="宋体" w:hAnsi="宋体" w:cs="宋体" w:eastAsia="宋体" w:hint="default"/>
                <w:spacing w:val="-1"/>
                <w:sz w:val="18"/>
                <w:szCs w:val="18"/>
              </w:rPr>
              <w:t> </w:t>
            </w:r>
            <w:r>
              <w:rPr>
                <w:rFonts w:ascii="宋体" w:hAnsi="宋体" w:cs="宋体" w:eastAsia="宋体" w:hint="default"/>
                <w:sz w:val="18"/>
                <w:szCs w:val="18"/>
              </w:rPr>
              <w:t>（项目合伙人）</w:t>
            </w:r>
          </w:p>
        </w:tc>
      </w:tr>
      <w:tr>
        <w:trPr>
          <w:trHeight w:val="2049" w:hRule="exact"/>
        </w:trPr>
        <w:tc>
          <w:tcPr>
            <w:tcW w:w="4159" w:type="dxa"/>
            <w:tcBorders>
              <w:top w:val="nil" w:sz="6" w:space="0" w:color="auto"/>
              <w:left w:val="nil" w:sz="6" w:space="0" w:color="auto"/>
              <w:bottom w:val="nil" w:sz="6" w:space="0" w:color="auto"/>
              <w:right w:val="nil" w:sz="6" w:space="0" w:color="auto"/>
            </w:tcBorders>
          </w:tcPr>
          <w:p>
            <w:pPr/>
          </w:p>
        </w:tc>
        <w:tc>
          <w:tcPr>
            <w:tcW w:w="43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719" w:right="0"/>
              <w:jc w:val="left"/>
              <w:rPr>
                <w:rFonts w:ascii="宋体" w:hAnsi="宋体" w:cs="宋体" w:eastAsia="宋体" w:hint="default"/>
                <w:sz w:val="18"/>
                <w:szCs w:val="18"/>
              </w:rPr>
            </w:pPr>
            <w:r>
              <w:rPr>
                <w:rFonts w:ascii="宋体" w:hAnsi="宋体" w:cs="宋体" w:eastAsia="宋体" w:hint="default"/>
                <w:sz w:val="18"/>
                <w:szCs w:val="18"/>
              </w:rPr>
              <w:t>中国注册会计师：</w:t>
            </w:r>
            <w:r>
              <w:rPr>
                <w:rFonts w:ascii="宋体" w:hAnsi="宋体" w:cs="宋体" w:eastAsia="宋体" w:hint="default"/>
                <w:spacing w:val="1"/>
                <w:sz w:val="18"/>
                <w:szCs w:val="18"/>
              </w:rPr>
              <w:t> </w:t>
            </w:r>
            <w:r>
              <w:rPr>
                <w:rFonts w:ascii="宋体" w:hAnsi="宋体" w:cs="宋体" w:eastAsia="宋体" w:hint="default"/>
                <w:sz w:val="18"/>
                <w:szCs w:val="18"/>
              </w:rPr>
              <w:t>邓冬梅</w:t>
            </w:r>
          </w:p>
        </w:tc>
      </w:tr>
      <w:tr>
        <w:trPr>
          <w:trHeight w:val="891" w:hRule="exact"/>
        </w:trPr>
        <w:tc>
          <w:tcPr>
            <w:tcW w:w="41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中国 </w:t>
            </w:r>
            <w:r>
              <w:rPr>
                <w:rFonts w:ascii="宋体" w:hAnsi="宋体" w:cs="宋体" w:eastAsia="宋体" w:hint="default"/>
                <w:spacing w:val="2"/>
                <w:sz w:val="18"/>
                <w:szCs w:val="18"/>
              </w:rPr>
              <w:t> </w:t>
            </w:r>
            <w:r>
              <w:rPr>
                <w:rFonts w:ascii="宋体" w:hAnsi="宋体" w:cs="宋体" w:eastAsia="宋体" w:hint="default"/>
                <w:sz w:val="18"/>
                <w:szCs w:val="18"/>
              </w:rPr>
              <w:t>北京</w:t>
            </w:r>
          </w:p>
        </w:tc>
        <w:tc>
          <w:tcPr>
            <w:tcW w:w="43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04  </w:t>
            </w:r>
            <w:r>
              <w:rPr>
                <w:rFonts w:ascii="宋体" w:hAnsi="宋体" w:cs="宋体" w:eastAsia="宋体" w:hint="default"/>
                <w:sz w:val="18"/>
                <w:szCs w:val="18"/>
              </w:rPr>
              <w:t>月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0" w:footer="974" w:top="1100" w:bottom="1160" w:left="84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2"/>
        <w:spacing w:line="240" w:lineRule="auto" w:before="26"/>
        <w:ind w:right="141"/>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1"/>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141"/>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74" w:top="1100" w:bottom="1160" w:left="980" w:right="980"/>
        </w:sectPr>
      </w:pPr>
    </w:p>
    <w:p>
      <w:pPr>
        <w:pStyle w:val="BodyText"/>
        <w:spacing w:line="240" w:lineRule="auto" w:before="44"/>
        <w:ind w:right="-20"/>
        <w:jc w:val="left"/>
      </w:pPr>
      <w:r>
        <w:rPr/>
        <w:t>编制单位：深圳华大基因股份有限公司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213" w:space="863"/>
            <w:col w:w="1642" w:space="3202"/>
            <w:col w:w="1030"/>
          </w:cols>
        </w:sectPr>
      </w:pP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946,644,902.62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748,643,124.48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16,542,777.00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811,563,548.75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612,286,270.17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47,410,365.24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30,154,027.55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14,869,394.16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11,766,395.88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138,582,155.50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73,594,057.59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1,856,459,579.61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1,725,897,627.85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3,832,072,722.88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3,202,341,503.52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206,391,334.95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86,489,269.00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2,240,346.27</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11,357,993.68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13,696,029.81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724,701,471.93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554,010,115.17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14,737,276.69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2,629,698.43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160,142,795.29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171,665,677.54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73,969,599.09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74,141,474.97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48,830,085.13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38,453,009.67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37,369,521.61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86,667,451.74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1,279,740,424.64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1,027,752,726.33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5,111,813,147.52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4,230,094,229.85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5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119,658,078.74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57,924,494.53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392,504,232.24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438,093,070.84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98,461,395.41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70,527,662.51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43,375,210.23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36,224,403.43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4,676,216.16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1,900,261.91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111,019,926.68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96,221,911.87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30,714,034.24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17,434,373.00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预计负债</w:t>
            </w:r>
            <w:r>
              <w:rPr>
                <w:rFonts w:ascii="Times New Roman" w:hAnsi="Times New Roman" w:cs="Times New Roman" w:eastAsia="Times New Roman" w:hint="default"/>
                <w:sz w:val="18"/>
                <w:szCs w:val="18"/>
              </w:rPr>
              <w:t>-</w:t>
            </w:r>
            <w:r>
              <w:rPr>
                <w:rFonts w:ascii="宋体" w:hAnsi="宋体" w:cs="宋体" w:eastAsia="宋体" w:hint="default"/>
                <w:sz w:val="18"/>
                <w:szCs w:val="18"/>
              </w:rPr>
              <w:t>流动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4,672,755.85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10,153,951.96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813,081,849.55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731,480,130.05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31,124,248.17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42,759,115.49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9,672,201.83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3,282,174.85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40,796,450.00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46,041,290.34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853,878,299.55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777,521,420.39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400,100,000.00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2,968,256,077.32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2,520,985,989.03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28,371,863.34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16,970,838.77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48,385,556.50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32,918,171.88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703,511,125.46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428,886,999.79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4,148,624,622.62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3,359,761,999.47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109,310,225.35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92,810,809.99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4,257,934,847.97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3,452,572,809.46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5,111,813,147.52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4,230,094,229.85</w:t>
            </w:r>
          </w:p>
        </w:tc>
      </w:tr>
    </w:tbl>
    <w:p>
      <w:pPr>
        <w:spacing w:line="240" w:lineRule="auto" w:before="2"/>
        <w:rPr>
          <w:rFonts w:ascii="Times New Roman" w:hAnsi="Times New Roman" w:cs="Times New Roman" w:eastAsia="Times New Roman" w:hint="default"/>
          <w:sz w:val="23"/>
          <w:szCs w:val="23"/>
        </w:rPr>
      </w:pPr>
    </w:p>
    <w:p>
      <w:pPr>
        <w:pStyle w:val="BodyText"/>
        <w:tabs>
          <w:tab w:pos="3334" w:val="left" w:leader="none"/>
          <w:tab w:pos="7566" w:val="left" w:leader="none"/>
        </w:tabs>
        <w:spacing w:line="240" w:lineRule="auto" w:before="44"/>
        <w:ind w:left="0" w:right="245"/>
        <w:jc w:val="right"/>
      </w:pPr>
      <w:r>
        <w:rPr/>
        <w:t>法定代表人：尹烨</w:t>
        <w:tab/>
      </w:r>
      <w:r>
        <w:rPr>
          <w:spacing w:val="-1"/>
        </w:rPr>
        <w:t>主管会计工作负责人：陈轶青</w:t>
        <w:tab/>
      </w:r>
      <w:r>
        <w:rPr/>
        <w:t>会计机构负责人：付恬娇</w:t>
      </w:r>
    </w:p>
    <w:p>
      <w:pPr>
        <w:spacing w:line="240" w:lineRule="auto" w:before="11"/>
        <w:rPr>
          <w:rFonts w:ascii="宋体" w:hAnsi="宋体" w:cs="宋体" w:eastAsia="宋体" w:hint="default"/>
          <w:sz w:val="26"/>
          <w:szCs w:val="26"/>
        </w:rPr>
      </w:pPr>
    </w:p>
    <w:p>
      <w:pPr>
        <w:pStyle w:val="Heading3"/>
        <w:spacing w:line="240" w:lineRule="auto"/>
        <w:ind w:right="141"/>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232,147,190.58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308,830,182.74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1,873,298.42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2,293,778.45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979,613,752.33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655,805,317.34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1,513,405,039.41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1,602,809,240.73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2,727,039,280.74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2,569,738,519.26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123,464,269.00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86,489,269.00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2,987,785,012.32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2,504,997,706.41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3,286,159.04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2,109,198.82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149,104,482.42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159,073,366.92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1,037,134.79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522,711.27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132,399.93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9,269.35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346,851.28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2,144,000.00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3,265,156,308.78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2,755,345,521.77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5,992,195,589.52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5,325,084,041.03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4,100,395.75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1,063,251.86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5,565,397.75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186,304.84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26,472,483.66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18,238,713.36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2,124,967.60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917,285.55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758,150,186.99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640,314,179.62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882,666.18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797,296,097.93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660,719,735.23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797,296,097.93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660,719,735.23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400,100,000.00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4,625,889,053.05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4,182,127,713.43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48,385,556.50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32,918,171.88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120,524,882.04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89,318,420.49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5,194,899,491.59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4,664,364,305.80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5,992,195,589.52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5,325,084,041.03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41"/>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080"/>
        <w:gridCol w:w="3212"/>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2,095,544,271.44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1,711,498,253.66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2,095,544,271.44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1,711,498,253.66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1,686,685,689.95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1,413,255,540.31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902,204,022.20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711,248,604.27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64"/>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6,953,055.13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7,335,860.56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401,861,236.69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327,611,549.12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327,807,331.08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338,140,068.30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3,018,972.04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-11,831,331.63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44,841,072.81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40,750,789.69</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66,342,432.57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84,100,327.27</w:t>
            </w: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164"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-2,311,774.45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-3,510,990.34</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178,626.58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-1,622,896.85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28,128,061.08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82"/>
              <w:jc w:val="right"/>
              <w:rPr>
                <w:rFonts w:ascii="宋体" w:hAnsi="宋体" w:cs="宋体" w:eastAsia="宋体" w:hint="default"/>
                <w:sz w:val="18"/>
                <w:szCs w:val="18"/>
              </w:rPr>
            </w:pPr>
            <w:r>
              <w:rPr>
                <w:rFonts w:ascii="宋体" w:hAnsi="宋体" w:cs="宋体" w:eastAsia="宋体" w:hint="default"/>
                <w:spacing w:val="-1"/>
                <w:sz w:val="18"/>
                <w:szCs w:val="18"/>
              </w:rPr>
              <w:t>三、营业利润（亏损以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503,507,701.72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380,720,143.77</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5,739,154.13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34,983,627.29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13,113,472.41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6,016,284.54</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85"/>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496,133,383.44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409,687,486.52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72,447,287.27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59,670,025.10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2"/>
              <w:jc w:val="right"/>
              <w:rPr>
                <w:rFonts w:ascii="宋体" w:hAnsi="宋体" w:cs="宋体" w:eastAsia="宋体" w:hint="default"/>
                <w:sz w:val="18"/>
                <w:szCs w:val="18"/>
              </w:rPr>
            </w:pPr>
            <w:r>
              <w:rPr>
                <w:rFonts w:ascii="宋体" w:hAnsi="宋体" w:cs="宋体" w:eastAsia="宋体" w:hint="default"/>
                <w:spacing w:val="-1"/>
                <w:sz w:val="18"/>
                <w:szCs w:val="18"/>
              </w:rPr>
              <w:t>五、净利润（净亏损以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423,686,096.17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350,017,461.42</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423,686,096.17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350,017,461.42</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398,091,510.29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332,690,944.77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25,594,585.88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17,326,516.65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12,586,566.14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9,982,288.86</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11,401,024.57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9,339,394.88</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212" w:type="dxa"/>
            <w:tcBorders>
              <w:top w:val="single" w:sz="4" w:space="0" w:color="000000"/>
              <w:left w:val="single" w:sz="12"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tcBorders>
              <w:top w:val="single" w:sz="4" w:space="0" w:color="000000"/>
              <w:left w:val="single" w:sz="12"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tcBorders>
              <w:top w:val="single" w:sz="4" w:space="0" w:color="000000"/>
              <w:left w:val="single" w:sz="12"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11,401,024.57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9,339,394.88</w:t>
            </w:r>
          </w:p>
        </w:tc>
      </w:tr>
      <w:tr>
        <w:trPr>
          <w:trHeight w:val="102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-23,874.36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30,799,621.89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2"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2" w:type="dxa"/>
            <w:tcBorders>
              <w:top w:val="single" w:sz="4" w:space="0" w:color="000000"/>
              <w:left w:val="single" w:sz="12"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-19,374,722.96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9,339,394.88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1,185,541.57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642,893.98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436,272,662.31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359,999,750.28</w:t>
            </w: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409,492,534.86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342,030,339.65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26,780,127.45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17,969,410.63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0.92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0.92</w:t>
            </w:r>
          </w:p>
        </w:tc>
      </w:tr>
    </w:tbl>
    <w:p>
      <w:pPr>
        <w:pStyle w:val="BodyText"/>
        <w:tabs>
          <w:tab w:pos="3487" w:val="left" w:leader="none"/>
          <w:tab w:pos="7718" w:val="left" w:leader="none"/>
        </w:tabs>
        <w:spacing w:line="590" w:lineRule="auto" w:before="51"/>
        <w:ind w:right="245"/>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法定代表人：尹烨</w:t>
        <w:tab/>
      </w:r>
      <w:r>
        <w:rPr>
          <w:spacing w:val="-1"/>
        </w:rPr>
        <w:t>主管会计工作负责人：陈轶青</w:t>
        <w:tab/>
      </w:r>
      <w:r>
        <w:rPr/>
        <w:t>会计机构负责人：付恬娇</w:t>
      </w:r>
    </w:p>
    <w:p>
      <w:pPr>
        <w:spacing w:after="0" w:line="590" w:lineRule="auto"/>
        <w:jc w:val="left"/>
        <w:sectPr>
          <w:pgSz w:w="11910" w:h="16840"/>
          <w:pgMar w:header="0" w:footer="974"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41"/>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181,937,977.37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126,435,580.67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1,259,524.57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1,374,437.25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1,214,954.04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717,399.45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56,728,809.85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35,151,041.81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132,053,172.15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127,124,659.42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-1,282,768.05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-396,948.46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-5,409.58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167,904,599.06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70,394,907.65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-1,074,033.71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-684,258.07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159,869,683.87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32,865,308.43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2,900,659.44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3,488,165.97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104,863.54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117,228.65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162,665,479.77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36,236,245.75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7,991,633.60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2,949,664.10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154,673,846.17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33,286,581.65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154,673,846.17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33,286,581.65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93" w:type="dxa"/>
        <w:tblLayout w:type="fixed"/>
        <w:tblCellMar>
          <w:top w:w="0" w:type="dxa"/>
          <w:left w:w="0" w:type="dxa"/>
          <w:bottom w:w="0" w:type="dxa"/>
          <w:right w:w="0" w:type="dxa"/>
        </w:tblCellMar>
        <w:tblLook w:val="01E0"/>
      </w:tblPr>
      <w:tblGrid>
        <w:gridCol w:w="2945"/>
        <w:gridCol w:w="3311"/>
        <w:gridCol w:w="3301"/>
      </w:tblGrid>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2" w:right="42"/>
              <w:jc w:val="left"/>
              <w:rPr>
                <w:rFonts w:ascii="宋体" w:hAnsi="宋体" w:cs="宋体" w:eastAsia="宋体" w:hint="default"/>
                <w:sz w:val="18"/>
                <w:szCs w:val="18"/>
              </w:rPr>
            </w:pPr>
            <w:r>
              <w:rPr>
                <w:rFonts w:ascii="宋体" w:hAnsi="宋体" w:cs="宋体" w:eastAsia="宋体" w:hint="default"/>
                <w:sz w:val="18"/>
                <w:szCs w:val="18"/>
              </w:rPr>
              <w:t>不能重分类进损益的其他综合收益中 享有的份额</w:t>
            </w:r>
          </w:p>
        </w:tc>
        <w:tc>
          <w:tcPr>
            <w:tcW w:w="3311"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154,673,846.17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33,286,581.65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0.09</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08" w:right="0"/>
              <w:jc w:val="left"/>
              <w:rPr>
                <w:rFonts w:ascii="Times New Roman" w:hAnsi="Times New Roman" w:cs="Times New Roman" w:eastAsia="Times New Roman" w:hint="default"/>
                <w:sz w:val="18"/>
                <w:szCs w:val="18"/>
              </w:rPr>
            </w:pPr>
            <w:r>
              <w:rPr>
                <w:rFonts w:ascii="Times New Roman"/>
                <w:sz w:val="18"/>
              </w:rPr>
              <w:t>1,907,808,430.00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09" w:right="0"/>
              <w:jc w:val="left"/>
              <w:rPr>
                <w:rFonts w:ascii="Times New Roman" w:hAnsi="Times New Roman" w:cs="Times New Roman" w:eastAsia="Times New Roman" w:hint="default"/>
                <w:sz w:val="18"/>
                <w:szCs w:val="18"/>
              </w:rPr>
            </w:pPr>
            <w:r>
              <w:rPr>
                <w:rFonts w:ascii="Times New Roman"/>
                <w:sz w:val="18"/>
              </w:rPr>
              <w:t>1,606,132,310.94</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20,198,176.58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27,931,703.41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1,928,006,606.58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1,634,064,014.35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761,643,607.16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591,314,867.03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504,575,259.89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408,113,220.77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141,722,902.22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122,684,040.20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293,493,989.33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277,878,262.18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1,701,435,758.60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1,399,990,390.18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226,570,847.98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234,073,624.17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57,242,937.15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76,407,362.91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2,455,031.86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40,261,745.17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5,711,192,883.74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4,507,591,566.67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5,770,890,852.75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4,624,260,674.75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291,329,745.86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246,006,834.88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84,327,711.92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86,917,840.00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5,788,000,000.00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4,213,232,000.00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6,163,657,457.78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4,546,156,674.88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-392,766,605.03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78,103,999.87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494,195,200.00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502,195,200.00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8,128,578.02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112,526,269.75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88,143,090.38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3,996,007.92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5,211,141.15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14,120,020.00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129,646,289.75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96,271,668.40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372,548,910.25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-93,271,668.40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-8,351,375.06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13,132,580.02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198,001,778.14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232,038,535.66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748,448,424.48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516,409,888.82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946,450,202.62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748,448,424.48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41"/>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58,032,594.90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106,254,871.40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191,500,358.97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214,185,372.07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249,532,953.87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320,440,243.47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4,485,193.45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5,211,805.94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95,454,801.17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69,405,482.59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13,157,848.58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33,416,956.08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315,609,103.85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196,178,679.25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428,706,947.05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304,212,923.86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-179,173,993.18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16,227,319.61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159,341,399.89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242,914,089.98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129,831.01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5,379,000,000.00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4,118,100,000.00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5,538,471,230.90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4,361,014,681.98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7,219,070.26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3,509,861.13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525,836,339.62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86,917,840.00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5,275,000,000.00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4,077,000,000.00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5,808,055,409.88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4,168,427,701.13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-269,584,178.98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192,586,980.85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494,195,200.00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494,195,200.00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82,800,000.00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14,120,020.00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122,120,020.00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82,800,000.00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372,075,180.00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-82,800,000.00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-76,682,992.16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126,014,300.46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308,830,182.74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182,815,882.28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232,147,190.58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308,830,182.74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
          <w:szCs w:val="2"/>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7418"/>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40" w:right="7418"/>
        <w:jc w:val="left"/>
      </w:pPr>
      <w:r>
        <w:rPr/>
        <w:t>本期金额</w:t>
      </w:r>
    </w:p>
    <w:p>
      <w:pPr>
        <w:pStyle w:val="BodyText"/>
        <w:spacing w:line="240" w:lineRule="auto" w:before="117"/>
        <w:ind w:left="0" w:right="137"/>
        <w:jc w:val="right"/>
      </w:pPr>
      <w:r>
        <w:rPr/>
        <w:t>单位：元</w:t>
      </w:r>
    </w:p>
    <w:p>
      <w:pPr>
        <w:spacing w:line="240" w:lineRule="auto" w:before="1"/>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2297"/>
        <w:gridCol w:w="1181"/>
        <w:gridCol w:w="437"/>
        <w:gridCol w:w="437"/>
        <w:gridCol w:w="338"/>
        <w:gridCol w:w="1315"/>
        <w:gridCol w:w="718"/>
        <w:gridCol w:w="1116"/>
        <w:gridCol w:w="538"/>
        <w:gridCol w:w="1092"/>
        <w:gridCol w:w="740"/>
        <w:gridCol w:w="1214"/>
        <w:gridCol w:w="1181"/>
        <w:gridCol w:w="1318"/>
      </w:tblGrid>
      <w:tr>
        <w:trPr>
          <w:trHeight w:val="402" w:hRule="exact"/>
        </w:trPr>
        <w:tc>
          <w:tcPr>
            <w:tcW w:w="22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62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297" w:type="dxa"/>
            <w:vMerge/>
            <w:tcBorders>
              <w:left w:val="single" w:sz="4" w:space="0" w:color="000000"/>
              <w:right w:val="single" w:sz="4" w:space="0" w:color="000000"/>
            </w:tcBorders>
            <w:shd w:val="clear" w:color="auto" w:fill="D2D2D2"/>
          </w:tcPr>
          <w:p>
            <w:pPr/>
          </w:p>
        </w:tc>
        <w:tc>
          <w:tcPr>
            <w:tcW w:w="912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297" w:type="dxa"/>
            <w:vMerge/>
            <w:tcBorders>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股本</w:t>
            </w:r>
          </w:p>
        </w:tc>
        <w:tc>
          <w:tcPr>
            <w:tcW w:w="121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172" w:right="84"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1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463" w:right="10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83" w:right="8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93" w:right="94"/>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713" w:hRule="exact"/>
        </w:trPr>
        <w:tc>
          <w:tcPr>
            <w:tcW w:w="2297"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4" w:right="31"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4" w:right="31"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4" w:right="72"/>
              <w:jc w:val="left"/>
              <w:rPr>
                <w:rFonts w:ascii="宋体" w:hAnsi="宋体" w:cs="宋体" w:eastAsia="宋体" w:hint="default"/>
                <w:sz w:val="18"/>
                <w:szCs w:val="18"/>
              </w:rPr>
            </w:pPr>
            <w:r>
              <w:rPr>
                <w:rFonts w:ascii="宋体" w:hAnsi="宋体" w:cs="宋体" w:eastAsia="宋体" w:hint="default"/>
                <w:sz w:val="18"/>
                <w:szCs w:val="18"/>
              </w:rPr>
              <w:t>其 他</w:t>
            </w:r>
          </w:p>
        </w:tc>
        <w:tc>
          <w:tcPr>
            <w:tcW w:w="1315" w:type="dxa"/>
            <w:vMerge/>
            <w:tcBorders>
              <w:left w:val="single" w:sz="4" w:space="0" w:color="000000"/>
              <w:bottom w:val="single" w:sz="4" w:space="0" w:color="000000"/>
              <w:right w:val="single" w:sz="4" w:space="0" w:color="000000"/>
            </w:tcBorders>
            <w:shd w:val="clear" w:color="auto" w:fill="D2D2D2"/>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1116" w:type="dxa"/>
            <w:vMerge/>
            <w:tcBorders>
              <w:left w:val="single" w:sz="4" w:space="0" w:color="000000"/>
              <w:bottom w:val="single" w:sz="4" w:space="0" w:color="000000"/>
              <w:right w:val="single" w:sz="4" w:space="0" w:color="000000"/>
            </w:tcBorders>
            <w:shd w:val="clear" w:color="auto" w:fill="D2D2D2"/>
          </w:tcPr>
          <w:p>
            <w:pPr/>
          </w:p>
        </w:tc>
        <w:tc>
          <w:tcPr>
            <w:tcW w:w="538"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740"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360,000,000.00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2,520,985,989.03</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16,970,838.77</w:t>
            </w: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32,918,171.88</w:t>
            </w: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428,886,999.79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92,810,809.99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3,452,572,809.46</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2,520,985,989.03</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16,970,838.77</w:t>
            </w: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32,918,171.88</w:t>
            </w: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428,886,999.79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92,810,809.99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3,452,572,809.46</w:t>
            </w:r>
          </w:p>
        </w:tc>
      </w:tr>
      <w:tr>
        <w:trPr>
          <w:trHeight w:val="715"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1" w:right="105"/>
              <w:jc w:val="left"/>
              <w:rPr>
                <w:rFonts w:ascii="宋体" w:hAnsi="宋体" w:cs="宋体" w:eastAsia="宋体" w:hint="default"/>
                <w:sz w:val="18"/>
                <w:szCs w:val="18"/>
              </w:rPr>
            </w:pPr>
            <w:r>
              <w:rPr>
                <w:rFonts w:ascii="宋体" w:hAnsi="宋体" w:cs="宋体" w:eastAsia="宋体" w:hint="default"/>
                <w:sz w:val="18"/>
                <w:szCs w:val="18"/>
              </w:rPr>
              <w:t>三、本期增减变动金额（减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40,100,000.00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447,270,088.29</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11,401,024.57</w:t>
            </w: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15,467,384.62</w:t>
            </w: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274,624,125.67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16,499,415.36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805,362,038.51</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11,401,024.57</w:t>
            </w: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398,091,510.29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26,780,127.45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436,272,662.31</w:t>
            </w:r>
          </w:p>
        </w:tc>
      </w:tr>
      <w:tr>
        <w:trPr>
          <w:trHeight w:val="716"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1" w:right="105"/>
              <w:jc w:val="left"/>
              <w:rPr>
                <w:rFonts w:ascii="宋体" w:hAnsi="宋体" w:cs="宋体" w:eastAsia="宋体" w:hint="default"/>
                <w:sz w:val="18"/>
                <w:szCs w:val="18"/>
              </w:rPr>
            </w:pPr>
            <w:r>
              <w:rPr>
                <w:rFonts w:ascii="宋体" w:hAnsi="宋体" w:cs="宋体" w:eastAsia="宋体" w:hint="default"/>
                <w:sz w:val="18"/>
                <w:szCs w:val="18"/>
              </w:rPr>
              <w:t>（二）所有者投入和减少资 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40,100,000.00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443,761,339.62</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483,861,339.62</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443,761,339.62</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483,861,339.62</w:t>
            </w:r>
          </w:p>
        </w:tc>
      </w:tr>
      <w:tr>
        <w:trPr>
          <w:trHeight w:val="715"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1"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 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2"/>
          <w:footerReference w:type="default" r:id="rId43"/>
          <w:pgSz w:w="16840" w:h="11910" w:orient="landscape"/>
          <w:pgMar w:header="870" w:footer="975" w:top="1060" w:bottom="1160" w:left="1300" w:right="1300"/>
          <w:pgNumType w:start="140"/>
        </w:sectPr>
      </w:pPr>
    </w:p>
    <w:p>
      <w:pPr>
        <w:spacing w:line="240" w:lineRule="auto" w:before="11"/>
        <w:rPr>
          <w:rFonts w:ascii="Times New Roman" w:hAnsi="Times New Roman" w:cs="Times New Roman" w:eastAsia="Times New Roman"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297"/>
        <w:gridCol w:w="1181"/>
        <w:gridCol w:w="437"/>
        <w:gridCol w:w="437"/>
        <w:gridCol w:w="338"/>
        <w:gridCol w:w="1315"/>
        <w:gridCol w:w="718"/>
        <w:gridCol w:w="1116"/>
        <w:gridCol w:w="538"/>
        <w:gridCol w:w="1092"/>
        <w:gridCol w:w="740"/>
        <w:gridCol w:w="1214"/>
        <w:gridCol w:w="1181"/>
        <w:gridCol w:w="1318"/>
      </w:tblGrid>
      <w:tr>
        <w:trPr>
          <w:trHeight w:val="377" w:hRule="exact"/>
        </w:trPr>
        <w:tc>
          <w:tcPr>
            <w:tcW w:w="229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181" w:type="dxa"/>
            <w:tcBorders>
              <w:top w:val="single" w:sz="15" w:space="0" w:color="000000"/>
              <w:left w:val="single" w:sz="4" w:space="0" w:color="000000"/>
              <w:bottom w:val="single" w:sz="4" w:space="0" w:color="000000"/>
              <w:right w:val="single" w:sz="4" w:space="0" w:color="000000"/>
            </w:tcBorders>
          </w:tcPr>
          <w:p>
            <w:pPr/>
          </w:p>
        </w:tc>
        <w:tc>
          <w:tcPr>
            <w:tcW w:w="437" w:type="dxa"/>
            <w:tcBorders>
              <w:top w:val="single" w:sz="15" w:space="0" w:color="000000"/>
              <w:left w:val="single" w:sz="4" w:space="0" w:color="000000"/>
              <w:bottom w:val="single" w:sz="4" w:space="0" w:color="000000"/>
              <w:right w:val="single" w:sz="4" w:space="0" w:color="000000"/>
            </w:tcBorders>
          </w:tcPr>
          <w:p>
            <w:pPr/>
          </w:p>
        </w:tc>
        <w:tc>
          <w:tcPr>
            <w:tcW w:w="437" w:type="dxa"/>
            <w:tcBorders>
              <w:top w:val="single" w:sz="15" w:space="0" w:color="000000"/>
              <w:left w:val="single" w:sz="4" w:space="0" w:color="000000"/>
              <w:bottom w:val="single" w:sz="4" w:space="0" w:color="000000"/>
              <w:right w:val="single" w:sz="4" w:space="0" w:color="000000"/>
            </w:tcBorders>
          </w:tcPr>
          <w:p>
            <w:pPr/>
          </w:p>
        </w:tc>
        <w:tc>
          <w:tcPr>
            <w:tcW w:w="338"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
        </w:tc>
        <w:tc>
          <w:tcPr>
            <w:tcW w:w="718" w:type="dxa"/>
            <w:tcBorders>
              <w:top w:val="single" w:sz="15" w:space="0" w:color="000000"/>
              <w:left w:val="single" w:sz="4" w:space="0" w:color="000000"/>
              <w:bottom w:val="single" w:sz="4" w:space="0" w:color="000000"/>
              <w:right w:val="single" w:sz="4" w:space="0" w:color="000000"/>
            </w:tcBorders>
          </w:tcPr>
          <w:p>
            <w:pPr/>
          </w:p>
        </w:tc>
        <w:tc>
          <w:tcPr>
            <w:tcW w:w="1116" w:type="dxa"/>
            <w:tcBorders>
              <w:top w:val="single" w:sz="15" w:space="0" w:color="000000"/>
              <w:left w:val="single" w:sz="4" w:space="0" w:color="000000"/>
              <w:bottom w:val="single" w:sz="4" w:space="0" w:color="000000"/>
              <w:right w:val="single" w:sz="4" w:space="0" w:color="000000"/>
            </w:tcBorders>
          </w:tcPr>
          <w:p>
            <w:pPr/>
          </w:p>
        </w:tc>
        <w:tc>
          <w:tcPr>
            <w:tcW w:w="538"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740" w:type="dxa"/>
            <w:tcBorders>
              <w:top w:val="single" w:sz="15" w:space="0" w:color="000000"/>
              <w:left w:val="single" w:sz="4" w:space="0" w:color="000000"/>
              <w:bottom w:val="single" w:sz="4" w:space="0" w:color="000000"/>
              <w:right w:val="single" w:sz="4" w:space="0" w:color="000000"/>
            </w:tcBorders>
          </w:tcPr>
          <w:p>
            <w:pPr/>
          </w:p>
        </w:tc>
        <w:tc>
          <w:tcPr>
            <w:tcW w:w="1214"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15,467,384.62</w:t>
            </w: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57" w:right="19" w:firstLine="106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123,467,384.62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-6,771,963.42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-114,771,963.42</w:t>
            </w: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15,467,384.62</w:t>
            </w: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-15,467,384.62</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 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57" w:right="19" w:firstLine="106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108,000,000.00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-6,771,963.42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-114,771,963.42</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3,508,748.67</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-3,508,748.67</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 w:right="0"/>
              <w:jc w:val="left"/>
              <w:rPr>
                <w:rFonts w:ascii="Times New Roman" w:hAnsi="Times New Roman" w:cs="Times New Roman" w:eastAsia="Times New Roman" w:hint="default"/>
                <w:sz w:val="18"/>
                <w:szCs w:val="18"/>
              </w:rPr>
            </w:pPr>
            <w:r>
              <w:rPr>
                <w:rFonts w:ascii="Times New Roman"/>
                <w:sz w:val="18"/>
              </w:rPr>
              <w:t>400,100,000.00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2,968,256,077.32</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 w:right="0"/>
              <w:jc w:val="left"/>
              <w:rPr>
                <w:rFonts w:ascii="Times New Roman" w:hAnsi="Times New Roman" w:cs="Times New Roman" w:eastAsia="Times New Roman" w:hint="default"/>
                <w:sz w:val="18"/>
                <w:szCs w:val="18"/>
              </w:rPr>
            </w:pPr>
            <w:r>
              <w:rPr>
                <w:rFonts w:ascii="Times New Roman"/>
                <w:sz w:val="18"/>
              </w:rPr>
              <w:t>28,371,863.34</w:t>
            </w: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48,385,556.50</w:t>
            </w:r>
          </w:p>
        </w:tc>
        <w:tc>
          <w:tcPr>
            <w:tcW w:w="74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703,511,125.46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109,310,225.35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4,257,934,847.97</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70" w:footer="975" w:top="1060" w:bottom="1160" w:left="1360" w:right="1320"/>
        </w:sectPr>
      </w:pPr>
    </w:p>
    <w:p>
      <w:pPr>
        <w:spacing w:line="240" w:lineRule="auto" w:before="11"/>
        <w:rPr>
          <w:rFonts w:ascii="Times New Roman" w:hAnsi="Times New Roman" w:cs="Times New Roman" w:eastAsia="Times New Roman" w:hint="default"/>
          <w:sz w:val="2"/>
          <w:szCs w:val="2"/>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44"/>
        <w:ind w:left="140" w:right="7418"/>
        <w:jc w:val="left"/>
      </w:pPr>
      <w:r>
        <w:rPr/>
        <w:t>上期金额</w:t>
      </w:r>
    </w:p>
    <w:p>
      <w:pPr>
        <w:pStyle w:val="BodyText"/>
        <w:spacing w:line="240" w:lineRule="auto" w:before="115"/>
        <w:ind w:left="0" w:right="137"/>
        <w:jc w:val="right"/>
      </w:pPr>
      <w:r>
        <w:rPr/>
        <w:t>单位：元</w:t>
      </w:r>
    </w:p>
    <w:p>
      <w:pPr>
        <w:spacing w:line="240" w:lineRule="auto" w:before="2"/>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2184"/>
        <w:gridCol w:w="1183"/>
        <w:gridCol w:w="488"/>
        <w:gridCol w:w="490"/>
        <w:gridCol w:w="394"/>
        <w:gridCol w:w="1315"/>
        <w:gridCol w:w="699"/>
        <w:gridCol w:w="1114"/>
        <w:gridCol w:w="583"/>
        <w:gridCol w:w="1090"/>
        <w:gridCol w:w="771"/>
        <w:gridCol w:w="1181"/>
        <w:gridCol w:w="1114"/>
        <w:gridCol w:w="1318"/>
      </w:tblGrid>
      <w:tr>
        <w:trPr>
          <w:trHeight w:val="403" w:hRule="exact"/>
        </w:trPr>
        <w:tc>
          <w:tcPr>
            <w:tcW w:w="2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2184" w:type="dxa"/>
            <w:vMerge/>
            <w:tcBorders>
              <w:left w:val="single" w:sz="4" w:space="0" w:color="000000"/>
              <w:right w:val="single" w:sz="4" w:space="0" w:color="000000"/>
            </w:tcBorders>
            <w:shd w:val="clear" w:color="auto" w:fill="D2D2D2"/>
          </w:tcPr>
          <w:p>
            <w:pPr/>
          </w:p>
        </w:tc>
        <w:tc>
          <w:tcPr>
            <w:tcW w:w="930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9" w:lineRule="auto"/>
              <w:ind w:left="463" w:right="98"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3" w:hRule="exact"/>
        </w:trPr>
        <w:tc>
          <w:tcPr>
            <w:tcW w:w="2184" w:type="dxa"/>
            <w:vMerge/>
            <w:tcBorders>
              <w:left w:val="single" w:sz="4" w:space="0" w:color="000000"/>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65" w:right="72"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1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463" w:right="98"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05" w:right="10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10" w:right="110"/>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14"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713" w:hRule="exact"/>
        </w:trPr>
        <w:tc>
          <w:tcPr>
            <w:tcW w:w="2184"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46" w:right="5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48" w:right="59"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00" w:right="101"/>
              <w:jc w:val="left"/>
              <w:rPr>
                <w:rFonts w:ascii="宋体" w:hAnsi="宋体" w:cs="宋体" w:eastAsia="宋体" w:hint="default"/>
                <w:sz w:val="18"/>
                <w:szCs w:val="18"/>
              </w:rPr>
            </w:pPr>
            <w:r>
              <w:rPr>
                <w:rFonts w:ascii="宋体" w:hAnsi="宋体" w:cs="宋体" w:eastAsia="宋体" w:hint="default"/>
                <w:sz w:val="18"/>
                <w:szCs w:val="18"/>
              </w:rPr>
              <w:t>其 他</w:t>
            </w:r>
          </w:p>
        </w:tc>
        <w:tc>
          <w:tcPr>
            <w:tcW w:w="1315" w:type="dxa"/>
            <w:vMerge/>
            <w:tcBorders>
              <w:left w:val="single" w:sz="4" w:space="0" w:color="000000"/>
              <w:bottom w:val="single" w:sz="4" w:space="0" w:color="000000"/>
              <w:right w:val="single" w:sz="4" w:space="0" w:color="000000"/>
            </w:tcBorders>
            <w:shd w:val="clear" w:color="auto" w:fill="D2D2D2"/>
          </w:tcPr>
          <w:p>
            <w:pPr/>
          </w:p>
        </w:tc>
        <w:tc>
          <w:tcPr>
            <w:tcW w:w="699" w:type="dxa"/>
            <w:vMerge/>
            <w:tcBorders>
              <w:left w:val="single" w:sz="4" w:space="0" w:color="000000"/>
              <w:bottom w:val="single" w:sz="4" w:space="0" w:color="000000"/>
              <w:right w:val="single" w:sz="4" w:space="0" w:color="000000"/>
            </w:tcBorders>
            <w:shd w:val="clear" w:color="auto" w:fill="D2D2D2"/>
          </w:tcPr>
          <w:p>
            <w:pPr/>
          </w:p>
        </w:tc>
        <w:tc>
          <w:tcPr>
            <w:tcW w:w="111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77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14"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360,000,000.00</w:t>
            </w: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2,515,472,101.87</w:t>
            </w: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7,631,443.89</w:t>
            </w: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29,589,513.71</w:t>
            </w: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182,324,713.19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74,469,490.64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3,169,487,263.30</w:t>
            </w:r>
          </w:p>
        </w:tc>
      </w:tr>
      <w:tr>
        <w:trPr>
          <w:trHeight w:val="401"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8"/>
              <w:jc w:val="center"/>
              <w:rPr>
                <w:rFonts w:ascii="宋体" w:hAnsi="宋体" w:cs="宋体" w:eastAsia="宋体" w:hint="default"/>
                <w:sz w:val="18"/>
                <w:szCs w:val="18"/>
              </w:rPr>
            </w:pP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360,000,000.00</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 w:right="0"/>
              <w:jc w:val="left"/>
              <w:rPr>
                <w:rFonts w:ascii="Times New Roman" w:hAnsi="Times New Roman" w:cs="Times New Roman" w:eastAsia="Times New Roman" w:hint="default"/>
                <w:sz w:val="18"/>
                <w:szCs w:val="18"/>
              </w:rPr>
            </w:pPr>
            <w:r>
              <w:rPr>
                <w:rFonts w:ascii="Times New Roman"/>
                <w:sz w:val="18"/>
              </w:rPr>
              <w:t>0.00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Times New Roman" w:hAnsi="Times New Roman" w:cs="Times New Roman" w:eastAsia="Times New Roman" w:hint="default"/>
                <w:sz w:val="18"/>
                <w:szCs w:val="18"/>
              </w:rPr>
            </w:pPr>
            <w:r>
              <w:rPr>
                <w:rFonts w:ascii="Times New Roman"/>
                <w:sz w:val="18"/>
              </w:rPr>
              <w:t>0.00</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2,515,472,101.87</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2" w:right="0"/>
              <w:jc w:val="left"/>
              <w:rPr>
                <w:rFonts w:ascii="Times New Roman" w:hAnsi="Times New Roman" w:cs="Times New Roman" w:eastAsia="Times New Roman" w:hint="default"/>
                <w:sz w:val="18"/>
                <w:szCs w:val="18"/>
              </w:rPr>
            </w:pPr>
            <w:r>
              <w:rPr>
                <w:rFonts w:ascii="Times New Roman"/>
                <w:sz w:val="18"/>
              </w:rPr>
              <w:t>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7,631,443.89</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5"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29,589,513.71</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3" w:right="0"/>
              <w:jc w:val="lef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182,324,713.19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74,469,490.64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3,169,487,263.30</w:t>
            </w:r>
          </w:p>
        </w:tc>
      </w:tr>
      <w:tr>
        <w:trPr>
          <w:trHeight w:val="715"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5,513,887.16</w:t>
            </w: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9,339,394.88</w:t>
            </w: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3,328,658.17</w:t>
            </w: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246,562,286.60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18,341,319.35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283,085,546.16</w:t>
            </w:r>
          </w:p>
        </w:tc>
      </w:tr>
      <w:tr>
        <w:trPr>
          <w:trHeight w:val="401"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9,339,394.88</w:t>
            </w: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332,690,944.77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17,969,410.63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359,999,750.28</w:t>
            </w:r>
          </w:p>
        </w:tc>
      </w:tr>
      <w:tr>
        <w:trPr>
          <w:trHeight w:val="716"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171"/>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 入资本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0" w:footer="975" w:top="1060" w:bottom="1160" w:left="1300" w:right="1300"/>
        </w:sectPr>
      </w:pPr>
    </w:p>
    <w:p>
      <w:pPr>
        <w:spacing w:line="240" w:lineRule="auto" w:before="8"/>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184"/>
        <w:gridCol w:w="1183"/>
        <w:gridCol w:w="488"/>
        <w:gridCol w:w="490"/>
        <w:gridCol w:w="394"/>
        <w:gridCol w:w="1315"/>
        <w:gridCol w:w="699"/>
        <w:gridCol w:w="1114"/>
        <w:gridCol w:w="583"/>
        <w:gridCol w:w="1090"/>
        <w:gridCol w:w="771"/>
        <w:gridCol w:w="1181"/>
        <w:gridCol w:w="1114"/>
        <w:gridCol w:w="1318"/>
      </w:tblGrid>
      <w:tr>
        <w:trPr>
          <w:trHeight w:val="377" w:hRule="exact"/>
        </w:trPr>
        <w:tc>
          <w:tcPr>
            <w:tcW w:w="218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183" w:type="dxa"/>
            <w:tcBorders>
              <w:top w:val="single" w:sz="15" w:space="0" w:color="000000"/>
              <w:left w:val="single" w:sz="4" w:space="0" w:color="000000"/>
              <w:bottom w:val="single" w:sz="4" w:space="0" w:color="000000"/>
              <w:right w:val="single" w:sz="4" w:space="0" w:color="000000"/>
            </w:tcBorders>
          </w:tcPr>
          <w:p>
            <w:pPr/>
          </w:p>
        </w:tc>
        <w:tc>
          <w:tcPr>
            <w:tcW w:w="488" w:type="dxa"/>
            <w:tcBorders>
              <w:top w:val="single" w:sz="15" w:space="0" w:color="000000"/>
              <w:left w:val="single" w:sz="4" w:space="0" w:color="000000"/>
              <w:bottom w:val="single" w:sz="4" w:space="0" w:color="000000"/>
              <w:right w:val="single" w:sz="4" w:space="0" w:color="000000"/>
            </w:tcBorders>
          </w:tcPr>
          <w:p>
            <w:pPr/>
          </w:p>
        </w:tc>
        <w:tc>
          <w:tcPr>
            <w:tcW w:w="490" w:type="dxa"/>
            <w:tcBorders>
              <w:top w:val="single" w:sz="15" w:space="0" w:color="000000"/>
              <w:left w:val="single" w:sz="4" w:space="0" w:color="000000"/>
              <w:bottom w:val="single" w:sz="4" w:space="0" w:color="000000"/>
              <w:right w:val="single" w:sz="4" w:space="0" w:color="000000"/>
            </w:tcBorders>
          </w:tcPr>
          <w:p>
            <w:pPr/>
          </w:p>
        </w:tc>
        <w:tc>
          <w:tcPr>
            <w:tcW w:w="394"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
        </w:tc>
        <w:tc>
          <w:tcPr>
            <w:tcW w:w="699" w:type="dxa"/>
            <w:tcBorders>
              <w:top w:val="single" w:sz="15" w:space="0" w:color="000000"/>
              <w:left w:val="single" w:sz="4" w:space="0" w:color="000000"/>
              <w:bottom w:val="single" w:sz="4" w:space="0" w:color="000000"/>
              <w:right w:val="single" w:sz="4" w:space="0" w:color="000000"/>
            </w:tcBorders>
          </w:tcPr>
          <w:p>
            <w:pPr/>
          </w:p>
        </w:tc>
        <w:tc>
          <w:tcPr>
            <w:tcW w:w="1114" w:type="dxa"/>
            <w:tcBorders>
              <w:top w:val="single" w:sz="15" w:space="0" w:color="000000"/>
              <w:left w:val="single" w:sz="4" w:space="0" w:color="000000"/>
              <w:bottom w:val="single" w:sz="4" w:space="0" w:color="000000"/>
              <w:right w:val="single" w:sz="4" w:space="0" w:color="000000"/>
            </w:tcBorders>
          </w:tcPr>
          <w:p>
            <w:pPr/>
          </w:p>
        </w:tc>
        <w:tc>
          <w:tcPr>
            <w:tcW w:w="583"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77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14"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3,328,658.17</w:t>
            </w: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-86,128,658.17</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-82,800,000.00</w:t>
            </w:r>
          </w:p>
        </w:tc>
      </w:tr>
      <w:tr>
        <w:trPr>
          <w:trHeight w:val="403"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3,328,658.17</w:t>
            </w: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-3,328,658.17</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 分配</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-82,800,000.00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-82,800,000.00</w:t>
            </w:r>
          </w:p>
        </w:tc>
      </w:tr>
      <w:tr>
        <w:trPr>
          <w:trHeight w:val="401"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 w:right="171"/>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5,513,887.16</w:t>
            </w: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371,908.72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5,885,795.88</w:t>
            </w:r>
          </w:p>
        </w:tc>
      </w:tr>
      <w:tr>
        <w:trPr>
          <w:trHeight w:val="401"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360,000,000.00</w:t>
            </w:r>
          </w:p>
        </w:tc>
        <w:tc>
          <w:tcPr>
            <w:tcW w:w="48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2,520,985,989.03</w:t>
            </w:r>
          </w:p>
        </w:tc>
        <w:tc>
          <w:tcPr>
            <w:tcW w:w="69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7" w:right="0"/>
              <w:jc w:val="left"/>
              <w:rPr>
                <w:rFonts w:ascii="Times New Roman" w:hAnsi="Times New Roman" w:cs="Times New Roman" w:eastAsia="Times New Roman" w:hint="default"/>
                <w:sz w:val="18"/>
                <w:szCs w:val="18"/>
              </w:rPr>
            </w:pPr>
            <w:r>
              <w:rPr>
                <w:rFonts w:ascii="Times New Roman"/>
                <w:sz w:val="18"/>
              </w:rPr>
              <w:t>16,970,838.77</w:t>
            </w:r>
          </w:p>
        </w:tc>
        <w:tc>
          <w:tcPr>
            <w:tcW w:w="5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32,918,171.88</w:t>
            </w:r>
          </w:p>
        </w:tc>
        <w:tc>
          <w:tcPr>
            <w:tcW w:w="7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428,886,999.79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92,810,809.99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3,452,572,809.46</w:t>
            </w:r>
          </w:p>
        </w:tc>
      </w:tr>
    </w:tbl>
    <w:p>
      <w:pPr>
        <w:spacing w:line="240" w:lineRule="auto" w:before="3"/>
        <w:rPr>
          <w:rFonts w:ascii="宋体" w:hAnsi="宋体" w:cs="宋体" w:eastAsia="宋体" w:hint="default"/>
          <w:sz w:val="19"/>
          <w:szCs w:val="19"/>
        </w:rPr>
      </w:pPr>
    </w:p>
    <w:p>
      <w:pPr>
        <w:pStyle w:val="Heading3"/>
        <w:spacing w:line="240" w:lineRule="auto" w:before="36"/>
        <w:ind w:left="10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after="0" w:line="240" w:lineRule="auto"/>
        <w:jc w:val="left"/>
        <w:sectPr>
          <w:pgSz w:w="16840" w:h="11910" w:orient="landscape"/>
          <w:pgMar w:header="870" w:footer="975" w:top="1060" w:bottom="1160" w:left="1340" w:right="1320"/>
        </w:sectPr>
      </w:pPr>
    </w:p>
    <w:p>
      <w:pPr>
        <w:spacing w:line="240" w:lineRule="auto" w:before="8"/>
        <w:rPr>
          <w:rFonts w:ascii="宋体" w:hAnsi="宋体" w:cs="宋体" w:eastAsia="宋体" w:hint="default"/>
          <w:b/>
          <w:bCs/>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pStyle w:val="BodyText"/>
        <w:spacing w:line="240" w:lineRule="auto" w:before="44"/>
        <w:ind w:left="140" w:right="7418"/>
        <w:jc w:val="left"/>
      </w:pPr>
      <w:r>
        <w:rPr/>
        <w:t>本期金额</w:t>
      </w:r>
    </w:p>
    <w:p>
      <w:pPr>
        <w:pStyle w:val="BodyText"/>
        <w:spacing w:line="240" w:lineRule="auto" w:before="117"/>
        <w:ind w:left="0" w:right="137"/>
        <w:jc w:val="right"/>
      </w:pPr>
      <w:r>
        <w:rPr/>
        <w:t>单位：元</w:t>
      </w:r>
    </w:p>
    <w:p>
      <w:pPr>
        <w:spacing w:line="240" w:lineRule="auto" w:before="1"/>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3464"/>
        <w:gridCol w:w="1181"/>
        <w:gridCol w:w="576"/>
        <w:gridCol w:w="576"/>
        <w:gridCol w:w="406"/>
        <w:gridCol w:w="1316"/>
        <w:gridCol w:w="926"/>
        <w:gridCol w:w="1085"/>
        <w:gridCol w:w="747"/>
        <w:gridCol w:w="1092"/>
        <w:gridCol w:w="1236"/>
        <w:gridCol w:w="1318"/>
      </w:tblGrid>
      <w:tr>
        <w:trPr>
          <w:trHeight w:val="402" w:hRule="exact"/>
        </w:trPr>
        <w:tc>
          <w:tcPr>
            <w:tcW w:w="3464" w:type="dxa"/>
            <w:vMerge w:val="restart"/>
            <w:tcBorders>
              <w:top w:val="single" w:sz="4" w:space="0" w:color="000000"/>
              <w:left w:val="single" w:sz="4" w:space="0" w:color="000000"/>
              <w:right w:val="single" w:sz="4" w:space="0" w:color="000000"/>
            </w:tcBorders>
            <w:shd w:val="clear" w:color="auto" w:fill="D2D2D2"/>
          </w:tcPr>
          <w:p>
            <w:pPr/>
          </w:p>
        </w:tc>
        <w:tc>
          <w:tcPr>
            <w:tcW w:w="1045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61" w:hRule="exact"/>
        </w:trPr>
        <w:tc>
          <w:tcPr>
            <w:tcW w:w="3464"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5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369" w:right="96"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448" w:right="84"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1" w:hRule="exact"/>
        </w:trPr>
        <w:tc>
          <w:tcPr>
            <w:tcW w:w="34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1" w:type="dxa"/>
            <w:vMerge/>
            <w:tcBorders>
              <w:left w:val="single" w:sz="4" w:space="0" w:color="000000"/>
              <w:right w:val="single" w:sz="4" w:space="0" w:color="000000"/>
            </w:tcBorders>
            <w:shd w:val="clear" w:color="auto" w:fill="D2D2D2"/>
          </w:tcPr>
          <w:p>
            <w:pPr/>
          </w:p>
        </w:tc>
        <w:tc>
          <w:tcPr>
            <w:tcW w:w="1558" w:type="dxa"/>
            <w:gridSpan w:val="3"/>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c>
          <w:tcPr>
            <w:tcW w:w="1085" w:type="dxa"/>
            <w:vMerge/>
            <w:tcBorders>
              <w:left w:val="single" w:sz="4" w:space="0" w:color="000000"/>
              <w:right w:val="single" w:sz="4" w:space="0" w:color="000000"/>
            </w:tcBorders>
            <w:shd w:val="clear" w:color="auto" w:fill="D2D2D2"/>
          </w:tcPr>
          <w:p>
            <w:pPr/>
          </w:p>
        </w:tc>
        <w:tc>
          <w:tcPr>
            <w:tcW w:w="747"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1236"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50" w:hRule="exact"/>
        </w:trPr>
        <w:tc>
          <w:tcPr>
            <w:tcW w:w="3464"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191" w:right="101"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191" w:right="103"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0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105" w:right="108"/>
              <w:jc w:val="left"/>
              <w:rPr>
                <w:rFonts w:ascii="宋体" w:hAnsi="宋体" w:cs="宋体" w:eastAsia="宋体" w:hint="default"/>
                <w:sz w:val="18"/>
                <w:szCs w:val="18"/>
              </w:rPr>
            </w:pPr>
            <w:r>
              <w:rPr>
                <w:rFonts w:ascii="宋体" w:hAnsi="宋体" w:cs="宋体" w:eastAsia="宋体" w:hint="default"/>
                <w:sz w:val="18"/>
                <w:szCs w:val="18"/>
              </w:rPr>
              <w:t>其 他</w:t>
            </w:r>
          </w:p>
        </w:tc>
        <w:tc>
          <w:tcPr>
            <w:tcW w:w="1316" w:type="dxa"/>
            <w:vMerge/>
            <w:tcBorders>
              <w:left w:val="single" w:sz="4" w:space="0" w:color="000000"/>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c>
          <w:tcPr>
            <w:tcW w:w="1085" w:type="dxa"/>
            <w:vMerge/>
            <w:tcBorders>
              <w:left w:val="single" w:sz="4" w:space="0" w:color="000000"/>
              <w:right w:val="single" w:sz="4" w:space="0" w:color="000000"/>
            </w:tcBorders>
            <w:shd w:val="clear" w:color="auto" w:fill="D2D2D2"/>
          </w:tcPr>
          <w:p>
            <w:pPr/>
          </w:p>
        </w:tc>
        <w:tc>
          <w:tcPr>
            <w:tcW w:w="747"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1236"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564" w:hRule="exact"/>
        </w:trPr>
        <w:tc>
          <w:tcPr>
            <w:tcW w:w="34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406"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747"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236"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360,000,000.00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4,182,127,713.43</w:t>
            </w: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32,918,171.88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89,318,420.49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4,664,364,305.80</w:t>
            </w: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360,000,000.00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4,182,127,713.43</w:t>
            </w: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32,918,171.88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89,318,420.49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4,664,364,305.80</w:t>
            </w:r>
          </w:p>
        </w:tc>
      </w:tr>
      <w:tr>
        <w:trPr>
          <w:trHeight w:val="715"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1" w:right="212"/>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40,100,000.00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443,761,339.62</w:t>
            </w: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15,467,384.62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31,206,461.55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530,535,185.79</w:t>
            </w: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154,673,846.17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154,673,846.17</w:t>
            </w: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 w:right="0"/>
              <w:jc w:val="center"/>
              <w:rPr>
                <w:rFonts w:ascii="Times New Roman" w:hAnsi="Times New Roman" w:cs="Times New Roman" w:eastAsia="Times New Roman" w:hint="default"/>
                <w:sz w:val="18"/>
                <w:szCs w:val="18"/>
              </w:rPr>
            </w:pPr>
            <w:r>
              <w:rPr>
                <w:rFonts w:ascii="Times New Roman"/>
                <w:sz w:val="18"/>
              </w:rPr>
              <w:t>40,100,000.00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443,761,339.62</w:t>
            </w: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483,861,339.62</w:t>
            </w: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40,100,000.00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443,761,339.62</w:t>
            </w: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483,861,339.62</w:t>
            </w:r>
          </w:p>
        </w:tc>
      </w:tr>
      <w:tr>
        <w:trPr>
          <w:trHeight w:val="404"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4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406" w:type="dxa"/>
            <w:vMerge w:val="restart"/>
            <w:tcBorders>
              <w:top w:val="single" w:sz="4" w:space="0" w:color="000000"/>
              <w:left w:val="single" w:sz="4" w:space="0" w:color="000000"/>
              <w:right w:val="single" w:sz="4" w:space="0" w:color="000000"/>
            </w:tcBorders>
          </w:tcPr>
          <w:p>
            <w:pPr/>
          </w:p>
        </w:tc>
        <w:tc>
          <w:tcPr>
            <w:tcW w:w="1316"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
        </w:tc>
        <w:tc>
          <w:tcPr>
            <w:tcW w:w="1085" w:type="dxa"/>
            <w:vMerge w:val="restart"/>
            <w:tcBorders>
              <w:top w:val="single" w:sz="4" w:space="0" w:color="000000"/>
              <w:left w:val="single" w:sz="4" w:space="0" w:color="000000"/>
              <w:right w:val="single" w:sz="4" w:space="0" w:color="000000"/>
            </w:tcBorders>
          </w:tcPr>
          <w:p>
            <w:pPr/>
          </w:p>
        </w:tc>
        <w:tc>
          <w:tcPr>
            <w:tcW w:w="747" w:type="dxa"/>
            <w:vMerge w:val="restart"/>
            <w:tcBorders>
              <w:top w:val="single" w:sz="4" w:space="0" w:color="000000"/>
              <w:left w:val="single" w:sz="4" w:space="0" w:color="000000"/>
              <w:right w:val="single" w:sz="4" w:space="0" w:color="000000"/>
            </w:tcBorders>
          </w:tcPr>
          <w:p>
            <w:pP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15,467,384.62</w:t>
            </w:r>
          </w:p>
        </w:tc>
        <w:tc>
          <w:tcPr>
            <w:tcW w:w="1236" w:type="dxa"/>
            <w:vMerge w:val="restart"/>
            <w:tcBorders>
              <w:top w:val="single" w:sz="4" w:space="0" w:color="000000"/>
              <w:left w:val="single" w:sz="4" w:space="0" w:color="000000"/>
              <w:right w:val="single" w:sz="4" w:space="0" w:color="000000"/>
            </w:tcBorders>
          </w:tcPr>
          <w:p>
            <w:pPr>
              <w:pStyle w:val="TableParagraph"/>
              <w:spacing w:line="362" w:lineRule="auto" w:before="93"/>
              <w:ind w:left="79" w:right="19" w:firstLine="106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123,467,384.62</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-108,000,000.00</w:t>
            </w:r>
          </w:p>
        </w:tc>
      </w:tr>
      <w:tr>
        <w:trPr>
          <w:trHeight w:val="391" w:hRule="exact"/>
        </w:trPr>
        <w:tc>
          <w:tcPr>
            <w:tcW w:w="34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406" w:type="dxa"/>
            <w:vMerge/>
            <w:tcBorders>
              <w:left w:val="single" w:sz="4" w:space="0" w:color="000000"/>
              <w:right w:val="single" w:sz="4" w:space="0" w:color="000000"/>
            </w:tcBorders>
          </w:tcPr>
          <w:p>
            <w:pPr/>
          </w:p>
        </w:tc>
        <w:tc>
          <w:tcPr>
            <w:tcW w:w="1316"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747"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236"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r>
      <w:tr>
        <w:trPr>
          <w:trHeight w:val="163" w:hRule="exact"/>
        </w:trPr>
        <w:tc>
          <w:tcPr>
            <w:tcW w:w="34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406" w:type="dxa"/>
            <w:vMerge/>
            <w:tcBorders>
              <w:left w:val="single" w:sz="4" w:space="0" w:color="000000"/>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000000"/>
            </w:tcBorders>
          </w:tcPr>
          <w:p>
            <w:pPr/>
          </w:p>
        </w:tc>
        <w:tc>
          <w:tcPr>
            <w:tcW w:w="747"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236"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70" w:footer="975" w:top="1060" w:bottom="1160" w:left="1300" w:right="1300"/>
        </w:sectPr>
      </w:pPr>
    </w:p>
    <w:p>
      <w:pPr>
        <w:spacing w:line="240" w:lineRule="auto" w:before="8"/>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3464"/>
        <w:gridCol w:w="1181"/>
        <w:gridCol w:w="576"/>
        <w:gridCol w:w="576"/>
        <w:gridCol w:w="406"/>
        <w:gridCol w:w="1316"/>
        <w:gridCol w:w="926"/>
        <w:gridCol w:w="1085"/>
        <w:gridCol w:w="747"/>
        <w:gridCol w:w="1092"/>
        <w:gridCol w:w="1236"/>
        <w:gridCol w:w="1318"/>
      </w:tblGrid>
      <w:tr>
        <w:trPr>
          <w:trHeight w:val="418" w:hRule="exact"/>
        </w:trPr>
        <w:tc>
          <w:tcPr>
            <w:tcW w:w="346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
        </w:tc>
        <w:tc>
          <w:tcPr>
            <w:tcW w:w="406"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926" w:type="dxa"/>
            <w:tcBorders>
              <w:top w:val="single" w:sz="15" w:space="0" w:color="000000"/>
              <w:left w:val="single" w:sz="4" w:space="0" w:color="000000"/>
              <w:bottom w:val="single" w:sz="4" w:space="0" w:color="000000"/>
              <w:right w:val="single" w:sz="4" w:space="0" w:color="000000"/>
            </w:tcBorders>
          </w:tcPr>
          <w:p>
            <w:pPr/>
          </w:p>
        </w:tc>
        <w:tc>
          <w:tcPr>
            <w:tcW w:w="1085" w:type="dxa"/>
            <w:tcBorders>
              <w:top w:val="single" w:sz="15" w:space="0" w:color="000000"/>
              <w:left w:val="single" w:sz="4" w:space="0" w:color="000000"/>
              <w:bottom w:val="single" w:sz="4" w:space="0" w:color="000000"/>
              <w:right w:val="single" w:sz="4" w:space="0" w:color="000000"/>
            </w:tcBorders>
          </w:tcPr>
          <w:p>
            <w:pPr/>
          </w:p>
        </w:tc>
        <w:tc>
          <w:tcPr>
            <w:tcW w:w="747"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15,467,384.62</w:t>
            </w:r>
          </w:p>
        </w:tc>
        <w:tc>
          <w:tcPr>
            <w:tcW w:w="12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-15,467,384.62</w:t>
            </w: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79" w:right="19" w:firstLine="106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108,000,000.00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-108,000,000.00</w:t>
            </w: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400,100,000.00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4,625,889,053.05</w:t>
            </w:r>
          </w:p>
        </w:tc>
        <w:tc>
          <w:tcPr>
            <w:tcW w:w="92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48,385,556.50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120,524,882.04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5,194,899,491.59</w:t>
            </w:r>
          </w:p>
        </w:tc>
      </w:tr>
    </w:tbl>
    <w:p>
      <w:pPr>
        <w:pStyle w:val="BodyText"/>
        <w:spacing w:line="240" w:lineRule="auto" w:before="51"/>
        <w:ind w:left="100" w:right="0"/>
        <w:jc w:val="left"/>
      </w:pPr>
      <w:r>
        <w:rPr/>
        <w:t>上期金额</w:t>
      </w:r>
    </w:p>
    <w:p>
      <w:pPr>
        <w:pStyle w:val="BodyText"/>
        <w:spacing w:line="240" w:lineRule="auto" w:before="115"/>
        <w:ind w:left="0" w:right="117"/>
        <w:jc w:val="right"/>
      </w:pPr>
      <w:r>
        <w:rPr/>
        <w:t>单位：元</w:t>
      </w:r>
    </w:p>
    <w:p>
      <w:pPr>
        <w:spacing w:line="240" w:lineRule="auto" w:before="2"/>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3493"/>
        <w:gridCol w:w="1181"/>
        <w:gridCol w:w="581"/>
        <w:gridCol w:w="578"/>
        <w:gridCol w:w="408"/>
        <w:gridCol w:w="1316"/>
        <w:gridCol w:w="931"/>
        <w:gridCol w:w="1094"/>
        <w:gridCol w:w="752"/>
        <w:gridCol w:w="1090"/>
        <w:gridCol w:w="1181"/>
        <w:gridCol w:w="1318"/>
      </w:tblGrid>
      <w:tr>
        <w:trPr>
          <w:trHeight w:val="403" w:hRule="exact"/>
        </w:trPr>
        <w:tc>
          <w:tcPr>
            <w:tcW w:w="3493" w:type="dxa"/>
            <w:vMerge w:val="restart"/>
            <w:tcBorders>
              <w:top w:val="single" w:sz="4" w:space="0" w:color="000000"/>
              <w:left w:val="single" w:sz="4" w:space="0" w:color="000000"/>
              <w:right w:val="single" w:sz="4" w:space="0" w:color="000000"/>
            </w:tcBorders>
            <w:shd w:val="clear" w:color="auto" w:fill="D2D2D2"/>
          </w:tcPr>
          <w:p>
            <w:pPr/>
          </w:p>
        </w:tc>
        <w:tc>
          <w:tcPr>
            <w:tcW w:w="1042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61" w:hRule="exact"/>
        </w:trPr>
        <w:tc>
          <w:tcPr>
            <w:tcW w:w="3493"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6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371" w:right="98"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0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451" w:right="9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278" w:right="10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0" w:hRule="exact"/>
        </w:trPr>
        <w:tc>
          <w:tcPr>
            <w:tcW w:w="3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1" w:type="dxa"/>
            <w:vMerge/>
            <w:tcBorders>
              <w:left w:val="single" w:sz="4" w:space="0" w:color="000000"/>
              <w:right w:val="single" w:sz="4" w:space="0" w:color="000000"/>
            </w:tcBorders>
            <w:shd w:val="clear" w:color="auto" w:fill="D2D2D2"/>
          </w:tcPr>
          <w:p>
            <w:pPr/>
          </w:p>
        </w:tc>
        <w:tc>
          <w:tcPr>
            <w:tcW w:w="1567" w:type="dxa"/>
            <w:gridSpan w:val="3"/>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c>
          <w:tcPr>
            <w:tcW w:w="1094" w:type="dxa"/>
            <w:vMerge/>
            <w:tcBorders>
              <w:left w:val="single" w:sz="4" w:space="0" w:color="000000"/>
              <w:right w:val="single" w:sz="4" w:space="0" w:color="000000"/>
            </w:tcBorders>
            <w:shd w:val="clear" w:color="auto" w:fill="D2D2D2"/>
          </w:tcPr>
          <w:p>
            <w:pPr/>
          </w:p>
        </w:tc>
        <w:tc>
          <w:tcPr>
            <w:tcW w:w="752"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51" w:hRule="exact"/>
        </w:trPr>
        <w:tc>
          <w:tcPr>
            <w:tcW w:w="3493"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94" w:right="103"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91" w:right="103"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8" w:right="108"/>
              <w:jc w:val="left"/>
              <w:rPr>
                <w:rFonts w:ascii="宋体" w:hAnsi="宋体" w:cs="宋体" w:eastAsia="宋体" w:hint="default"/>
                <w:sz w:val="18"/>
                <w:szCs w:val="18"/>
              </w:rPr>
            </w:pPr>
            <w:r>
              <w:rPr>
                <w:rFonts w:ascii="宋体" w:hAnsi="宋体" w:cs="宋体" w:eastAsia="宋体" w:hint="default"/>
                <w:sz w:val="18"/>
                <w:szCs w:val="18"/>
              </w:rPr>
              <w:t>其 他</w:t>
            </w:r>
          </w:p>
        </w:tc>
        <w:tc>
          <w:tcPr>
            <w:tcW w:w="1316" w:type="dxa"/>
            <w:vMerge/>
            <w:tcBorders>
              <w:left w:val="single" w:sz="4" w:space="0" w:color="000000"/>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c>
          <w:tcPr>
            <w:tcW w:w="1094" w:type="dxa"/>
            <w:vMerge/>
            <w:tcBorders>
              <w:left w:val="single" w:sz="4" w:space="0" w:color="000000"/>
              <w:right w:val="single" w:sz="4" w:space="0" w:color="000000"/>
            </w:tcBorders>
            <w:shd w:val="clear" w:color="auto" w:fill="D2D2D2"/>
          </w:tcPr>
          <w:p>
            <w:pPr/>
          </w:p>
        </w:tc>
        <w:tc>
          <w:tcPr>
            <w:tcW w:w="752"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565" w:hRule="exact"/>
        </w:trPr>
        <w:tc>
          <w:tcPr>
            <w:tcW w:w="3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408"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094" w:type="dxa"/>
            <w:vMerge/>
            <w:tcBorders>
              <w:left w:val="single" w:sz="4" w:space="0" w:color="000000"/>
              <w:bottom w:val="single" w:sz="4" w:space="0" w:color="000000"/>
              <w:right w:val="single" w:sz="4" w:space="0" w:color="000000"/>
            </w:tcBorders>
            <w:shd w:val="clear" w:color="auto" w:fill="D2D2D2"/>
          </w:tcPr>
          <w:p>
            <w:pPr/>
          </w:p>
        </w:tc>
        <w:tc>
          <w:tcPr>
            <w:tcW w:w="752"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360,000,000.00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4,180,332,911.54</w:t>
            </w: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29,589,513.71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142,160,497.01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4,712,082,922.26</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0" w:footer="975" w:top="1060" w:bottom="1160" w:left="1340" w:right="1320"/>
        </w:sectPr>
      </w:pPr>
    </w:p>
    <w:p>
      <w:pPr>
        <w:spacing w:line="240" w:lineRule="auto" w:before="11"/>
        <w:rPr>
          <w:rFonts w:ascii="Times New Roman" w:hAnsi="Times New Roman" w:cs="Times New Roman" w:eastAsia="Times New Roman"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493"/>
        <w:gridCol w:w="1181"/>
        <w:gridCol w:w="581"/>
        <w:gridCol w:w="578"/>
        <w:gridCol w:w="408"/>
        <w:gridCol w:w="1316"/>
        <w:gridCol w:w="931"/>
        <w:gridCol w:w="1094"/>
        <w:gridCol w:w="752"/>
        <w:gridCol w:w="1090"/>
        <w:gridCol w:w="1181"/>
        <w:gridCol w:w="1318"/>
      </w:tblGrid>
      <w:tr>
        <w:trPr>
          <w:trHeight w:val="418" w:hRule="exact"/>
        </w:trPr>
        <w:tc>
          <w:tcPr>
            <w:tcW w:w="349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360,000,000.00</w:t>
            </w:r>
          </w:p>
        </w:tc>
        <w:tc>
          <w:tcPr>
            <w:tcW w:w="581" w:type="dxa"/>
            <w:tcBorders>
              <w:top w:val="single" w:sz="15" w:space="0" w:color="000000"/>
              <w:left w:val="single" w:sz="4" w:space="0" w:color="000000"/>
              <w:bottom w:val="single" w:sz="4" w:space="0" w:color="000000"/>
              <w:right w:val="single" w:sz="4" w:space="0" w:color="000000"/>
            </w:tcBorders>
          </w:tcPr>
          <w:p>
            <w:pPr/>
          </w:p>
        </w:tc>
        <w:tc>
          <w:tcPr>
            <w:tcW w:w="578" w:type="dxa"/>
            <w:tcBorders>
              <w:top w:val="single" w:sz="15" w:space="0" w:color="000000"/>
              <w:left w:val="single" w:sz="4" w:space="0" w:color="000000"/>
              <w:bottom w:val="single" w:sz="4" w:space="0" w:color="000000"/>
              <w:right w:val="single" w:sz="4" w:space="0" w:color="000000"/>
            </w:tcBorders>
          </w:tcPr>
          <w:p>
            <w:pPr/>
          </w:p>
        </w:tc>
        <w:tc>
          <w:tcPr>
            <w:tcW w:w="408"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4,180,332,911.54</w:t>
            </w:r>
          </w:p>
        </w:tc>
        <w:tc>
          <w:tcPr>
            <w:tcW w:w="931" w:type="dxa"/>
            <w:tcBorders>
              <w:top w:val="single" w:sz="15" w:space="0" w:color="000000"/>
              <w:left w:val="single" w:sz="4" w:space="0" w:color="000000"/>
              <w:bottom w:val="single" w:sz="4" w:space="0" w:color="000000"/>
              <w:right w:val="single" w:sz="4" w:space="0" w:color="000000"/>
            </w:tcBorders>
          </w:tcPr>
          <w:p>
            <w:pPr/>
          </w:p>
        </w:tc>
        <w:tc>
          <w:tcPr>
            <w:tcW w:w="1094" w:type="dxa"/>
            <w:tcBorders>
              <w:top w:val="single" w:sz="15" w:space="0" w:color="000000"/>
              <w:left w:val="single" w:sz="4" w:space="0" w:color="000000"/>
              <w:bottom w:val="single" w:sz="4" w:space="0" w:color="000000"/>
              <w:right w:val="single" w:sz="4" w:space="0" w:color="000000"/>
            </w:tcBorders>
          </w:tcPr>
          <w:p>
            <w:pPr/>
          </w:p>
        </w:tc>
        <w:tc>
          <w:tcPr>
            <w:tcW w:w="752"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29,589,513.71</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142,160,497.01</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4,712,082,922.26</w:t>
            </w:r>
          </w:p>
        </w:tc>
      </w:tr>
      <w:tr>
        <w:trPr>
          <w:trHeight w:val="71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242"/>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1,794,801.89</w:t>
            </w: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3,328,658.17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-52,842,076.52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-47,718,616.46</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33,286,581.65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33,286,581.65</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center"/>
              <w:rPr>
                <w:rFonts w:ascii="Times New Roman" w:hAnsi="Times New Roman" w:cs="Times New Roman" w:eastAsia="Times New Roman" w:hint="default"/>
                <w:sz w:val="18"/>
                <w:szCs w:val="18"/>
              </w:rPr>
            </w:pPr>
            <w:r>
              <w:rPr>
                <w:rFonts w:ascii="Times New Roman"/>
                <w:sz w:val="18"/>
              </w:rPr>
              <w:t>3,328,658.17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-86,128,658.17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-82,800,000.00</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3,328,658.17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-3,328,658.17</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-82,800,000.00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-82,800,000.00</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1,794,801.89</w:t>
            </w: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1,794,801.89</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360,000,000.00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4,182,127,713.43</w:t>
            </w:r>
          </w:p>
        </w:tc>
        <w:tc>
          <w:tcPr>
            <w:tcW w:w="93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32,918,171.88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89,318,420.49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4,664,364,305.80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0" w:footer="975" w:top="1060" w:bottom="1160" w:left="1360" w:right="1320"/>
        </w:sectPr>
      </w:pPr>
    </w:p>
    <w:p>
      <w:pPr>
        <w:spacing w:line="240" w:lineRule="auto" w:before="8"/>
        <w:rPr>
          <w:rFonts w:ascii="Times New Roman" w:hAnsi="Times New Roman" w:cs="Times New Roman" w:eastAsia="Times New Roman" w:hint="default"/>
          <w:sz w:val="22"/>
          <w:szCs w:val="22"/>
        </w:rPr>
      </w:pPr>
    </w:p>
    <w:p>
      <w:pPr>
        <w:pStyle w:val="Heading2"/>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94"/>
        <w:jc w:val="left"/>
      </w:pPr>
      <w:r>
        <w:rPr/>
        <w:t>深圳华大基因股份有限公司（以下简称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华大基因</w:t>
      </w:r>
      <w:r>
        <w:rPr>
          <w:rFonts w:ascii="Times New Roman" w:hAnsi="Times New Roman" w:cs="Times New Roman" w:eastAsia="Times New Roman" w:hint="default"/>
        </w:rPr>
        <w:t>”</w:t>
      </w:r>
      <w:r>
        <w:rPr/>
        <w:t>），原注册名称为深圳华大基因健康科技有限公司，成立于</w:t>
      </w:r>
    </w:p>
    <w:p>
      <w:pPr>
        <w:pStyle w:val="BodyText"/>
        <w:spacing w:line="240" w:lineRule="auto" w:before="63"/>
        <w:ind w:right="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日，注册地为深圳市盐田区北山工业区综合楼科技创业园</w:t>
      </w:r>
      <w:r>
        <w:rPr>
          <w:rFonts w:ascii="Times New Roman" w:hAnsi="Times New Roman" w:cs="Times New Roman" w:eastAsia="Times New Roman" w:hint="default"/>
        </w:rPr>
        <w:t>9F-7</w:t>
      </w:r>
      <w:r>
        <w:rPr/>
        <w:t>，注册号为</w:t>
      </w:r>
      <w:r>
        <w:rPr>
          <w:rFonts w:ascii="Times New Roman" w:hAnsi="Times New Roman" w:cs="Times New Roman" w:eastAsia="Times New Roman" w:hint="default"/>
        </w:rPr>
        <w:t>440301104800923</w:t>
      </w:r>
      <w:r>
        <w:rPr/>
        <w:t>，注册资本为人民币</w:t>
      </w:r>
    </w:p>
    <w:p>
      <w:pPr>
        <w:pStyle w:val="BodyText"/>
        <w:spacing w:line="240" w:lineRule="auto" w:before="63"/>
        <w:ind w:right="0"/>
        <w:jc w:val="both"/>
      </w:pPr>
      <w:r>
        <w:rPr>
          <w:rFonts w:ascii="Times New Roman" w:hAnsi="Times New Roman" w:cs="Times New Roman" w:eastAsia="Times New Roman" w:hint="default"/>
        </w:rPr>
        <w:t>1,000</w:t>
      </w:r>
      <w:r>
        <w:rPr/>
        <w:t>万元，实收资本为人民币</w:t>
      </w:r>
      <w:r>
        <w:rPr>
          <w:rFonts w:ascii="Times New Roman" w:hAnsi="Times New Roman" w:cs="Times New Roman" w:eastAsia="Times New Roman" w:hint="default"/>
        </w:rPr>
        <w:t>200</w:t>
      </w:r>
      <w:r>
        <w:rPr/>
        <w:t>万元。其中，深圳华大基因科技有限公司（</w:t>
      </w:r>
      <w:r>
        <w:rPr>
          <w:rFonts w:ascii="Times New Roman" w:hAnsi="Times New Roman" w:cs="Times New Roman" w:eastAsia="Times New Roman" w:hint="default"/>
        </w:rPr>
        <w:t>“</w:t>
      </w:r>
      <w:r>
        <w:rPr/>
        <w:t>华大控股</w:t>
      </w:r>
      <w:r>
        <w:rPr>
          <w:rFonts w:ascii="Times New Roman" w:hAnsi="Times New Roman" w:cs="Times New Roman" w:eastAsia="Times New Roman" w:hint="default"/>
        </w:rPr>
        <w:t>”</w:t>
      </w:r>
      <w:r>
        <w:rPr/>
        <w:t>）出资人民币</w:t>
      </w:r>
      <w:r>
        <w:rPr>
          <w:rFonts w:ascii="Times New Roman" w:hAnsi="Times New Roman" w:cs="Times New Roman" w:eastAsia="Times New Roman" w:hint="default"/>
        </w:rPr>
        <w:t>190</w:t>
      </w:r>
      <w:r>
        <w:rPr/>
        <w:t>万元，出资比例为</w:t>
      </w:r>
    </w:p>
    <w:p>
      <w:pPr>
        <w:pStyle w:val="BodyText"/>
        <w:spacing w:line="300" w:lineRule="auto" w:before="63"/>
        <w:ind w:right="189"/>
        <w:jc w:val="both"/>
      </w:pPr>
      <w:r>
        <w:rPr>
          <w:rFonts w:ascii="Times New Roman" w:hAnsi="Times New Roman" w:cs="Times New Roman" w:eastAsia="Times New Roman" w:hint="default"/>
          <w:spacing w:val="-2"/>
        </w:rPr>
        <w:t>95%</w:t>
      </w:r>
      <w:r>
        <w:rPr>
          <w:spacing w:val="-2"/>
        </w:rPr>
        <w:t>，深圳华大三生园科技有限公司（</w:t>
      </w:r>
      <w:r>
        <w:rPr>
          <w:rFonts w:ascii="Times New Roman" w:hAnsi="Times New Roman" w:cs="Times New Roman" w:eastAsia="Times New Roman" w:hint="default"/>
          <w:spacing w:val="-2"/>
        </w:rPr>
        <w:t>“</w:t>
      </w:r>
      <w:r>
        <w:rPr>
          <w:spacing w:val="-2"/>
        </w:rPr>
        <w:t>华大三生园</w:t>
      </w:r>
      <w:r>
        <w:rPr>
          <w:rFonts w:ascii="Times New Roman" w:hAnsi="Times New Roman" w:cs="Times New Roman" w:eastAsia="Times New Roman" w:hint="default"/>
          <w:spacing w:val="-2"/>
        </w:rPr>
        <w:t>”</w:t>
      </w:r>
      <w:r>
        <w:rPr>
          <w:spacing w:val="-2"/>
        </w:rPr>
        <w:t>），出资人民币</w:t>
      </w:r>
      <w:r>
        <w:rPr>
          <w:rFonts w:ascii="Times New Roman" w:hAnsi="Times New Roman" w:cs="Times New Roman" w:eastAsia="Times New Roman" w:hint="default"/>
          <w:spacing w:val="-2"/>
        </w:rPr>
        <w:t>10</w:t>
      </w:r>
      <w:r>
        <w:rPr>
          <w:spacing w:val="-2"/>
        </w:rPr>
        <w:t>万元，出资比例为</w:t>
      </w:r>
      <w:r>
        <w:rPr>
          <w:rFonts w:ascii="Times New Roman" w:hAnsi="Times New Roman" w:cs="Times New Roman" w:eastAsia="Times New Roman" w:hint="default"/>
          <w:spacing w:val="-2"/>
        </w:rPr>
        <w:t>5%</w:t>
      </w:r>
      <w:r>
        <w:rPr>
          <w:spacing w:val="-2"/>
        </w:rPr>
        <w:t>，华大三生园名称变更前为深圳</w:t>
      </w:r>
      <w:r>
        <w:rPr>
          <w:spacing w:val="-70"/>
        </w:rPr>
        <w:t> </w:t>
      </w:r>
      <w:r>
        <w:rPr>
          <w:spacing w:val="-70"/>
        </w:rPr>
      </w:r>
      <w:r>
        <w:rPr/>
        <w:t>华大农业与循环经济科技有限公司。</w:t>
      </w:r>
    </w:p>
    <w:p>
      <w:pPr>
        <w:pStyle w:val="BodyText"/>
        <w:spacing w:line="240" w:lineRule="auto" w:before="31"/>
        <w:ind w:left="513" w:right="94"/>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日，华大控股增加实收资本人民币</w:t>
      </w:r>
      <w:r>
        <w:rPr>
          <w:rFonts w:ascii="Times New Roman" w:hAnsi="Times New Roman" w:cs="Times New Roman" w:eastAsia="Times New Roman" w:hint="default"/>
        </w:rPr>
        <w:t>760</w:t>
      </w:r>
      <w:r>
        <w:rPr/>
        <w:t>万元，华大三生园增加实收资本人民币</w:t>
      </w:r>
      <w:r>
        <w:rPr>
          <w:rFonts w:ascii="Times New Roman" w:hAnsi="Times New Roman" w:cs="Times New Roman" w:eastAsia="Times New Roman" w:hint="default"/>
        </w:rPr>
        <w:t>40</w:t>
      </w:r>
      <w:r>
        <w:rPr/>
        <w:t>万元，出资完毕。</w:t>
      </w:r>
    </w:p>
    <w:p>
      <w:pPr>
        <w:pStyle w:val="BodyText"/>
        <w:spacing w:line="300" w:lineRule="auto" w:before="63"/>
        <w:ind w:right="188"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日，本公司注册资本变更为人民币</w:t>
      </w:r>
      <w:r>
        <w:rPr>
          <w:rFonts w:ascii="Times New Roman" w:hAnsi="Times New Roman" w:cs="Times New Roman" w:eastAsia="Times New Roman" w:hint="default"/>
        </w:rPr>
        <w:t>6,000</w:t>
      </w:r>
      <w:r>
        <w:rPr/>
        <w:t>万元。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 </w:t>
      </w:r>
      <w:r>
        <w:rPr/>
        <w:t>华大控股增加实收资本人民币</w:t>
      </w:r>
      <w:r>
        <w:rPr>
          <w:rFonts w:ascii="Times New Roman" w:hAnsi="Times New Roman" w:cs="Times New Roman" w:eastAsia="Times New Roman" w:hint="default"/>
        </w:rPr>
        <w:t>950</w:t>
      </w:r>
      <w:r>
        <w:rPr/>
        <w:t>万元</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华 大三生园增加实收资本人民币</w:t>
      </w:r>
      <w:r>
        <w:rPr>
          <w:rFonts w:ascii="Times New Roman" w:hAnsi="Times New Roman" w:cs="Times New Roman" w:eastAsia="Times New Roman" w:hint="default"/>
        </w:rPr>
        <w:t>50</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日，华大控股增加实收资本人民币</w:t>
      </w:r>
      <w:r>
        <w:rPr>
          <w:rFonts w:ascii="Times New Roman" w:hAnsi="Times New Roman" w:cs="Times New Roman" w:eastAsia="Times New Roman" w:hint="default"/>
        </w:rPr>
        <w:t>2,375</w:t>
      </w:r>
      <w:r>
        <w:rPr/>
        <w:t>万元，华大三生园增加实收资本</w:t>
      </w:r>
      <w:r>
        <w:rPr>
          <w:spacing w:val="-48"/>
        </w:rPr>
        <w:t> </w:t>
      </w:r>
      <w:r>
        <w:rPr>
          <w:spacing w:val="-48"/>
        </w:rPr>
      </w:r>
      <w:r>
        <w:rPr>
          <w:spacing w:val="-2"/>
        </w:rPr>
        <w:t>人民币</w:t>
      </w:r>
      <w:r>
        <w:rPr>
          <w:rFonts w:ascii="Times New Roman" w:hAnsi="Times New Roman" w:cs="Times New Roman" w:eastAsia="Times New Roman" w:hint="default"/>
          <w:spacing w:val="-2"/>
        </w:rPr>
        <w:t>125</w:t>
      </w:r>
      <w:r>
        <w:rPr>
          <w:spacing w:val="-2"/>
        </w:rPr>
        <w:t>万元。至此，华大控股已认缴出资人民币</w:t>
      </w:r>
      <w:r>
        <w:rPr>
          <w:rFonts w:ascii="Times New Roman" w:hAnsi="Times New Roman" w:cs="Times New Roman" w:eastAsia="Times New Roman" w:hint="default"/>
          <w:spacing w:val="-2"/>
        </w:rPr>
        <w:t>4,275</w:t>
      </w:r>
      <w:r>
        <w:rPr>
          <w:spacing w:val="-2"/>
        </w:rPr>
        <w:t>万元，出资比例为</w:t>
      </w:r>
      <w:r>
        <w:rPr>
          <w:rFonts w:ascii="Times New Roman" w:hAnsi="Times New Roman" w:cs="Times New Roman" w:eastAsia="Times New Roman" w:hint="default"/>
          <w:spacing w:val="-2"/>
        </w:rPr>
        <w:t>95%</w:t>
      </w:r>
      <w:r>
        <w:rPr>
          <w:spacing w:val="-2"/>
        </w:rPr>
        <w:t>，华大三生园已认缴出资人民币</w:t>
      </w:r>
      <w:r>
        <w:rPr>
          <w:rFonts w:ascii="Times New Roman" w:hAnsi="Times New Roman" w:cs="Times New Roman" w:eastAsia="Times New Roman" w:hint="default"/>
          <w:spacing w:val="-2"/>
        </w:rPr>
        <w:t>225</w:t>
      </w:r>
      <w:r>
        <w:rPr>
          <w:spacing w:val="-2"/>
        </w:rPr>
        <w:t>万元，出</w:t>
      </w:r>
      <w:r>
        <w:rPr>
          <w:spacing w:val="-76"/>
        </w:rPr>
        <w:t> </w:t>
      </w:r>
      <w:r>
        <w:rPr>
          <w:spacing w:val="-76"/>
        </w:rPr>
      </w:r>
      <w:r>
        <w:rPr/>
        <w:t>资比例为</w:t>
      </w:r>
      <w:r>
        <w:rPr>
          <w:rFonts w:ascii="Times New Roman" w:hAnsi="Times New Roman" w:cs="Times New Roman" w:eastAsia="Times New Roman" w:hint="default"/>
        </w:rPr>
        <w:t>5%</w:t>
      </w:r>
      <w:r>
        <w:rPr/>
        <w:t>。</w:t>
      </w:r>
    </w:p>
    <w:p>
      <w:pPr>
        <w:pStyle w:val="BodyText"/>
        <w:spacing w:line="300" w:lineRule="auto" w:before="13"/>
        <w:ind w:right="191"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日，深圳市市场监督管理局批复本公司名称变更申请，本公司名称由</w:t>
      </w:r>
      <w:r>
        <w:rPr>
          <w:rFonts w:ascii="Times New Roman" w:hAnsi="Times New Roman" w:cs="Times New Roman" w:eastAsia="Times New Roman" w:hint="default"/>
        </w:rPr>
        <w:t>“</w:t>
      </w:r>
      <w:r>
        <w:rPr/>
        <w:t>深圳华大基因健康科技有限公司</w:t>
      </w:r>
      <w:r>
        <w:rPr>
          <w:rFonts w:ascii="Times New Roman" w:hAnsi="Times New Roman" w:cs="Times New Roman" w:eastAsia="Times New Roman" w:hint="default"/>
        </w:rPr>
        <w:t>”</w:t>
      </w:r>
      <w:r>
        <w:rPr/>
        <w:t>变 更为</w:t>
      </w:r>
      <w:r>
        <w:rPr>
          <w:rFonts w:ascii="Times New Roman" w:hAnsi="Times New Roman" w:cs="Times New Roman" w:eastAsia="Times New Roman" w:hint="default"/>
        </w:rPr>
        <w:t>“</w:t>
      </w:r>
      <w:r>
        <w:rPr/>
        <w:t>深圳华大基因医学有限公司</w:t>
      </w:r>
      <w:r>
        <w:rPr>
          <w:rFonts w:ascii="Times New Roman" w:hAnsi="Times New Roman" w:cs="Times New Roman" w:eastAsia="Times New Roman" w:hint="default"/>
        </w:rPr>
        <w:t>”</w:t>
      </w:r>
      <w:r>
        <w:rPr/>
        <w:t>。</w:t>
      </w:r>
    </w:p>
    <w:p>
      <w:pPr>
        <w:pStyle w:val="BodyText"/>
        <w:spacing w:line="300" w:lineRule="auto" w:before="13"/>
        <w:ind w:right="103"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日，华大三生园将其持有本公司的</w:t>
      </w:r>
      <w:r>
        <w:rPr>
          <w:rFonts w:ascii="Times New Roman" w:hAnsi="Times New Roman" w:cs="Times New Roman" w:eastAsia="Times New Roman" w:hint="default"/>
        </w:rPr>
        <w:t>5%</w:t>
      </w:r>
      <w:r>
        <w:rPr/>
        <w:t>股份以人民币</w:t>
      </w:r>
      <w:r>
        <w:rPr>
          <w:rFonts w:ascii="Times New Roman" w:hAnsi="Times New Roman" w:cs="Times New Roman" w:eastAsia="Times New Roman" w:hint="default"/>
        </w:rPr>
        <w:t>626.169256</w:t>
      </w:r>
      <w:r>
        <w:rPr/>
        <w:t>万元价格转让予华大控股。该股权转让后， 华大控股持有本公司</w:t>
      </w:r>
      <w:r>
        <w:rPr>
          <w:rFonts w:ascii="Times New Roman" w:hAnsi="Times New Roman" w:cs="Times New Roman" w:eastAsia="Times New Roman" w:hint="default"/>
        </w:rPr>
        <w:t>100%</w:t>
      </w:r>
      <w:r>
        <w:rPr/>
        <w:t>股权。</w:t>
      </w:r>
    </w:p>
    <w:p>
      <w:pPr>
        <w:pStyle w:val="BodyText"/>
        <w:spacing w:line="240" w:lineRule="auto" w:before="13"/>
        <w:ind w:left="513" w:right="94"/>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日，华大控股增加实收资本人民币</w:t>
      </w:r>
      <w:r>
        <w:rPr>
          <w:rFonts w:ascii="Times New Roman" w:hAnsi="Times New Roman" w:cs="Times New Roman" w:eastAsia="Times New Roman" w:hint="default"/>
        </w:rPr>
        <w:t>1,500</w:t>
      </w:r>
      <w:r>
        <w:rPr/>
        <w:t>万元，至此本公司注册资本人民币</w:t>
      </w:r>
      <w:r>
        <w:rPr>
          <w:rFonts w:ascii="Times New Roman" w:hAnsi="Times New Roman" w:cs="Times New Roman" w:eastAsia="Times New Roman" w:hint="default"/>
        </w:rPr>
        <w:t>6,000</w:t>
      </w:r>
      <w:r>
        <w:rPr/>
        <w:t>万元，实收资本人民币</w:t>
      </w:r>
      <w:r>
        <w:rPr>
          <w:rFonts w:ascii="Times New Roman" w:hAnsi="Times New Roman" w:cs="Times New Roman" w:eastAsia="Times New Roman" w:hint="default"/>
        </w:rPr>
        <w:t>6,000</w:t>
      </w:r>
    </w:p>
    <w:p>
      <w:pPr>
        <w:pStyle w:val="BodyText"/>
        <w:spacing w:line="240" w:lineRule="auto" w:before="63"/>
        <w:ind w:right="0"/>
        <w:jc w:val="both"/>
      </w:pPr>
      <w:r>
        <w:rPr/>
        <w:t>万元。</w:t>
      </w:r>
    </w:p>
    <w:p>
      <w:pPr>
        <w:pStyle w:val="BodyText"/>
        <w:spacing w:line="240" w:lineRule="auto" w:before="76"/>
        <w:ind w:left="513" w:right="9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日，华大控股与深圳前海华大基因投资企业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华大投资</w:t>
      </w:r>
      <w:r>
        <w:rPr>
          <w:rFonts w:ascii="Times New Roman" w:hAnsi="Times New Roman" w:cs="Times New Roman" w:eastAsia="Times New Roman" w:hint="default"/>
        </w:rPr>
        <w:t>”)</w:t>
      </w:r>
      <w:r>
        <w:rPr/>
        <w:t>签署股权转让协议，华大控股以人民币</w:t>
      </w:r>
    </w:p>
    <w:p>
      <w:pPr>
        <w:pStyle w:val="BodyText"/>
        <w:spacing w:line="300" w:lineRule="auto" w:before="63"/>
        <w:ind w:right="189"/>
        <w:jc w:val="both"/>
      </w:pPr>
      <w:r>
        <w:rPr>
          <w:rFonts w:ascii="Times New Roman" w:hAnsi="Times New Roman" w:cs="Times New Roman" w:eastAsia="Times New Roman" w:hint="default"/>
          <w:spacing w:val="-1"/>
        </w:rPr>
        <w:t>4,480</w:t>
      </w:r>
      <w:r>
        <w:rPr>
          <w:spacing w:val="-1"/>
        </w:rPr>
        <w:t>万元的对价出让其持有的本公司</w:t>
      </w:r>
      <w:r>
        <w:rPr>
          <w:rFonts w:ascii="Times New Roman" w:hAnsi="Times New Roman" w:cs="Times New Roman" w:eastAsia="Times New Roman" w:hint="default"/>
          <w:spacing w:val="-1"/>
        </w:rPr>
        <w:t>32%</w:t>
      </w:r>
      <w:r>
        <w:rPr>
          <w:spacing w:val="-1"/>
        </w:rPr>
        <w:t>之股份予华大投资，上述股份变更于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12</w:t>
      </w:r>
      <w:r>
        <w:rPr>
          <w:spacing w:val="-1"/>
        </w:rPr>
        <w:t>日完成工商变更。该股权转让完</w:t>
      </w:r>
      <w:r>
        <w:rPr>
          <w:spacing w:val="-41"/>
        </w:rPr>
        <w:t> </w:t>
      </w:r>
      <w:r>
        <w:rPr>
          <w:spacing w:val="-41"/>
        </w:rPr>
      </w:r>
      <w:r>
        <w:rPr/>
        <w:t>成后，华大投资持有本公司</w:t>
      </w:r>
      <w:r>
        <w:rPr>
          <w:rFonts w:ascii="Times New Roman" w:hAnsi="Times New Roman" w:cs="Times New Roman" w:eastAsia="Times New Roman" w:hint="default"/>
        </w:rPr>
        <w:t>32%</w:t>
      </w:r>
      <w:r>
        <w:rPr/>
        <w:t>股份。</w:t>
      </w:r>
    </w:p>
    <w:p>
      <w:pPr>
        <w:pStyle w:val="BodyText"/>
        <w:spacing w:line="314" w:lineRule="auto" w:before="13"/>
        <w:ind w:right="186"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日及</w:t>
      </w:r>
      <w:r>
        <w:rPr>
          <w:rFonts w:ascii="Times New Roman" w:hAnsi="Times New Roman" w:cs="Times New Roman" w:eastAsia="Times New Roman" w:hint="default"/>
        </w:rPr>
        <w:t>15</w:t>
      </w:r>
      <w:r>
        <w:rPr/>
        <w:t>日股东大会决议通过，引进</w:t>
      </w:r>
      <w:r>
        <w:rPr>
          <w:rFonts w:ascii="Times New Roman" w:hAnsi="Times New Roman" w:cs="Times New Roman" w:eastAsia="Times New Roman" w:hint="default"/>
        </w:rPr>
        <w:t>10</w:t>
      </w:r>
      <w:r>
        <w:rPr/>
        <w:t>位非关联方股东，分别为上海腾希投资合伙企业（有限合伙）、深圳 </w:t>
      </w:r>
      <w:r>
        <w:rPr>
          <w:spacing w:val="-5"/>
        </w:rPr>
        <w:t>市华弘资本管理有限公司、中金佳成（天津）医疗投资中心（有限合伙）、深圳市南海成长创赢投资合伙企业（有限合伙）、</w:t>
      </w:r>
      <w:r>
        <w:rPr>
          <w:spacing w:val="-83"/>
        </w:rPr>
        <w:t> </w:t>
      </w:r>
      <w:r>
        <w:rPr>
          <w:spacing w:val="-83"/>
        </w:rPr>
      </w:r>
      <w:r>
        <w:rPr>
          <w:spacing w:val="-2"/>
        </w:rPr>
        <w:t>苏州软银天维创业投资合伙企业（有限合伙）、上海国和现代服务业股权投资基金合伙企业（有限合伙）、上海景林景麒投</w:t>
      </w:r>
      <w:r>
        <w:rPr>
          <w:spacing w:val="-68"/>
        </w:rPr>
        <w:t> </w:t>
      </w:r>
      <w:r>
        <w:rPr>
          <w:spacing w:val="-68"/>
        </w:rPr>
      </w:r>
      <w:r>
        <w:rPr>
          <w:spacing w:val="-2"/>
        </w:rPr>
        <w:t>资中心（有限合伙）、深圳市盛桥新领域投资合伙企业（有限合伙）、北京荣之联科技股份有限公司、深圳市红土生物创业</w:t>
      </w:r>
      <w:r>
        <w:rPr>
          <w:spacing w:val="-73"/>
        </w:rPr>
        <w:t> </w:t>
      </w:r>
      <w:r>
        <w:rPr>
          <w:spacing w:val="-73"/>
        </w:rPr>
      </w:r>
      <w:r>
        <w:rPr>
          <w:spacing w:val="-5"/>
        </w:rPr>
        <w:t>投资有限公司、深圳市创新投资集团有限公司、成都光控西部创业投资有限公司。上述少数股东分别持有本公司股权比例为：</w:t>
      </w:r>
      <w:r>
        <w:rPr>
          <w:spacing w:val="-74"/>
        </w:rPr>
        <w:t> </w:t>
      </w:r>
      <w:r>
        <w:rPr>
          <w:spacing w:val="-74"/>
        </w:rPr>
      </w:r>
      <w:r>
        <w:rPr>
          <w:rFonts w:ascii="Times New Roman" w:hAnsi="Times New Roman" w:cs="Times New Roman" w:eastAsia="Times New Roman" w:hint="default"/>
          <w:spacing w:val="-3"/>
        </w:rPr>
        <w:t>0.1887%</w:t>
      </w:r>
      <w:r>
        <w:rPr>
          <w:spacing w:val="-3"/>
        </w:rPr>
        <w:t>、</w:t>
      </w:r>
      <w:r>
        <w:rPr>
          <w:rFonts w:ascii="Times New Roman" w:hAnsi="Times New Roman" w:cs="Times New Roman" w:eastAsia="Times New Roman" w:hint="default"/>
          <w:spacing w:val="-3"/>
        </w:rPr>
        <w:t>0.4717%</w:t>
      </w:r>
      <w:r>
        <w:rPr>
          <w:spacing w:val="-3"/>
        </w:rPr>
        <w:t>、</w:t>
      </w:r>
      <w:r>
        <w:rPr>
          <w:rFonts w:ascii="Times New Roman" w:hAnsi="Times New Roman" w:cs="Times New Roman" w:eastAsia="Times New Roman" w:hint="default"/>
          <w:spacing w:val="-3"/>
        </w:rPr>
        <w:t>0.8491%</w:t>
      </w:r>
      <w:r>
        <w:rPr>
          <w:spacing w:val="-3"/>
        </w:rPr>
        <w:t>、</w:t>
      </w:r>
      <w:r>
        <w:rPr>
          <w:rFonts w:ascii="Times New Roman" w:hAnsi="Times New Roman" w:cs="Times New Roman" w:eastAsia="Times New Roman" w:hint="default"/>
          <w:spacing w:val="-3"/>
        </w:rPr>
        <w:t>0.8491%</w:t>
      </w:r>
      <w:r>
        <w:rPr>
          <w:spacing w:val="-3"/>
        </w:rPr>
        <w:t>、</w:t>
      </w:r>
      <w:r>
        <w:rPr>
          <w:rFonts w:ascii="Times New Roman" w:hAnsi="Times New Roman" w:cs="Times New Roman" w:eastAsia="Times New Roman" w:hint="default"/>
          <w:spacing w:val="-3"/>
        </w:rPr>
        <w:t>0.2209%</w:t>
      </w:r>
      <w:r>
        <w:rPr>
          <w:spacing w:val="-3"/>
        </w:rPr>
        <w:t>、</w:t>
      </w:r>
      <w:r>
        <w:rPr>
          <w:rFonts w:ascii="Times New Roman" w:hAnsi="Times New Roman" w:cs="Times New Roman" w:eastAsia="Times New Roman" w:hint="default"/>
          <w:spacing w:val="-3"/>
        </w:rPr>
        <w:t>0.4969%</w:t>
      </w:r>
      <w:r>
        <w:rPr>
          <w:spacing w:val="-3"/>
        </w:rPr>
        <w:t>、</w:t>
      </w:r>
      <w:r>
        <w:rPr>
          <w:rFonts w:ascii="Times New Roman" w:hAnsi="Times New Roman" w:cs="Times New Roman" w:eastAsia="Times New Roman" w:hint="default"/>
          <w:spacing w:val="-3"/>
        </w:rPr>
        <w:t>0.4969%</w:t>
      </w:r>
      <w:r>
        <w:rPr>
          <w:spacing w:val="-3"/>
        </w:rPr>
        <w:t>、</w:t>
      </w:r>
      <w:r>
        <w:rPr>
          <w:rFonts w:ascii="Times New Roman" w:hAnsi="Times New Roman" w:cs="Times New Roman" w:eastAsia="Times New Roman" w:hint="default"/>
          <w:spacing w:val="-3"/>
        </w:rPr>
        <w:t>1.5760%</w:t>
      </w:r>
      <w:r>
        <w:rPr>
          <w:spacing w:val="-3"/>
        </w:rPr>
        <w:t>、</w:t>
      </w:r>
      <w:r>
        <w:rPr>
          <w:rFonts w:ascii="Times New Roman" w:hAnsi="Times New Roman" w:cs="Times New Roman" w:eastAsia="Times New Roman" w:hint="default"/>
          <w:spacing w:val="-3"/>
        </w:rPr>
        <w:t>0.2128%</w:t>
      </w:r>
      <w:r>
        <w:rPr>
          <w:spacing w:val="-3"/>
        </w:rPr>
        <w:t>、</w:t>
      </w:r>
      <w:r>
        <w:rPr>
          <w:rFonts w:ascii="Times New Roman" w:hAnsi="Times New Roman" w:cs="Times New Roman" w:eastAsia="Times New Roman" w:hint="default"/>
          <w:spacing w:val="-3"/>
        </w:rPr>
        <w:t>0.1104%</w:t>
      </w:r>
      <w:r>
        <w:rPr>
          <w:spacing w:val="-3"/>
        </w:rPr>
        <w:t>、</w:t>
      </w:r>
      <w:r>
        <w:rPr>
          <w:rFonts w:ascii="Times New Roman" w:hAnsi="Times New Roman" w:cs="Times New Roman" w:eastAsia="Times New Roman" w:hint="default"/>
          <w:spacing w:val="-3"/>
        </w:rPr>
        <w:t>0.1104%</w:t>
      </w:r>
      <w:r>
        <w:rPr>
          <w:spacing w:val="-3"/>
        </w:rPr>
        <w:t>、</w:t>
      </w:r>
      <w:r>
        <w:rPr>
          <w:rFonts w:ascii="Times New Roman" w:hAnsi="Times New Roman" w:cs="Times New Roman" w:eastAsia="Times New Roman" w:hint="default"/>
          <w:spacing w:val="-3"/>
        </w:rPr>
        <w:t>0.5521%</w:t>
      </w:r>
      <w:r>
        <w:rPr>
          <w:spacing w:val="-3"/>
        </w:rPr>
        <w:t>。</w:t>
      </w:r>
    </w:p>
    <w:p>
      <w:pPr>
        <w:pStyle w:val="BodyText"/>
        <w:spacing w:line="302" w:lineRule="auto" w:before="1"/>
        <w:ind w:right="189"/>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日，根据《股权转让协议》，经过双方协商确定本次股权转让价格，成都光控西部创业投资有限公司将其持有</w:t>
      </w:r>
      <w:r>
        <w:rPr>
          <w:spacing w:val="-86"/>
        </w:rPr>
        <w:t> </w:t>
      </w:r>
      <w:r>
        <w:rPr>
          <w:spacing w:val="-86"/>
        </w:rPr>
      </w:r>
      <w:r>
        <w:rPr>
          <w:spacing w:val="-1"/>
        </w:rPr>
        <w:t>的公司</w:t>
      </w:r>
      <w:r>
        <w:rPr>
          <w:rFonts w:ascii="Times New Roman" w:hAnsi="Times New Roman" w:cs="Times New Roman" w:eastAsia="Times New Roman" w:hint="default"/>
          <w:spacing w:val="-1"/>
        </w:rPr>
        <w:t>0.5521%</w:t>
      </w:r>
      <w:r>
        <w:rPr>
          <w:spacing w:val="-1"/>
        </w:rPr>
        <w:t>股权以</w:t>
      </w:r>
      <w:r>
        <w:rPr>
          <w:rFonts w:ascii="Times New Roman" w:hAnsi="Times New Roman" w:cs="Times New Roman" w:eastAsia="Times New Roman" w:hint="default"/>
          <w:spacing w:val="-1"/>
        </w:rPr>
        <w:t>1</w:t>
      </w:r>
      <w:r>
        <w:rPr>
          <w:spacing w:val="-1"/>
        </w:rPr>
        <w:t>元的价格转让给华大控股。成都光控自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14</w:t>
      </w:r>
      <w:r>
        <w:rPr>
          <w:spacing w:val="-1"/>
        </w:rPr>
        <w:t>日认缴出资额人民币</w:t>
      </w:r>
      <w:r>
        <w:rPr>
          <w:rFonts w:ascii="Times New Roman" w:hAnsi="Times New Roman" w:cs="Times New Roman" w:eastAsia="Times New Roman" w:hint="default"/>
          <w:spacing w:val="-1"/>
        </w:rPr>
        <w:t>352,941</w:t>
      </w:r>
      <w:r>
        <w:rPr>
          <w:spacing w:val="-1"/>
        </w:rPr>
        <w:t>元至本次股权转让之</w:t>
      </w:r>
      <w:r>
        <w:rPr>
          <w:spacing w:val="-87"/>
        </w:rPr>
        <w:t> </w:t>
      </w:r>
      <w:r>
        <w:rPr>
          <w:spacing w:val="-87"/>
        </w:rPr>
      </w:r>
      <w:r>
        <w:rPr>
          <w:spacing w:val="-2"/>
        </w:rPr>
        <w:t>日，未实缴出资额，故本次股权转让以象征性的价格作为对价，成都光控西部创投认缴出资额由华大控股实缴出资。上述少</w:t>
      </w:r>
      <w:r>
        <w:rPr>
          <w:spacing w:val="-64"/>
        </w:rPr>
        <w:t> </w:t>
      </w:r>
      <w:r>
        <w:rPr>
          <w:spacing w:val="-64"/>
        </w:rPr>
      </w:r>
      <w:r>
        <w:rPr>
          <w:spacing w:val="-1"/>
        </w:rPr>
        <w:t>数股东合计对本公司投资人民币</w:t>
      </w:r>
      <w:r>
        <w:rPr>
          <w:rFonts w:ascii="Times New Roman" w:hAnsi="Times New Roman" w:cs="Times New Roman" w:eastAsia="Times New Roman" w:hint="default"/>
          <w:spacing w:val="-1"/>
        </w:rPr>
        <w:t>5.5</w:t>
      </w:r>
      <w:r>
        <w:rPr>
          <w:spacing w:val="-1"/>
        </w:rPr>
        <w:t>亿元，另外华大控股新增对本公司投资人民币</w:t>
      </w:r>
      <w:r>
        <w:rPr>
          <w:rFonts w:ascii="Times New Roman" w:hAnsi="Times New Roman" w:cs="Times New Roman" w:eastAsia="Times New Roman" w:hint="default"/>
          <w:spacing w:val="-1"/>
        </w:rPr>
        <w:t>5,000</w:t>
      </w:r>
      <w:r>
        <w:rPr>
          <w:spacing w:val="-1"/>
        </w:rPr>
        <w:t>万元，持股比例</w:t>
      </w:r>
      <w:r>
        <w:rPr>
          <w:rFonts w:ascii="Times New Roman" w:hAnsi="Times New Roman" w:cs="Times New Roman" w:eastAsia="Times New Roman" w:hint="default"/>
          <w:spacing w:val="-1"/>
        </w:rPr>
        <w:t>0.4717%</w:t>
      </w:r>
      <w:r>
        <w:rPr>
          <w:spacing w:val="-1"/>
        </w:rPr>
        <w:t>；并于同年</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3"/>
        </w:rPr>
        <w:t> </w:t>
      </w:r>
      <w:r>
        <w:rPr>
          <w:spacing w:val="-1"/>
        </w:rPr>
        <w:t>月</w:t>
      </w:r>
      <w:r>
        <w:rPr>
          <w:rFonts w:ascii="Times New Roman" w:hAnsi="Times New Roman" w:cs="Times New Roman" w:eastAsia="Times New Roman" w:hint="default"/>
          <w:spacing w:val="-1"/>
        </w:rPr>
        <w:t>24</w:t>
      </w:r>
      <w:r>
        <w:rPr>
          <w:spacing w:val="-1"/>
        </w:rPr>
        <w:t>日，将该等</w:t>
      </w:r>
      <w:r>
        <w:rPr>
          <w:rFonts w:ascii="Times New Roman" w:hAnsi="Times New Roman" w:cs="Times New Roman" w:eastAsia="Times New Roman" w:hint="default"/>
          <w:spacing w:val="-1"/>
        </w:rPr>
        <w:t>0.4717%</w:t>
      </w:r>
      <w:r>
        <w:rPr>
          <w:spacing w:val="-1"/>
        </w:rPr>
        <w:t>的股权作价人民币</w:t>
      </w:r>
      <w:r>
        <w:rPr>
          <w:rFonts w:ascii="Times New Roman" w:hAnsi="Times New Roman" w:cs="Times New Roman" w:eastAsia="Times New Roman" w:hint="default"/>
          <w:spacing w:val="-1"/>
        </w:rPr>
        <w:t>5,000</w:t>
      </w:r>
      <w:r>
        <w:rPr>
          <w:spacing w:val="-1"/>
        </w:rPr>
        <w:t>万元转让予上海腾希投资合伙企业（有限合伙）及深圳市华弘资本管理有限</w:t>
      </w:r>
      <w:r>
        <w:rPr>
          <w:spacing w:val="-85"/>
        </w:rPr>
        <w:t> </w:t>
      </w:r>
      <w:r>
        <w:rPr>
          <w:spacing w:val="-85"/>
        </w:rPr>
      </w:r>
      <w:r>
        <w:rPr/>
        <w:t>公司，合计新增对本公司投资人民币</w:t>
      </w:r>
      <w:r>
        <w:rPr>
          <w:rFonts w:ascii="Times New Roman" w:hAnsi="Times New Roman" w:cs="Times New Roman" w:eastAsia="Times New Roman" w:hint="default"/>
        </w:rPr>
        <w:t>6</w:t>
      </w:r>
      <w:r>
        <w:rPr/>
        <w:t>亿元。注册资本由人民币</w:t>
      </w:r>
      <w:r>
        <w:rPr>
          <w:rFonts w:ascii="Times New Roman" w:hAnsi="Times New Roman" w:cs="Times New Roman" w:eastAsia="Times New Roman" w:hint="default"/>
        </w:rPr>
        <w:t>6,000</w:t>
      </w:r>
      <w:r>
        <w:rPr/>
        <w:t>万元增加到人民币</w:t>
      </w:r>
      <w:r>
        <w:rPr>
          <w:rFonts w:ascii="Times New Roman" w:hAnsi="Times New Roman" w:cs="Times New Roman" w:eastAsia="Times New Roman" w:hint="default"/>
        </w:rPr>
        <w:t>6,392.1607</w:t>
      </w:r>
      <w:r>
        <w:rPr/>
        <w:t>万元，资本公积增加人民</w:t>
      </w:r>
      <w:r>
        <w:rPr>
          <w:spacing w:val="-47"/>
        </w:rPr>
        <w:t> </w:t>
      </w:r>
      <w:r>
        <w:rPr>
          <w:spacing w:val="-47"/>
        </w:rPr>
      </w:r>
      <w:r>
        <w:rPr/>
        <w:t>币</w:t>
      </w:r>
      <w:r>
        <w:rPr>
          <w:rFonts w:ascii="Times New Roman" w:hAnsi="Times New Roman" w:cs="Times New Roman" w:eastAsia="Times New Roman" w:hint="default"/>
        </w:rPr>
        <w:t>59,607.8393</w:t>
      </w:r>
      <w:r>
        <w:rPr/>
        <w:t>万元。</w:t>
      </w:r>
    </w:p>
    <w:p>
      <w:pPr>
        <w:pStyle w:val="BodyText"/>
        <w:spacing w:line="309" w:lineRule="auto" w:before="11"/>
        <w:ind w:right="186"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日股东大会决议通过，华大控股将其持有本公司的</w:t>
      </w:r>
      <w:r>
        <w:rPr>
          <w:rFonts w:ascii="Times New Roman" w:hAnsi="Times New Roman" w:cs="Times New Roman" w:eastAsia="Times New Roman" w:hint="default"/>
        </w:rPr>
        <w:t>13.2076%</w:t>
      </w:r>
      <w:r>
        <w:rPr/>
        <w:t>股份，作价人民币</w:t>
      </w:r>
      <w:r>
        <w:rPr>
          <w:rFonts w:ascii="Times New Roman" w:hAnsi="Times New Roman" w:cs="Times New Roman" w:eastAsia="Times New Roman" w:hint="default"/>
        </w:rPr>
        <w:t>14</w:t>
      </w:r>
      <w:r>
        <w:rPr/>
        <w:t>亿元，转让给另外</w:t>
      </w:r>
      <w:r>
        <w:rPr>
          <w:rFonts w:ascii="Times New Roman" w:hAnsi="Times New Roman" w:cs="Times New Roman" w:eastAsia="Times New Roman" w:hint="default"/>
        </w:rPr>
        <w:t>10</w:t>
      </w:r>
      <w:r>
        <w:rPr/>
        <w:t>个非 关联方股东，分别为深圳市创新投资集团有限公司、深圳市红土生物创业投资有限公司、上海腾希投资合伙企业（有限合</w:t>
      </w:r>
      <w:r>
        <w:rPr>
          <w:spacing w:val="-11"/>
        </w:rPr>
        <w:t> </w:t>
      </w:r>
      <w:r>
        <w:rPr>
          <w:spacing w:val="-11"/>
        </w:rPr>
      </w:r>
      <w:r>
        <w:rPr>
          <w:spacing w:val="-2"/>
        </w:rPr>
        <w:t>伙）、苏州松禾成长二号创业投资中心（有限合伙）、北京国投协力华大股权投资中心（有限合伙）、青岛金石灏汭投资有</w:t>
      </w:r>
      <w:r>
        <w:rPr>
          <w:spacing w:val="-65"/>
        </w:rPr>
        <w:t> </w:t>
      </w:r>
      <w:r>
        <w:rPr>
          <w:spacing w:val="-65"/>
        </w:rPr>
      </w:r>
      <w:r>
        <w:rPr>
          <w:spacing w:val="-2"/>
        </w:rPr>
        <w:t>限公司、深圳乐华源城投资有限公司、深圳市金翼汇顺健康产业投资合伙企业（有限合伙）、深圳国华腾飞创新投资基金企</w:t>
      </w:r>
      <w:r>
        <w:rPr>
          <w:spacing w:val="-67"/>
        </w:rPr>
        <w:t> </w:t>
      </w:r>
      <w:r>
        <w:rPr>
          <w:spacing w:val="-67"/>
        </w:rPr>
      </w:r>
      <w:r>
        <w:rPr>
          <w:spacing w:val="-3"/>
        </w:rPr>
        <w:t>业（有限合伙）、深圳市有孚创业投资企业（有限合伙），分别转让的股份比例为</w:t>
      </w:r>
      <w:r>
        <w:rPr>
          <w:rFonts w:ascii="Times New Roman" w:hAnsi="Times New Roman" w:cs="Times New Roman" w:eastAsia="Times New Roman" w:hint="default"/>
          <w:spacing w:val="-3"/>
        </w:rPr>
        <w:t>0.3774%</w:t>
      </w:r>
      <w:r>
        <w:rPr>
          <w:spacing w:val="-3"/>
        </w:rPr>
        <w:t>、</w:t>
      </w:r>
      <w:r>
        <w:rPr>
          <w:rFonts w:ascii="Times New Roman" w:hAnsi="Times New Roman" w:cs="Times New Roman" w:eastAsia="Times New Roman" w:hint="default"/>
          <w:spacing w:val="-3"/>
        </w:rPr>
        <w:t>0.3774%</w:t>
      </w:r>
      <w:r>
        <w:rPr>
          <w:spacing w:val="-3"/>
        </w:rPr>
        <w:t>、</w:t>
      </w:r>
      <w:r>
        <w:rPr>
          <w:rFonts w:ascii="Times New Roman" w:hAnsi="Times New Roman" w:cs="Times New Roman" w:eastAsia="Times New Roman" w:hint="default"/>
          <w:spacing w:val="-3"/>
        </w:rPr>
        <w:t>0.3774%</w:t>
      </w:r>
      <w:r>
        <w:rPr>
          <w:spacing w:val="-3"/>
        </w:rPr>
        <w:t>、</w:t>
      </w:r>
      <w:r>
        <w:rPr>
          <w:rFonts w:ascii="Times New Roman" w:hAnsi="Times New Roman" w:cs="Times New Roman" w:eastAsia="Times New Roman" w:hint="default"/>
          <w:spacing w:val="-3"/>
        </w:rPr>
        <w:t>0.9434%</w:t>
      </w:r>
      <w:r>
        <w:rPr>
          <w:spacing w:val="-3"/>
        </w:rPr>
        <w:t>、</w:t>
      </w:r>
      <w:r>
        <w:rPr>
          <w:spacing w:val="-37"/>
        </w:rPr>
        <w:t> </w:t>
      </w:r>
      <w:r>
        <w:rPr>
          <w:rFonts w:ascii="Times New Roman" w:hAnsi="Times New Roman" w:cs="Times New Roman" w:eastAsia="Times New Roman" w:hint="default"/>
        </w:rPr>
        <w:t>1.6981%</w:t>
      </w:r>
      <w:r>
        <w:rPr/>
        <w:t>、</w:t>
      </w:r>
      <w:r>
        <w:rPr>
          <w:rFonts w:ascii="Times New Roman" w:hAnsi="Times New Roman" w:cs="Times New Roman" w:eastAsia="Times New Roman" w:hint="default"/>
        </w:rPr>
        <w:t>1.8868%</w:t>
      </w:r>
      <w:r>
        <w:rPr/>
        <w:t>、</w:t>
      </w:r>
      <w:r>
        <w:rPr>
          <w:rFonts w:ascii="Times New Roman" w:hAnsi="Times New Roman" w:cs="Times New Roman" w:eastAsia="Times New Roman" w:hint="default"/>
        </w:rPr>
        <w:t>1.8868%</w:t>
      </w:r>
      <w:r>
        <w:rPr/>
        <w:t>、</w:t>
      </w:r>
      <w:r>
        <w:rPr>
          <w:rFonts w:ascii="Times New Roman" w:hAnsi="Times New Roman" w:cs="Times New Roman" w:eastAsia="Times New Roman" w:hint="default"/>
        </w:rPr>
        <w:t>1.8868%</w:t>
      </w:r>
      <w:r>
        <w:rPr/>
        <w:t>、</w:t>
      </w:r>
      <w:r>
        <w:rPr>
          <w:rFonts w:ascii="Times New Roman" w:hAnsi="Times New Roman" w:cs="Times New Roman" w:eastAsia="Times New Roman" w:hint="default"/>
        </w:rPr>
        <w:t>1.8868%</w:t>
      </w:r>
      <w:r>
        <w:rPr/>
        <w:t>、</w:t>
      </w:r>
      <w:r>
        <w:rPr>
          <w:rFonts w:ascii="Times New Roman" w:hAnsi="Times New Roman" w:cs="Times New Roman" w:eastAsia="Times New Roman" w:hint="default"/>
        </w:rPr>
        <w:t>1.8868%</w:t>
      </w:r>
      <w:r>
        <w:rPr/>
        <w:t>。</w:t>
      </w:r>
    </w:p>
    <w:p>
      <w:pPr>
        <w:spacing w:line="240" w:lineRule="auto" w:before="3"/>
        <w:rPr>
          <w:rFonts w:ascii="宋体" w:hAnsi="宋体" w:cs="宋体" w:eastAsia="宋体" w:hint="default"/>
          <w:sz w:val="24"/>
          <w:szCs w:val="24"/>
        </w:rPr>
      </w:pPr>
    </w:p>
    <w:p>
      <w:pPr>
        <w:pStyle w:val="BodyText"/>
        <w:spacing w:line="300" w:lineRule="auto"/>
        <w:ind w:right="193"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日，根据签订《关于深圳华大基因医学有限公司之股权转让协议》，经各方协商确定本次股权转让价格， 华大控股将其持有本公司</w:t>
      </w:r>
      <w:r>
        <w:rPr>
          <w:rFonts w:ascii="Times New Roman" w:hAnsi="Times New Roman" w:cs="Times New Roman" w:eastAsia="Times New Roman" w:hint="default"/>
        </w:rPr>
        <w:t>0.1887%</w:t>
      </w:r>
      <w:r>
        <w:rPr/>
        <w:t>的股权以人民币</w:t>
      </w:r>
      <w:r>
        <w:rPr>
          <w:rFonts w:ascii="Times New Roman" w:hAnsi="Times New Roman" w:cs="Times New Roman" w:eastAsia="Times New Roman" w:hint="default"/>
        </w:rPr>
        <w:t>2,000</w:t>
      </w:r>
      <w:r>
        <w:rPr/>
        <w:t>万元的价格转让给上海腾希、将其持有的本公司</w:t>
      </w:r>
      <w:r>
        <w:rPr>
          <w:rFonts w:ascii="Times New Roman" w:hAnsi="Times New Roman" w:cs="Times New Roman" w:eastAsia="Times New Roman" w:hint="default"/>
        </w:rPr>
        <w:t>0.2830%</w:t>
      </w:r>
      <w:r>
        <w:rPr/>
        <w:t>的股权以人</w:t>
      </w:r>
      <w:r>
        <w:rPr>
          <w:spacing w:val="-77"/>
        </w:rPr>
        <w:t> </w:t>
      </w:r>
      <w:r>
        <w:rPr/>
        <w:t>民币</w:t>
      </w:r>
      <w:r>
        <w:rPr>
          <w:rFonts w:ascii="Times New Roman" w:hAnsi="Times New Roman" w:cs="Times New Roman" w:eastAsia="Times New Roman" w:hint="default"/>
        </w:rPr>
        <w:t>3,000</w:t>
      </w:r>
      <w:r>
        <w:rPr/>
        <w:t>万元的价格转让给华弘资本。该股权转让完成后，华大控股持有本公司股份下降为</w:t>
      </w:r>
      <w:r>
        <w:rPr>
          <w:rFonts w:ascii="Times New Roman" w:hAnsi="Times New Roman" w:cs="Times New Roman" w:eastAsia="Times New Roman" w:hint="default"/>
        </w:rPr>
        <w:t>50.7010%</w:t>
      </w:r>
      <w:r>
        <w:rPr/>
        <w:t>。</w:t>
      </w:r>
    </w:p>
    <w:p>
      <w:pPr>
        <w:spacing w:after="0" w:line="300" w:lineRule="auto"/>
        <w:jc w:val="both"/>
        <w:sectPr>
          <w:headerReference w:type="default" r:id="rId44"/>
          <w:footerReference w:type="default" r:id="rId45"/>
          <w:pgSz w:w="11910" w:h="16840"/>
          <w:pgMar w:header="880" w:footer="974" w:top="1100" w:bottom="1160" w:left="980" w:right="940"/>
          <w:pgNumType w:start="147"/>
        </w:sectPr>
      </w:pPr>
    </w:p>
    <w:p>
      <w:pPr>
        <w:spacing w:line="240" w:lineRule="auto" w:before="0"/>
        <w:rPr>
          <w:rFonts w:ascii="宋体" w:hAnsi="宋体" w:cs="宋体" w:eastAsia="宋体" w:hint="default"/>
          <w:sz w:val="22"/>
          <w:szCs w:val="22"/>
        </w:rPr>
      </w:pPr>
    </w:p>
    <w:p>
      <w:pPr>
        <w:pStyle w:val="BodyText"/>
        <w:spacing w:line="300" w:lineRule="auto" w:before="44"/>
        <w:ind w:right="249"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日，公司股东会会议作出决议，同意华大控股以人民币</w:t>
      </w:r>
      <w:r>
        <w:rPr>
          <w:rFonts w:ascii="Times New Roman" w:hAnsi="Times New Roman" w:cs="Times New Roman" w:eastAsia="Times New Roman" w:hint="default"/>
        </w:rPr>
        <w:t>70,603,738.65</w:t>
      </w:r>
      <w:r>
        <w:rPr/>
        <w:t>元向公司进行现金增资，将公司注册 </w:t>
      </w:r>
      <w:r>
        <w:rPr>
          <w:spacing w:val="-2"/>
        </w:rPr>
        <w:t>资本由人民币</w:t>
      </w:r>
      <w:r>
        <w:rPr>
          <w:rFonts w:ascii="Times New Roman" w:hAnsi="Times New Roman" w:cs="Times New Roman" w:eastAsia="Times New Roman" w:hint="default"/>
          <w:spacing w:val="-2"/>
        </w:rPr>
        <w:t>6,392.1607</w:t>
      </w:r>
      <w:r>
        <w:rPr>
          <w:spacing w:val="-2"/>
        </w:rPr>
        <w:t>万元增加至人民币</w:t>
      </w:r>
      <w:r>
        <w:rPr>
          <w:rFonts w:ascii="Times New Roman" w:hAnsi="Times New Roman" w:cs="Times New Roman" w:eastAsia="Times New Roman" w:hint="default"/>
          <w:spacing w:val="-2"/>
        </w:rPr>
        <w:t>6,995.1947</w:t>
      </w:r>
      <w:r>
        <w:rPr>
          <w:spacing w:val="-2"/>
        </w:rPr>
        <w:t>万元。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日，公司股东会会议作出决议，同意华大控股、华</w:t>
      </w:r>
      <w:r>
        <w:rPr>
          <w:spacing w:val="-43"/>
        </w:rPr>
        <w:t> </w:t>
      </w:r>
      <w:r>
        <w:rPr>
          <w:spacing w:val="-43"/>
        </w:rPr>
      </w:r>
      <w:r>
        <w:rPr>
          <w:spacing w:val="-1"/>
        </w:rPr>
        <w:t>大三生园以其持有的深圳华大基因科技服务有限公司</w:t>
      </w:r>
      <w:r>
        <w:rPr>
          <w:rFonts w:ascii="Times New Roman" w:hAnsi="Times New Roman" w:cs="Times New Roman" w:eastAsia="Times New Roman" w:hint="default"/>
          <w:spacing w:val="-1"/>
        </w:rPr>
        <w:t>(“</w:t>
      </w:r>
      <w:r>
        <w:rPr>
          <w:spacing w:val="-1"/>
        </w:rPr>
        <w:t>华大科技</w:t>
      </w:r>
      <w:r>
        <w:rPr>
          <w:rFonts w:ascii="Times New Roman" w:hAnsi="Times New Roman" w:cs="Times New Roman" w:eastAsia="Times New Roman" w:hint="default"/>
          <w:spacing w:val="-1"/>
        </w:rPr>
        <w:t>”)</w:t>
      </w:r>
      <w:r>
        <w:rPr>
          <w:spacing w:val="-1"/>
        </w:rPr>
        <w:t>共计</w:t>
      </w:r>
      <w:r>
        <w:rPr>
          <w:rFonts w:ascii="Times New Roman" w:hAnsi="Times New Roman" w:cs="Times New Roman" w:eastAsia="Times New Roman" w:hint="default"/>
          <w:spacing w:val="-1"/>
        </w:rPr>
        <w:t>57.6225%</w:t>
      </w:r>
      <w:r>
        <w:rPr>
          <w:spacing w:val="-1"/>
        </w:rPr>
        <w:t>的股权对本公司进行增资，将公司注册资本</w:t>
      </w:r>
      <w:r>
        <w:rPr>
          <w:spacing w:val="-49"/>
        </w:rPr>
        <w:t> </w:t>
      </w:r>
      <w:r>
        <w:rPr>
          <w:spacing w:val="-49"/>
        </w:rPr>
      </w:r>
      <w:r>
        <w:rPr>
          <w:spacing w:val="6"/>
        </w:rPr>
        <w:t>由人民币</w:t>
      </w:r>
      <w:r>
        <w:rPr>
          <w:rFonts w:ascii="Times New Roman" w:hAnsi="Times New Roman" w:cs="Times New Roman" w:eastAsia="Times New Roman" w:hint="default"/>
          <w:spacing w:val="6"/>
        </w:rPr>
        <w:t>6,995.1947</w:t>
      </w:r>
      <w:r>
        <w:rPr>
          <w:spacing w:val="6"/>
        </w:rPr>
        <w:t>万元增加至人民币</w:t>
      </w:r>
      <w:r>
        <w:rPr>
          <w:rFonts w:ascii="Times New Roman" w:hAnsi="Times New Roman" w:cs="Times New Roman" w:eastAsia="Times New Roman" w:hint="default"/>
          <w:spacing w:val="6"/>
        </w:rPr>
        <w:t>8,585.8836</w:t>
      </w:r>
      <w:r>
        <w:rPr>
          <w:spacing w:val="6"/>
        </w:rPr>
        <w:t>万元。至此，华大控股和华大三生园分别持有本公司股份</w:t>
      </w:r>
      <w:r>
        <w:rPr>
          <w:rFonts w:ascii="Times New Roman" w:hAnsi="Times New Roman" w:cs="Times New Roman" w:eastAsia="Times New Roman" w:hint="default"/>
          <w:spacing w:val="6"/>
        </w:rPr>
        <w:t>61.9818%</w:t>
      </w:r>
      <w:r>
        <w:rPr>
          <w:spacing w:val="6"/>
        </w:rPr>
        <w:t>和</w:t>
      </w:r>
      <w:r>
        <w:rPr>
          <w:spacing w:val="-80"/>
        </w:rPr>
        <w:t> </w:t>
      </w:r>
      <w:r>
        <w:rPr>
          <w:rFonts w:ascii="Times New Roman" w:hAnsi="Times New Roman" w:cs="Times New Roman" w:eastAsia="Times New Roman" w:hint="default"/>
        </w:rPr>
        <w:t>1.3153%</w:t>
      </w:r>
      <w:r>
        <w:rPr/>
        <w:t>。</w:t>
      </w:r>
    </w:p>
    <w:p>
      <w:pPr>
        <w:pStyle w:val="BodyText"/>
        <w:spacing w:line="300" w:lineRule="auto" w:before="13"/>
        <w:ind w:right="154"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日，根据签订《关于深圳华大基因医学有限公司之股权转让协议》，经各方协商确定本次股权转让价格， </w:t>
      </w:r>
      <w:r>
        <w:rPr>
          <w:spacing w:val="5"/>
        </w:rPr>
        <w:t>上海景林将其所持</w:t>
      </w:r>
      <w:r>
        <w:rPr>
          <w:rFonts w:ascii="Times New Roman" w:hAnsi="Times New Roman" w:cs="Times New Roman" w:eastAsia="Times New Roman" w:hint="default"/>
          <w:spacing w:val="5"/>
        </w:rPr>
        <w:t>0.2056%</w:t>
      </w:r>
      <w:r>
        <w:rPr>
          <w:spacing w:val="5"/>
        </w:rPr>
        <w:t>的股权作价人民币</w:t>
      </w:r>
      <w:r>
        <w:rPr>
          <w:rFonts w:ascii="Times New Roman" w:hAnsi="Times New Roman" w:cs="Times New Roman" w:eastAsia="Times New Roman" w:hint="default"/>
          <w:spacing w:val="5"/>
        </w:rPr>
        <w:t>2,628.0822</w:t>
      </w:r>
      <w:r>
        <w:rPr>
          <w:spacing w:val="5"/>
        </w:rPr>
        <w:t>万元价格转让给南海成长、将其所持</w:t>
      </w:r>
      <w:r>
        <w:rPr>
          <w:rFonts w:ascii="Times New Roman" w:hAnsi="Times New Roman" w:cs="Times New Roman" w:eastAsia="Times New Roman" w:hint="default"/>
          <w:spacing w:val="5"/>
        </w:rPr>
        <w:t>0.1644%</w:t>
      </w:r>
      <w:r>
        <w:rPr>
          <w:spacing w:val="5"/>
        </w:rPr>
        <w:t>的股权作价人民币</w:t>
      </w:r>
      <w:r>
        <w:rPr>
          <w:spacing w:val="-86"/>
        </w:rPr>
        <w:t> </w:t>
      </w:r>
      <w:r>
        <w:rPr>
          <w:spacing w:val="-86"/>
        </w:rPr>
      </w:r>
      <w:r>
        <w:rPr>
          <w:rFonts w:ascii="Times New Roman" w:hAnsi="Times New Roman" w:cs="Times New Roman" w:eastAsia="Times New Roman" w:hint="default"/>
        </w:rPr>
        <w:t>2,102.4658</w:t>
      </w:r>
      <w:r>
        <w:rPr/>
        <w:t>万元价格转让给华弘资本。</w:t>
      </w:r>
    </w:p>
    <w:p>
      <w:pPr>
        <w:pStyle w:val="BodyText"/>
        <w:spacing w:line="300" w:lineRule="auto" w:before="13"/>
        <w:ind w:right="0" w:firstLine="360"/>
        <w:jc w:val="left"/>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日董事会决议，本公司与华大控股、深圳和玉高林股权投资合伙企业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和玉高林</w:t>
      </w:r>
      <w:r>
        <w:rPr>
          <w:rFonts w:ascii="Times New Roman" w:hAnsi="Times New Roman" w:cs="Times New Roman" w:eastAsia="Times New Roman" w:hint="default"/>
        </w:rPr>
        <w:t>”</w:t>
      </w:r>
      <w:r>
        <w:rPr/>
        <w:t>）签订的 </w:t>
      </w:r>
      <w:r>
        <w:rPr>
          <w:spacing w:val="-4"/>
        </w:rPr>
        <w:t>投资协议，和玉高林对本公司投资人民币</w:t>
      </w:r>
      <w:r>
        <w:rPr>
          <w:rFonts w:ascii="Times New Roman" w:hAnsi="Times New Roman" w:cs="Times New Roman" w:eastAsia="Times New Roman" w:hint="default"/>
          <w:spacing w:val="-4"/>
        </w:rPr>
        <w:t>15</w:t>
      </w:r>
      <w:r>
        <w:rPr>
          <w:spacing w:val="-4"/>
        </w:rPr>
        <w:t>亿元，将公司注册资本由</w:t>
      </w:r>
      <w:r>
        <w:rPr>
          <w:rFonts w:ascii="Times New Roman" w:hAnsi="Times New Roman" w:cs="Times New Roman" w:eastAsia="Times New Roman" w:hint="default"/>
          <w:spacing w:val="-4"/>
        </w:rPr>
        <w:t>8,585.8836</w:t>
      </w:r>
      <w:r>
        <w:rPr>
          <w:spacing w:val="-4"/>
        </w:rPr>
        <w:t>万元增加至</w:t>
      </w:r>
      <w:r>
        <w:rPr>
          <w:rFonts w:ascii="Times New Roman" w:hAnsi="Times New Roman" w:cs="Times New Roman" w:eastAsia="Times New Roman" w:hint="default"/>
          <w:spacing w:val="-4"/>
        </w:rPr>
        <w:t>9,353.8864</w:t>
      </w:r>
      <w:r>
        <w:rPr>
          <w:spacing w:val="-4"/>
        </w:rPr>
        <w:t>万元，持有本公司</w:t>
      </w:r>
      <w:r>
        <w:rPr>
          <w:rFonts w:ascii="Times New Roman" w:hAnsi="Times New Roman" w:cs="Times New Roman" w:eastAsia="Times New Roman" w:hint="default"/>
          <w:spacing w:val="-4"/>
        </w:rPr>
        <w:t>8.2105%</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股份。至此，华大控股持有本公司的股权稀释为</w:t>
      </w:r>
      <w:r>
        <w:rPr>
          <w:rFonts w:ascii="Times New Roman" w:hAnsi="Times New Roman" w:cs="Times New Roman" w:eastAsia="Times New Roman" w:hint="default"/>
        </w:rPr>
        <w:t>56.8928%</w:t>
      </w:r>
      <w:r>
        <w:rPr/>
        <w:t>。</w:t>
      </w:r>
    </w:p>
    <w:p>
      <w:pPr>
        <w:pStyle w:val="BodyText"/>
        <w:spacing w:line="300" w:lineRule="auto" w:before="13"/>
        <w:ind w:right="255"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日，根据签订《关于深圳华大基因医学有限公司之股权转让协议》，经双方协商确定本次股权转让价格， 华大控股将其所持</w:t>
      </w:r>
      <w:r>
        <w:rPr>
          <w:rFonts w:ascii="Times New Roman" w:hAnsi="Times New Roman" w:cs="Times New Roman" w:eastAsia="Times New Roman" w:hint="default"/>
        </w:rPr>
        <w:t>2.7368%</w:t>
      </w:r>
      <w:r>
        <w:rPr/>
        <w:t>的股权以人民币</w:t>
      </w:r>
      <w:r>
        <w:rPr>
          <w:rFonts w:ascii="Times New Roman" w:hAnsi="Times New Roman" w:cs="Times New Roman" w:eastAsia="Times New Roman" w:hint="default"/>
        </w:rPr>
        <w:t>50,000</w:t>
      </w:r>
      <w:r>
        <w:rPr/>
        <w:t>万元的价格转让给和玉高林。</w:t>
      </w:r>
    </w:p>
    <w:p>
      <w:pPr>
        <w:pStyle w:val="BodyText"/>
        <w:spacing w:line="304" w:lineRule="auto" w:before="13"/>
        <w:ind w:right="248" w:firstLine="360"/>
        <w:jc w:val="both"/>
      </w:pPr>
      <w:r>
        <w:rPr>
          <w:spacing w:val="-2"/>
        </w:rPr>
        <w:t>根据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spacing w:val="-2"/>
        </w:rPr>
        <w:t>日及</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29</w:t>
      </w:r>
      <w:r>
        <w:rPr>
          <w:spacing w:val="-2"/>
        </w:rPr>
        <w:t>日董事会决议，根据相关股权转让协议，华大控股向</w:t>
      </w:r>
      <w:r>
        <w:rPr>
          <w:rFonts w:ascii="Times New Roman" w:hAnsi="Times New Roman" w:cs="Times New Roman" w:eastAsia="Times New Roman" w:hint="default"/>
          <w:spacing w:val="-2"/>
        </w:rPr>
        <w:t>7</w:t>
      </w:r>
      <w:r>
        <w:rPr>
          <w:spacing w:val="-2"/>
        </w:rPr>
        <w:t>个投资者转让本公司</w:t>
      </w:r>
      <w:r>
        <w:rPr>
          <w:rFonts w:ascii="Times New Roman" w:hAnsi="Times New Roman" w:cs="Times New Roman" w:eastAsia="Times New Roman" w:hint="default"/>
          <w:spacing w:val="-2"/>
        </w:rPr>
        <w:t>8.2104%</w:t>
      </w:r>
      <w:r>
        <w:rPr>
          <w:spacing w:val="-2"/>
        </w:rPr>
        <w:t>的</w:t>
      </w:r>
      <w:r>
        <w:rPr/>
        <w:t> 股权，</w:t>
      </w:r>
      <w:r>
        <w:rPr>
          <w:rFonts w:ascii="Times New Roman" w:hAnsi="Times New Roman" w:cs="Times New Roman" w:eastAsia="Times New Roman" w:hint="default"/>
        </w:rPr>
        <w:t>7</w:t>
      </w:r>
      <w:r>
        <w:rPr/>
        <w:t>个外部投资者中金佳成（天津）医疗投资中心（有限合伙）、北京丰悦泰和股权投资合伙企业（有限合伙）、萍乡</w:t>
      </w:r>
      <w:r>
        <w:rPr>
          <w:spacing w:val="-84"/>
        </w:rPr>
        <w:t> </w:t>
      </w:r>
      <w:r>
        <w:rPr>
          <w:spacing w:val="-84"/>
        </w:rPr>
      </w:r>
      <w:r>
        <w:rPr>
          <w:spacing w:val="-2"/>
        </w:rPr>
        <w:t>市汇晟资产管理合伙企业（有限合伙）、深圳春藤股权投资合伙企业（有限合伙）、深圳市东土盛唐投资管理合伙企业（有</w:t>
      </w:r>
      <w:r>
        <w:rPr>
          <w:spacing w:val="-73"/>
        </w:rPr>
        <w:t> </w:t>
      </w:r>
      <w:r>
        <w:rPr>
          <w:spacing w:val="-73"/>
        </w:rPr>
      </w:r>
      <w:r>
        <w:rPr>
          <w:spacing w:val="-3"/>
        </w:rPr>
        <w:t>限合伙）、深圳市盛桥新健康投资合伙企业（有限合伙）、中国人寿保险（集团）公司，分别以人民币</w:t>
      </w:r>
      <w:r>
        <w:rPr>
          <w:rFonts w:ascii="Times New Roman" w:hAnsi="Times New Roman" w:cs="Times New Roman" w:eastAsia="Times New Roman" w:hint="default"/>
          <w:spacing w:val="-3"/>
        </w:rPr>
        <w:t>1</w:t>
      </w:r>
      <w:r>
        <w:rPr>
          <w:spacing w:val="-3"/>
        </w:rPr>
        <w:t>亿元、</w:t>
      </w:r>
      <w:r>
        <w:rPr>
          <w:rFonts w:ascii="Times New Roman" w:hAnsi="Times New Roman" w:cs="Times New Roman" w:eastAsia="Times New Roman" w:hint="default"/>
          <w:spacing w:val="-3"/>
        </w:rPr>
        <w:t>5</w:t>
      </w:r>
      <w:r>
        <w:rPr>
          <w:spacing w:val="-3"/>
        </w:rPr>
        <w:t>亿元、</w:t>
      </w:r>
      <w:r>
        <w:rPr>
          <w:rFonts w:ascii="Times New Roman" w:hAnsi="Times New Roman" w:cs="Times New Roman" w:eastAsia="Times New Roman" w:hint="default"/>
          <w:spacing w:val="-3"/>
        </w:rPr>
        <w:t>0.6</w:t>
      </w:r>
      <w:r>
        <w:rPr>
          <w:spacing w:val="-3"/>
        </w:rPr>
        <w:t>亿</w:t>
      </w:r>
      <w:r>
        <w:rPr>
          <w:spacing w:val="-54"/>
        </w:rPr>
        <w:t> </w:t>
      </w:r>
      <w:r>
        <w:rPr>
          <w:spacing w:val="-7"/>
        </w:rPr>
        <w:t>元、</w:t>
      </w:r>
      <w:r>
        <w:rPr>
          <w:rFonts w:ascii="Times New Roman" w:hAnsi="Times New Roman" w:cs="Times New Roman" w:eastAsia="Times New Roman" w:hint="default"/>
          <w:spacing w:val="-7"/>
        </w:rPr>
        <w:t>0.8</w:t>
      </w:r>
      <w:r>
        <w:rPr>
          <w:spacing w:val="-7"/>
        </w:rPr>
        <w:t>亿元、</w:t>
      </w:r>
      <w:r>
        <w:rPr>
          <w:rFonts w:ascii="Times New Roman" w:hAnsi="Times New Roman" w:cs="Times New Roman" w:eastAsia="Times New Roman" w:hint="default"/>
          <w:spacing w:val="-7"/>
        </w:rPr>
        <w:t>1.2</w:t>
      </w:r>
      <w:r>
        <w:rPr>
          <w:spacing w:val="-7"/>
        </w:rPr>
        <w:t>亿元、</w:t>
      </w:r>
      <w:r>
        <w:rPr>
          <w:rFonts w:ascii="Times New Roman" w:hAnsi="Times New Roman" w:cs="Times New Roman" w:eastAsia="Times New Roman" w:hint="default"/>
          <w:spacing w:val="-7"/>
        </w:rPr>
        <w:t>1.4</w:t>
      </w:r>
      <w:r>
        <w:rPr>
          <w:spacing w:val="-7"/>
        </w:rPr>
        <w:t>亿元、</w:t>
      </w:r>
      <w:r>
        <w:rPr>
          <w:rFonts w:ascii="Times New Roman" w:hAnsi="Times New Roman" w:cs="Times New Roman" w:eastAsia="Times New Roman" w:hint="default"/>
          <w:spacing w:val="-7"/>
        </w:rPr>
        <w:t>5</w:t>
      </w:r>
      <w:r>
        <w:rPr>
          <w:spacing w:val="-7"/>
        </w:rPr>
        <w:t>亿元的对价换取了华大控股持有本公司的</w:t>
      </w:r>
      <w:r>
        <w:rPr>
          <w:rFonts w:ascii="Times New Roman" w:hAnsi="Times New Roman" w:cs="Times New Roman" w:eastAsia="Times New Roman" w:hint="default"/>
          <w:spacing w:val="-7"/>
        </w:rPr>
        <w:t>0.5474%</w:t>
      </w:r>
      <w:r>
        <w:rPr>
          <w:spacing w:val="-7"/>
        </w:rPr>
        <w:t>、</w:t>
      </w:r>
      <w:r>
        <w:rPr>
          <w:rFonts w:ascii="Times New Roman" w:hAnsi="Times New Roman" w:cs="Times New Roman" w:eastAsia="Times New Roman" w:hint="default"/>
          <w:spacing w:val="-7"/>
        </w:rPr>
        <w:t>2.7368%</w:t>
      </w:r>
      <w:r>
        <w:rPr>
          <w:spacing w:val="-7"/>
        </w:rPr>
        <w:t>、</w:t>
      </w:r>
      <w:r>
        <w:rPr>
          <w:rFonts w:ascii="Times New Roman" w:hAnsi="Times New Roman" w:cs="Times New Roman" w:eastAsia="Times New Roman" w:hint="default"/>
          <w:spacing w:val="-7"/>
        </w:rPr>
        <w:t>0.3284%</w:t>
      </w:r>
      <w:r>
        <w:rPr>
          <w:spacing w:val="-7"/>
        </w:rPr>
        <w:t>、</w:t>
      </w:r>
      <w:r>
        <w:rPr>
          <w:rFonts w:ascii="Times New Roman" w:hAnsi="Times New Roman" w:cs="Times New Roman" w:eastAsia="Times New Roman" w:hint="default"/>
          <w:spacing w:val="-7"/>
        </w:rPr>
        <w:t>0.4379%</w:t>
      </w:r>
      <w:r>
        <w:rPr>
          <w:spacing w:val="-7"/>
        </w:rPr>
        <w:t>、</w:t>
      </w:r>
      <w:r>
        <w:rPr>
          <w:rFonts w:ascii="Times New Roman" w:hAnsi="Times New Roman" w:cs="Times New Roman" w:eastAsia="Times New Roman" w:hint="default"/>
          <w:spacing w:val="-7"/>
        </w:rPr>
        <w:t>0.6568%</w:t>
      </w:r>
      <w:r>
        <w:rPr>
          <w:spacing w:val="-7"/>
        </w:rPr>
        <w:t>、</w:t>
      </w:r>
      <w:r>
        <w:rPr>
          <w:spacing w:val="-21"/>
        </w:rPr>
        <w:t> </w:t>
      </w:r>
      <w:r>
        <w:rPr>
          <w:rFonts w:ascii="Times New Roman" w:hAnsi="Times New Roman" w:cs="Times New Roman" w:eastAsia="Times New Roman" w:hint="default"/>
        </w:rPr>
        <w:t>0.7663%</w:t>
      </w:r>
      <w:r>
        <w:rPr/>
        <w:t>、</w:t>
      </w:r>
      <w:r>
        <w:rPr>
          <w:rFonts w:ascii="Times New Roman" w:hAnsi="Times New Roman" w:cs="Times New Roman" w:eastAsia="Times New Roman" w:hint="default"/>
        </w:rPr>
        <w:t>2.7368%</w:t>
      </w:r>
      <w:r>
        <w:rPr/>
        <w:t>的股份。至此，华大控股持有本公司</w:t>
      </w:r>
      <w:r>
        <w:rPr>
          <w:rFonts w:ascii="Times New Roman" w:hAnsi="Times New Roman" w:cs="Times New Roman" w:eastAsia="Times New Roman" w:hint="default"/>
        </w:rPr>
        <w:t>45.9455%</w:t>
      </w:r>
      <w:r>
        <w:rPr/>
        <w:t>股权。</w:t>
      </w:r>
    </w:p>
    <w:p>
      <w:pPr>
        <w:pStyle w:val="BodyText"/>
        <w:spacing w:line="300" w:lineRule="auto" w:before="9"/>
        <w:ind w:right="249" w:firstLine="360"/>
        <w:jc w:val="both"/>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日股东会决议，本公司股东华大控股将其持有本公司的</w:t>
      </w:r>
      <w:r>
        <w:rPr>
          <w:rFonts w:ascii="Times New Roman" w:hAnsi="Times New Roman" w:cs="Times New Roman" w:eastAsia="Times New Roman" w:hint="default"/>
        </w:rPr>
        <w:t>0.0744%</w:t>
      </w:r>
      <w:r>
        <w:rPr/>
        <w:t>、</w:t>
      </w:r>
      <w:r>
        <w:rPr>
          <w:rFonts w:ascii="Times New Roman" w:hAnsi="Times New Roman" w:cs="Times New Roman" w:eastAsia="Times New Roman" w:hint="default"/>
        </w:rPr>
        <w:t>0.0744%</w:t>
      </w:r>
      <w:r>
        <w:rPr/>
        <w:t>和</w:t>
      </w:r>
      <w:r>
        <w:rPr>
          <w:rFonts w:ascii="Times New Roman" w:hAnsi="Times New Roman" w:cs="Times New Roman" w:eastAsia="Times New Roman" w:hint="default"/>
        </w:rPr>
        <w:t>0.1095%</w:t>
      </w:r>
      <w:r>
        <w:rPr/>
        <w:t>的股份分别以人 </w:t>
      </w:r>
      <w:r>
        <w:rPr>
          <w:spacing w:val="-1"/>
        </w:rPr>
        <w:t>民币</w:t>
      </w:r>
      <w:r>
        <w:rPr>
          <w:rFonts w:ascii="Times New Roman" w:hAnsi="Times New Roman" w:cs="Times New Roman" w:eastAsia="Times New Roman" w:hint="default"/>
          <w:spacing w:val="-1"/>
        </w:rPr>
        <w:t>1,360</w:t>
      </w:r>
      <w:r>
        <w:rPr>
          <w:spacing w:val="-1"/>
        </w:rPr>
        <w:t>万元、人民币</w:t>
      </w:r>
      <w:r>
        <w:rPr>
          <w:rFonts w:ascii="Times New Roman" w:hAnsi="Times New Roman" w:cs="Times New Roman" w:eastAsia="Times New Roman" w:hint="default"/>
          <w:spacing w:val="-1"/>
        </w:rPr>
        <w:t>1,360</w:t>
      </w:r>
      <w:r>
        <w:rPr>
          <w:spacing w:val="-1"/>
        </w:rPr>
        <w:t>万元、人民币</w:t>
      </w:r>
      <w:r>
        <w:rPr>
          <w:rFonts w:ascii="Times New Roman" w:hAnsi="Times New Roman" w:cs="Times New Roman" w:eastAsia="Times New Roman" w:hint="default"/>
          <w:spacing w:val="-1"/>
        </w:rPr>
        <w:t>2,000</w:t>
      </w:r>
      <w:r>
        <w:rPr>
          <w:spacing w:val="-1"/>
        </w:rPr>
        <w:t>万元，转让给深圳市红土生物创业投资有限公司、深圳市创新投资集团有限</w:t>
      </w:r>
      <w:r>
        <w:rPr>
          <w:spacing w:val="-74"/>
        </w:rPr>
        <w:t> </w:t>
      </w:r>
      <w:r>
        <w:rPr>
          <w:spacing w:val="-74"/>
        </w:rPr>
      </w:r>
      <w:r>
        <w:rPr/>
        <w:t>公司和深圳市深港产学研创业投资有限公司，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日，本公司完成工商变更登记手续，至此，华大控股持有本公司</w:t>
      </w:r>
      <w:r>
        <w:rPr>
          <w:spacing w:val="-85"/>
        </w:rPr>
        <w:t> </w:t>
      </w:r>
      <w:r>
        <w:rPr>
          <w:spacing w:val="-85"/>
        </w:rPr>
      </w:r>
      <w:r>
        <w:rPr>
          <w:rFonts w:ascii="Times New Roman" w:hAnsi="Times New Roman" w:cs="Times New Roman" w:eastAsia="Times New Roman" w:hint="default"/>
        </w:rPr>
        <w:t>45.6871%</w:t>
      </w:r>
      <w:r>
        <w:rPr/>
        <w:t>股权。</w:t>
      </w:r>
    </w:p>
    <w:p>
      <w:pPr>
        <w:pStyle w:val="BodyText"/>
        <w:spacing w:line="300" w:lineRule="auto" w:before="13"/>
        <w:ind w:right="248" w:firstLine="360"/>
        <w:jc w:val="both"/>
      </w:pPr>
      <w:r>
        <w:rPr>
          <w:spacing w:val="-2"/>
        </w:rPr>
        <w:t>根据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22</w:t>
      </w:r>
      <w:r>
        <w:rPr>
          <w:spacing w:val="-2"/>
        </w:rPr>
        <w:t>日股东会议决议，同意以本公司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日经审计后的净资产金额计人民币</w:t>
      </w:r>
      <w:r>
        <w:rPr>
          <w:rFonts w:ascii="Times New Roman" w:hAnsi="Times New Roman" w:cs="Times New Roman" w:eastAsia="Times New Roman" w:hint="default"/>
          <w:spacing w:val="-2"/>
        </w:rPr>
        <w:t>2,627,064,895.20</w:t>
      </w:r>
      <w:r>
        <w:rPr>
          <w:spacing w:val="-2"/>
        </w:rPr>
        <w:t>元，作</w:t>
      </w:r>
      <w:r>
        <w:rPr/>
        <w:t> 为对拟设立股份有限公司投资入股，其中人民币</w:t>
      </w:r>
      <w:r>
        <w:rPr>
          <w:rFonts w:ascii="Times New Roman" w:hAnsi="Times New Roman" w:cs="Times New Roman" w:eastAsia="Times New Roman" w:hint="default"/>
        </w:rPr>
        <w:t>326,119,339.00</w:t>
      </w:r>
      <w:r>
        <w:rPr/>
        <w:t>元折为股份有限公司普通股</w:t>
      </w:r>
      <w:r>
        <w:rPr>
          <w:rFonts w:ascii="Times New Roman" w:hAnsi="Times New Roman" w:cs="Times New Roman" w:eastAsia="Times New Roman" w:hint="default"/>
        </w:rPr>
        <w:t>326,119,339</w:t>
      </w:r>
      <w:r>
        <w:rPr/>
        <w:t>股，注册资本变更为</w:t>
      </w:r>
      <w:r>
        <w:rPr>
          <w:spacing w:val="-47"/>
        </w:rPr>
        <w:t> </w:t>
      </w:r>
      <w:r>
        <w:rPr>
          <w:spacing w:val="-47"/>
        </w:rPr>
      </w:r>
      <w:r>
        <w:rPr>
          <w:spacing w:val="-1"/>
        </w:rPr>
        <w:t>人民币</w:t>
      </w:r>
      <w:r>
        <w:rPr>
          <w:rFonts w:ascii="Times New Roman" w:hAnsi="Times New Roman" w:cs="Times New Roman" w:eastAsia="Times New Roman" w:hint="default"/>
          <w:spacing w:val="-1"/>
        </w:rPr>
        <w:t>326,119,339.00</w:t>
      </w:r>
      <w:r>
        <w:rPr>
          <w:spacing w:val="-1"/>
        </w:rPr>
        <w:t>元。同日，本公司召开股东大会，全体发行人一致决定将本公司整体变更为股份有限公司，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spacing w:val="-70"/>
        </w:rPr>
        <w:t> </w:t>
      </w:r>
      <w:r>
        <w:rPr>
          <w:rFonts w:ascii="Times New Roman" w:hAnsi="Times New Roman" w:cs="Times New Roman" w:eastAsia="Times New Roman" w:hint="default"/>
          <w:spacing w:val="-2"/>
        </w:rPr>
        <w:t>23</w:t>
      </w:r>
      <w:r>
        <w:rPr>
          <w:spacing w:val="-2"/>
        </w:rPr>
        <w:t>日完成股改相关的工商登记手续，股份制改制后，本公司更名为深圳华大基因股份有限公司。注册地变更为深圳市盐田区</w:t>
      </w:r>
      <w:r>
        <w:rPr>
          <w:spacing w:val="-65"/>
        </w:rPr>
        <w:t> </w:t>
      </w:r>
      <w:r>
        <w:rPr>
          <w:spacing w:val="-65"/>
        </w:rPr>
      </w:r>
      <w:r>
        <w:rPr/>
        <w:t>洪安三街</w:t>
      </w:r>
      <w:r>
        <w:rPr>
          <w:rFonts w:ascii="Times New Roman" w:hAnsi="Times New Roman" w:cs="Times New Roman" w:eastAsia="Times New Roman" w:hint="default"/>
        </w:rPr>
        <w:t>21</w:t>
      </w:r>
      <w:r>
        <w:rPr/>
        <w:t>号华大综合园</w:t>
      </w:r>
      <w:r>
        <w:rPr>
          <w:rFonts w:ascii="Times New Roman" w:hAnsi="Times New Roman" w:cs="Times New Roman" w:eastAsia="Times New Roman" w:hint="default"/>
        </w:rPr>
        <w:t>7</w:t>
      </w:r>
      <w:r>
        <w:rPr/>
        <w:t>栋</w:t>
      </w:r>
      <w:r>
        <w:rPr>
          <w:rFonts w:ascii="Times New Roman" w:hAnsi="Times New Roman" w:cs="Times New Roman" w:eastAsia="Times New Roman" w:hint="default"/>
        </w:rPr>
        <w:t>7</w:t>
      </w:r>
      <w:r>
        <w:rPr/>
        <w:t>层</w:t>
      </w:r>
      <w:r>
        <w:rPr>
          <w:rFonts w:ascii="Times New Roman" w:hAnsi="Times New Roman" w:cs="Times New Roman" w:eastAsia="Times New Roman" w:hint="default"/>
        </w:rPr>
        <w:t>-14</w:t>
      </w:r>
      <w:r>
        <w:rPr/>
        <w:t>层。</w:t>
      </w:r>
    </w:p>
    <w:p>
      <w:pPr>
        <w:pStyle w:val="BodyText"/>
        <w:spacing w:line="300" w:lineRule="auto" w:before="13"/>
        <w:ind w:right="248" w:firstLine="360"/>
        <w:jc w:val="both"/>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日股东大会决议，公司增发股份收购其子公司华大科技的</w:t>
      </w:r>
      <w:r>
        <w:rPr>
          <w:rFonts w:ascii="Times New Roman" w:hAnsi="Times New Roman" w:cs="Times New Roman" w:eastAsia="Times New Roman" w:hint="default"/>
        </w:rPr>
        <w:t>18</w:t>
      </w:r>
      <w:r>
        <w:rPr/>
        <w:t>个少数股东所持有华大科技的</w:t>
      </w:r>
      <w:r>
        <w:rPr>
          <w:rFonts w:ascii="Times New Roman" w:hAnsi="Times New Roman" w:cs="Times New Roman" w:eastAsia="Times New Roman" w:hint="default"/>
        </w:rPr>
        <w:t>33.2865%</w:t>
      </w:r>
      <w:r>
        <w:rPr/>
        <w:t>股 权，在原股份</w:t>
      </w:r>
      <w:r>
        <w:rPr>
          <w:rFonts w:ascii="Times New Roman" w:hAnsi="Times New Roman" w:cs="Times New Roman" w:eastAsia="Times New Roman" w:hint="default"/>
        </w:rPr>
        <w:t>326,119,339</w:t>
      </w:r>
      <w:r>
        <w:rPr/>
        <w:t>股的基础上，增发股份</w:t>
      </w:r>
      <w:r>
        <w:rPr>
          <w:rFonts w:ascii="Times New Roman" w:hAnsi="Times New Roman" w:cs="Times New Roman" w:eastAsia="Times New Roman" w:hint="default"/>
        </w:rPr>
        <w:t>33,880,661</w:t>
      </w:r>
      <w:r>
        <w:rPr/>
        <w:t>股，累计发行股本总数为</w:t>
      </w:r>
      <w:r>
        <w:rPr>
          <w:rFonts w:ascii="Times New Roman" w:hAnsi="Times New Roman" w:cs="Times New Roman" w:eastAsia="Times New Roman" w:hint="default"/>
        </w:rPr>
        <w:t>360,000,000</w:t>
      </w:r>
      <w:r>
        <w:rPr/>
        <w:t>股，注册资本变更为人民币 </w:t>
      </w:r>
      <w:r>
        <w:rPr>
          <w:rFonts w:ascii="Times New Roman" w:hAnsi="Times New Roman" w:cs="Times New Roman" w:eastAsia="Times New Roman" w:hint="default"/>
        </w:rPr>
        <w:t>360,000,000</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日完成相关的工商登记手续；至此，华大控股持有本公司股份稀释为</w:t>
      </w:r>
      <w:r>
        <w:rPr>
          <w:rFonts w:ascii="Times New Roman" w:hAnsi="Times New Roman" w:cs="Times New Roman" w:eastAsia="Times New Roman" w:hint="default"/>
        </w:rPr>
        <w:t>41.33%</w:t>
      </w:r>
      <w:r>
        <w:rPr/>
        <w:t>。</w:t>
      </w:r>
    </w:p>
    <w:p>
      <w:pPr>
        <w:pStyle w:val="BodyText"/>
        <w:spacing w:line="300" w:lineRule="auto" w:before="13"/>
        <w:ind w:right="246" w:firstLine="360"/>
        <w:jc w:val="both"/>
      </w:pPr>
      <w:r>
        <w:rPr>
          <w:spacing w:val="-1"/>
        </w:rPr>
        <w:t>根据公司在</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8</w:t>
      </w:r>
      <w:r>
        <w:rPr>
          <w:spacing w:val="-1"/>
        </w:rPr>
        <w:t>日召开股东大会审议通过的《关于公司首次公开发行人民币普通股（</w:t>
      </w:r>
      <w:r>
        <w:rPr>
          <w:rFonts w:ascii="Times New Roman" w:hAnsi="Times New Roman" w:cs="Times New Roman" w:eastAsia="Times New Roman" w:hint="default"/>
          <w:spacing w:val="-1"/>
        </w:rPr>
        <w:t>A</w:t>
      </w:r>
      <w:r>
        <w:rPr>
          <w:spacing w:val="-1"/>
        </w:rPr>
        <w:t>股）并在创业板上市方案</w:t>
      </w:r>
      <w:r>
        <w:rPr/>
        <w:t> </w:t>
      </w:r>
      <w:r>
        <w:rPr>
          <w:spacing w:val="-3"/>
        </w:rPr>
        <w:t>的议案》和在</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17</w:t>
      </w:r>
      <w:r>
        <w:rPr>
          <w:spacing w:val="-3"/>
        </w:rPr>
        <w:t>日召开</w:t>
      </w:r>
      <w:r>
        <w:rPr>
          <w:rFonts w:ascii="Times New Roman" w:hAnsi="Times New Roman" w:cs="Times New Roman" w:eastAsia="Times New Roman" w:hint="default"/>
          <w:spacing w:val="-3"/>
        </w:rPr>
        <w:t>2016</w:t>
      </w:r>
      <w:r>
        <w:rPr>
          <w:spacing w:val="-3"/>
        </w:rPr>
        <w:t>年年度股东大会通过的《关于修改公司首次公开发行人民币普通股（</w:t>
      </w:r>
      <w:r>
        <w:rPr>
          <w:rFonts w:ascii="Times New Roman" w:hAnsi="Times New Roman" w:cs="Times New Roman" w:eastAsia="Times New Roman" w:hint="default"/>
          <w:spacing w:val="-3"/>
        </w:rPr>
        <w:t>A</w:t>
      </w:r>
      <w:r>
        <w:rPr>
          <w:spacing w:val="-3"/>
        </w:rPr>
        <w:t>股）股票并在创</w:t>
      </w:r>
      <w:r>
        <w:rPr>
          <w:spacing w:val="-39"/>
        </w:rPr>
        <w:t> </w:t>
      </w:r>
      <w:r>
        <w:rPr>
          <w:spacing w:val="-39"/>
        </w:rPr>
      </w:r>
      <w:r>
        <w:rPr/>
        <w:t>业板上市的议案》以及于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日收到中国证券监督管理委员会《关于核准深圳华大基因股份有限公司首次公开发行</w:t>
      </w:r>
      <w:r>
        <w:rPr>
          <w:spacing w:val="-85"/>
        </w:rPr>
        <w:t> </w:t>
      </w:r>
      <w:r>
        <w:rPr>
          <w:spacing w:val="-85"/>
        </w:rPr>
      </w:r>
      <w:r>
        <w:rPr>
          <w:spacing w:val="-1"/>
        </w:rPr>
        <w:t>股票的批复》（证监许可</w:t>
      </w:r>
      <w:r>
        <w:rPr>
          <w:rFonts w:ascii="Times New Roman" w:hAnsi="Times New Roman" w:cs="Times New Roman" w:eastAsia="Times New Roman" w:hint="default"/>
          <w:spacing w:val="-1"/>
        </w:rPr>
        <w:t>[2017]1023</w:t>
      </w:r>
      <w:r>
        <w:rPr>
          <w:spacing w:val="-1"/>
        </w:rPr>
        <w:t>号），截止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11</w:t>
      </w:r>
      <w:r>
        <w:rPr>
          <w:spacing w:val="-1"/>
        </w:rPr>
        <w:t>日，本公司向社会公开发行人民币普通股</w:t>
      </w:r>
      <w:r>
        <w:rPr>
          <w:rFonts w:ascii="Times New Roman" w:hAnsi="Times New Roman" w:cs="Times New Roman" w:eastAsia="Times New Roman" w:hint="default"/>
          <w:spacing w:val="-1"/>
        </w:rPr>
        <w:t>40,100,000</w:t>
      </w:r>
      <w:r>
        <w:rPr>
          <w:spacing w:val="-1"/>
        </w:rPr>
        <w:t>股，面值为</w:t>
      </w:r>
      <w:r>
        <w:rPr>
          <w:spacing w:val="-48"/>
        </w:rPr>
        <w:t> </w:t>
      </w:r>
      <w:r>
        <w:rPr>
          <w:spacing w:val="-48"/>
        </w:rPr>
      </w:r>
      <w:r>
        <w:rPr>
          <w:spacing w:val="-2"/>
        </w:rPr>
        <w:t>每股人民币</w:t>
      </w:r>
      <w:r>
        <w:rPr>
          <w:rFonts w:ascii="Times New Roman" w:hAnsi="Times New Roman" w:cs="Times New Roman" w:eastAsia="Times New Roman" w:hint="default"/>
          <w:spacing w:val="-2"/>
        </w:rPr>
        <w:t>1.00</w:t>
      </w:r>
      <w:r>
        <w:rPr>
          <w:spacing w:val="-2"/>
        </w:rPr>
        <w:t>元，发行后的注册资本为人民币</w:t>
      </w:r>
      <w:r>
        <w:rPr>
          <w:rFonts w:ascii="Times New Roman" w:hAnsi="Times New Roman" w:cs="Times New Roman" w:eastAsia="Times New Roman" w:hint="default"/>
          <w:spacing w:val="-2"/>
        </w:rPr>
        <w:t>400,100,000</w:t>
      </w:r>
      <w:r>
        <w:rPr>
          <w:spacing w:val="-2"/>
        </w:rPr>
        <w:t>元。本次发行新股募集资金总额</w:t>
      </w:r>
      <w:r>
        <w:rPr>
          <w:rFonts w:ascii="Times New Roman" w:hAnsi="Times New Roman" w:cs="Times New Roman" w:eastAsia="Times New Roman" w:hint="default"/>
          <w:spacing w:val="-2"/>
        </w:rPr>
        <w:t>546,964,000.00</w:t>
      </w:r>
      <w:r>
        <w:rPr>
          <w:spacing w:val="-2"/>
        </w:rPr>
        <w:t>元，扣减不含税发</w:t>
      </w:r>
      <w:r>
        <w:rPr>
          <w:spacing w:val="-42"/>
        </w:rPr>
        <w:t> </w:t>
      </w:r>
      <w:r>
        <w:rPr>
          <w:spacing w:val="-42"/>
        </w:rPr>
      </w:r>
      <w:r>
        <w:rPr>
          <w:spacing w:val="-2"/>
        </w:rPr>
        <w:t>行费用人民币</w:t>
      </w:r>
      <w:r>
        <w:rPr>
          <w:rFonts w:ascii="Times New Roman" w:hAnsi="Times New Roman" w:cs="Times New Roman" w:eastAsia="Times New Roman" w:hint="default"/>
          <w:spacing w:val="-2"/>
        </w:rPr>
        <w:t>63,102,660.38</w:t>
      </w:r>
      <w:r>
        <w:rPr>
          <w:spacing w:val="-2"/>
        </w:rPr>
        <w:t>元，实际募集资金净额</w:t>
      </w:r>
      <w:r>
        <w:rPr>
          <w:rFonts w:ascii="Times New Roman" w:hAnsi="Times New Roman" w:cs="Times New Roman" w:eastAsia="Times New Roman" w:hint="default"/>
          <w:spacing w:val="-2"/>
        </w:rPr>
        <w:t>483,861,339.62</w:t>
      </w:r>
      <w:r>
        <w:rPr>
          <w:spacing w:val="-2"/>
        </w:rPr>
        <w:t>元。经深圳证券交易所《关于深圳华大基因股份有限公司人</w:t>
      </w:r>
      <w:r>
        <w:rPr>
          <w:spacing w:val="-44"/>
        </w:rPr>
        <w:t> </w:t>
      </w:r>
      <w:r>
        <w:rPr>
          <w:spacing w:val="-44"/>
        </w:rPr>
      </w:r>
      <w:r>
        <w:rPr/>
        <w:t>民币普通股股票在创业板上市的通知》（深证上</w:t>
      </w:r>
      <w:r>
        <w:rPr>
          <w:rFonts w:ascii="Times New Roman" w:hAnsi="Times New Roman" w:cs="Times New Roman" w:eastAsia="Times New Roman" w:hint="default"/>
        </w:rPr>
        <w:t>[2017] 440</w:t>
      </w:r>
      <w:r>
        <w:rPr>
          <w:rFonts w:ascii="Times New Roman" w:hAnsi="Times New Roman" w:cs="Times New Roman" w:eastAsia="Times New Roman" w:hint="default"/>
          <w:spacing w:val="17"/>
        </w:rPr>
        <w:t> </w:t>
      </w:r>
      <w:r>
        <w:rPr/>
        <w:t>号）同意，公司发行的人民币普通股股票于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日在深 圳证券交易所创业板上市，股票简称</w:t>
      </w:r>
      <w:r>
        <w:rPr>
          <w:rFonts w:ascii="Times New Roman" w:hAnsi="Times New Roman" w:cs="Times New Roman" w:eastAsia="Times New Roman" w:hint="default"/>
        </w:rPr>
        <w:t>“</w:t>
      </w:r>
      <w:r>
        <w:rPr/>
        <w:t>华大基因</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“300676”</w:t>
      </w:r>
      <w:r>
        <w:rPr/>
        <w:t>。</w:t>
      </w:r>
    </w:p>
    <w:p>
      <w:pPr>
        <w:pStyle w:val="BodyText"/>
        <w:spacing w:line="316" w:lineRule="auto" w:before="13"/>
        <w:ind w:left="513" w:right="238"/>
        <w:jc w:val="left"/>
      </w:pPr>
      <w:r>
        <w:rPr/>
        <w:t>上述历史沿革事项均已完成工商登记变更。 </w:t>
      </w:r>
      <w:r>
        <w:rPr>
          <w:spacing w:val="-5"/>
        </w:rPr>
        <w:t>公司及子公司经营范围为：贸易经纪与代理；医学研究和试验发展；临床检验服务；医疗用品及器械研发、制造、批发、</w:t>
      </w:r>
    </w:p>
    <w:p>
      <w:pPr>
        <w:pStyle w:val="BodyText"/>
        <w:spacing w:line="240" w:lineRule="auto" w:before="19"/>
        <w:ind w:right="154"/>
        <w:jc w:val="left"/>
      </w:pPr>
      <w:r>
        <w:rPr/>
        <w:t>零售。</w:t>
      </w:r>
    </w:p>
    <w:p>
      <w:pPr>
        <w:pStyle w:val="BodyText"/>
        <w:spacing w:line="316" w:lineRule="auto" w:before="77"/>
        <w:ind w:left="513" w:right="3933"/>
        <w:jc w:val="left"/>
      </w:pPr>
      <w:r>
        <w:rPr/>
        <w:t>公司的母公司和最终母公司为华大控股，最终控股股东为自然人汪建。 本财务报表经公司董事会于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日决议批准。</w:t>
      </w:r>
    </w:p>
    <w:p>
      <w:pPr>
        <w:spacing w:after="0" w:line="316" w:lineRule="auto"/>
        <w:jc w:val="left"/>
        <w:sectPr>
          <w:pgSz w:w="11910" w:h="16840"/>
          <w:pgMar w:header="880" w:footer="974" w:top="1100" w:bottom="1160" w:left="980" w:right="880"/>
        </w:sectPr>
      </w:pPr>
    </w:p>
    <w:p>
      <w:pPr>
        <w:spacing w:line="240" w:lineRule="auto" w:before="0"/>
        <w:rPr>
          <w:rFonts w:ascii="宋体" w:hAnsi="宋体" w:cs="宋体" w:eastAsia="宋体" w:hint="default"/>
          <w:sz w:val="22"/>
          <w:szCs w:val="22"/>
        </w:rPr>
      </w:pPr>
    </w:p>
    <w:p>
      <w:pPr>
        <w:pStyle w:val="BodyText"/>
        <w:spacing w:line="300" w:lineRule="auto" w:before="44"/>
        <w:ind w:right="154" w:firstLine="360"/>
        <w:jc w:val="left"/>
      </w:pPr>
      <w:r>
        <w:rPr/>
        <w:t>合并财务报表的合并范围以控制为基础确定，报告期内纳入合并范围和新纳入合并范围的主要子公司详见第十一节</w:t>
      </w:r>
      <w:r>
        <w:rPr>
          <w:rFonts w:ascii="Times New Roman" w:hAnsi="Times New Roman" w:cs="Times New Roman" w:eastAsia="Times New Roman" w:hint="default"/>
        </w:rPr>
        <w:t>“</w:t>
      </w:r>
      <w:r>
        <w:rPr/>
        <w:t>财 务报告</w:t>
      </w:r>
      <w:r>
        <w:rPr>
          <w:rFonts w:ascii="Times New Roman" w:hAnsi="Times New Roman" w:cs="Times New Roman" w:eastAsia="Times New Roman" w:hint="default"/>
        </w:rPr>
        <w:t>”</w:t>
      </w:r>
      <w:r>
        <w:rPr/>
        <w:t>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在子公司中的权益</w:t>
      </w:r>
      <w:r>
        <w:rPr>
          <w:rFonts w:ascii="Times New Roman" w:hAnsi="Times New Roman" w:cs="Times New Roman" w:eastAsia="Times New Roman" w:hint="default"/>
        </w:rPr>
        <w:t>”</w:t>
      </w:r>
      <w:r>
        <w:rPr/>
        <w:t>企业集团的构成。</w:t>
      </w:r>
    </w:p>
    <w:p>
      <w:pPr>
        <w:spacing w:line="240" w:lineRule="auto" w:before="5"/>
        <w:rPr>
          <w:rFonts w:ascii="宋体" w:hAnsi="宋体" w:cs="宋体" w:eastAsia="宋体" w:hint="default"/>
          <w:sz w:val="20"/>
          <w:szCs w:val="20"/>
        </w:rPr>
      </w:pPr>
    </w:p>
    <w:p>
      <w:pPr>
        <w:pStyle w:val="Heading2"/>
        <w:spacing w:line="240" w:lineRule="auto"/>
        <w:ind w:right="141"/>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41" w:firstLine="360"/>
        <w:jc w:val="left"/>
      </w:pPr>
      <w:r>
        <w:rPr>
          <w:spacing w:val="-2"/>
        </w:rPr>
        <w:t>本财务报表按照财政部颁布的《企业会计准则</w:t>
      </w:r>
      <w:r>
        <w:rPr>
          <w:rFonts w:ascii="Times New Roman" w:hAnsi="Times New Roman" w:cs="Times New Roman" w:eastAsia="Times New Roman" w:hint="default"/>
          <w:spacing w:val="-2"/>
        </w:rPr>
        <w:t>—</w:t>
      </w:r>
      <w:r>
        <w:rPr>
          <w:spacing w:val="-2"/>
        </w:rPr>
        <w:t>基本准则》以及其后颁布及修订的具体会计准则、应用指南、解释以及</w:t>
      </w:r>
      <w:r>
        <w:rPr/>
        <w:t> 其他相关规定</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w:t>
      </w:r>
    </w:p>
    <w:p>
      <w:pPr>
        <w:spacing w:line="240" w:lineRule="auto" w:before="2"/>
        <w:rPr>
          <w:rFonts w:ascii="宋体" w:hAnsi="宋体" w:cs="宋体" w:eastAsia="宋体" w:hint="default"/>
          <w:sz w:val="22"/>
          <w:szCs w:val="22"/>
        </w:rPr>
      </w:pPr>
    </w:p>
    <w:p>
      <w:pPr>
        <w:pStyle w:val="Heading3"/>
        <w:spacing w:line="240" w:lineRule="auto"/>
        <w:ind w:right="141"/>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41" w:firstLine="360"/>
        <w:jc w:val="left"/>
      </w:pPr>
      <w:r>
        <w:rPr/>
        <w:t>公司已评价自报告期末起至少</w:t>
      </w:r>
      <w:r>
        <w:rPr>
          <w:rFonts w:ascii="Times New Roman" w:hAnsi="Times New Roman" w:cs="Times New Roman" w:eastAsia="Times New Roman" w:hint="default"/>
        </w:rPr>
        <w:t>12</w:t>
      </w:r>
      <w:r>
        <w:rPr/>
        <w:t>个月的持续经营能力，公司管理层相信公司能自本财务报表批准日后不短于</w:t>
      </w:r>
      <w:r>
        <w:rPr>
          <w:rFonts w:ascii="Times New Roman" w:hAnsi="Times New Roman" w:cs="Times New Roman" w:eastAsia="Times New Roman" w:hint="default"/>
        </w:rPr>
        <w:t>12</w:t>
      </w:r>
      <w:r>
        <w:rPr/>
        <w:t>个月的</w:t>
      </w:r>
      <w:r>
        <w:rPr>
          <w:spacing w:val="2"/>
        </w:rPr>
        <w:t> </w:t>
      </w:r>
      <w:r>
        <w:rPr/>
        <w:t>可预见未来期间内持续经营。因此，公司以持续经营为基础编制截至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日止的财务报表。</w:t>
      </w:r>
    </w:p>
    <w:p>
      <w:pPr>
        <w:spacing w:line="240" w:lineRule="auto" w:before="5"/>
        <w:rPr>
          <w:rFonts w:ascii="宋体" w:hAnsi="宋体" w:cs="宋体" w:eastAsia="宋体" w:hint="default"/>
          <w:sz w:val="20"/>
          <w:szCs w:val="20"/>
        </w:rPr>
      </w:pPr>
    </w:p>
    <w:p>
      <w:pPr>
        <w:pStyle w:val="Heading2"/>
        <w:spacing w:line="240" w:lineRule="auto"/>
        <w:ind w:right="141"/>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是</w:t>
      </w:r>
    </w:p>
    <w:p>
      <w:pPr>
        <w:pStyle w:val="BodyText"/>
        <w:spacing w:line="360" w:lineRule="auto" w:before="25"/>
        <w:ind w:right="7254"/>
        <w:jc w:val="left"/>
      </w:pPr>
      <w:r>
        <w:rPr/>
        <w:t>医疗器械业 具体会计政策和会计估计提示：</w:t>
      </w:r>
    </w:p>
    <w:p>
      <w:pPr>
        <w:pStyle w:val="BodyText"/>
        <w:spacing w:line="316" w:lineRule="auto" w:before="27"/>
        <w:ind w:right="141"/>
        <w:jc w:val="left"/>
      </w:pPr>
      <w:r>
        <w:rPr>
          <w:spacing w:val="-2"/>
        </w:rPr>
        <w:t>公司根据实际生产经营特点制定了具体会计政策和会计估计，主要体现在应收款项坏账准备的计提、收入确认和计量以及研</w:t>
      </w:r>
      <w:r>
        <w:rPr>
          <w:spacing w:val="-64"/>
        </w:rPr>
        <w:t> </w:t>
      </w:r>
      <w:r>
        <w:rPr>
          <w:spacing w:val="-64"/>
        </w:rPr>
      </w:r>
      <w:r>
        <w:rPr/>
        <w:t>发费用资本化条件。</w:t>
      </w:r>
    </w:p>
    <w:p>
      <w:pPr>
        <w:spacing w:line="240" w:lineRule="auto" w:before="8"/>
        <w:rPr>
          <w:rFonts w:ascii="宋体" w:hAnsi="宋体" w:cs="宋体" w:eastAsia="宋体" w:hint="default"/>
          <w:sz w:val="22"/>
          <w:szCs w:val="22"/>
        </w:rPr>
      </w:pPr>
    </w:p>
    <w:p>
      <w:pPr>
        <w:pStyle w:val="Heading3"/>
        <w:spacing w:line="240" w:lineRule="auto"/>
        <w:ind w:right="141"/>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41" w:firstLine="360"/>
        <w:jc w:val="left"/>
      </w:pPr>
      <w:r>
        <w:rPr>
          <w:spacing w:val="-2"/>
        </w:rPr>
        <w:t>本财务报表符合企业会计准则的要求，真实、完整地反映了公司于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日止期间的经营成果和现金流量。</w:t>
      </w:r>
    </w:p>
    <w:p>
      <w:pPr>
        <w:spacing w:line="240" w:lineRule="auto" w:before="2"/>
        <w:rPr>
          <w:rFonts w:ascii="宋体" w:hAnsi="宋体" w:cs="宋体" w:eastAsia="宋体" w:hint="default"/>
          <w:sz w:val="22"/>
          <w:szCs w:val="22"/>
        </w:rPr>
      </w:pPr>
    </w:p>
    <w:p>
      <w:pPr>
        <w:pStyle w:val="Heading3"/>
        <w:spacing w:line="240" w:lineRule="auto"/>
        <w:ind w:right="141"/>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41"/>
        <w:jc w:val="left"/>
      </w:pPr>
      <w:r>
        <w:rPr/>
        <w:t>公司会计年度釆用公历年度，即每年自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6"/>
          <w:szCs w:val="26"/>
        </w:rPr>
      </w:pPr>
    </w:p>
    <w:p>
      <w:pPr>
        <w:pStyle w:val="Heading3"/>
        <w:spacing w:line="240" w:lineRule="auto"/>
        <w:ind w:right="141"/>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41"/>
        <w:jc w:val="left"/>
      </w:pPr>
      <w:r>
        <w:rPr/>
        <w:t>公司营业周期为</w:t>
      </w:r>
      <w:r>
        <w:rPr>
          <w:rFonts w:ascii="Times New Roman" w:hAnsi="Times New Roman" w:cs="Times New Roman" w:eastAsia="Times New Roman" w:hint="default"/>
        </w:rPr>
        <w:t>12</w:t>
      </w:r>
      <w:r>
        <w:rPr/>
        <w:t>个月。</w:t>
      </w:r>
    </w:p>
    <w:p>
      <w:pPr>
        <w:spacing w:line="240" w:lineRule="auto" w:before="13"/>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
        <w:rPr>
          <w:rFonts w:ascii="宋体" w:hAnsi="宋体" w:cs="宋体" w:eastAsia="宋体" w:hint="default"/>
          <w:b/>
          <w:bCs/>
          <w:sz w:val="23"/>
          <w:szCs w:val="23"/>
        </w:rPr>
      </w:pPr>
    </w:p>
    <w:p>
      <w:pPr>
        <w:pStyle w:val="BodyText"/>
        <w:spacing w:line="360" w:lineRule="auto" w:before="44"/>
        <w:ind w:left="513" w:right="141"/>
        <w:jc w:val="left"/>
      </w:pPr>
      <w:r>
        <w:rPr/>
        <w:t>公司记账本位币和编制本财务报表所采用的货币均为人民币。除有特别说明外，均以人民币元为单位表示。 公司下属子公司及联营企业，根据其经营所处的主要经济环境自行决定其记账本位币，编制本财务报表时折算为人民</w:t>
      </w:r>
    </w:p>
    <w:p>
      <w:pPr>
        <w:pStyle w:val="BodyText"/>
        <w:spacing w:line="222" w:lineRule="exact"/>
        <w:ind w:right="141"/>
        <w:jc w:val="left"/>
      </w:pPr>
      <w:r>
        <w:rPr/>
        <w:t>币。</w:t>
      </w:r>
    </w:p>
    <w:p>
      <w:pPr>
        <w:spacing w:after="0" w:line="222" w:lineRule="exact"/>
        <w:jc w:val="left"/>
        <w:sectPr>
          <w:pgSz w:w="11910" w:h="16840"/>
          <w:pgMar w:header="880" w:footer="974"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41"/>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2"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60" w:lineRule="auto" w:before="57"/>
        <w:ind w:left="513" w:right="141"/>
        <w:jc w:val="left"/>
      </w:pPr>
      <w:r>
        <w:rPr>
          <w:rFonts w:ascii="宋体" w:hAnsi="宋体" w:cs="宋体" w:eastAsia="宋体" w:hint="default"/>
          <w:b/>
          <w:bCs/>
        </w:rPr>
        <w:t>同一控制下企业合并</w:t>
      </w:r>
      <w:r>
        <w:rPr>
          <w:rFonts w:ascii="宋体" w:hAnsi="宋体" w:cs="宋体" w:eastAsia="宋体" w:hint="default"/>
          <w:b/>
          <w:bCs/>
          <w:w w:val="99"/>
        </w:rPr>
        <w:t> </w:t>
      </w:r>
      <w:r>
        <w:rPr>
          <w:spacing w:val="-2"/>
        </w:rPr>
        <w:t>参与合并的企业在合并前后均受同一方或相同的多方最终控制，且该控制并非暂时性的，为同一控制下的企业合并。同</w:t>
      </w:r>
    </w:p>
    <w:p>
      <w:pPr>
        <w:pStyle w:val="BodyText"/>
        <w:spacing w:line="222" w:lineRule="exact"/>
        <w:ind w:right="0"/>
        <w:jc w:val="left"/>
      </w:pPr>
      <w:r>
        <w:rPr/>
        <w:t>一控制下的企业合并</w:t>
      </w:r>
      <w:r>
        <w:rPr>
          <w:spacing w:val="-87"/>
        </w:rPr>
        <w:t>，</w:t>
      </w:r>
      <w:r>
        <w:rPr/>
        <w:t>在合并日取得对其他参与合并企业控制权的一方为合并方</w:t>
      </w:r>
      <w:r>
        <w:rPr>
          <w:spacing w:val="-87"/>
        </w:rPr>
        <w:t>，</w:t>
      </w:r>
      <w:r>
        <w:rPr/>
        <w:t>参与合并的其他企业为被合并方</w:t>
      </w:r>
      <w:r>
        <w:rPr>
          <w:spacing w:val="-87"/>
        </w:rPr>
        <w:t>。</w:t>
      </w:r>
      <w:r>
        <w:rPr/>
        <w:t>合并日，</w:t>
      </w:r>
    </w:p>
    <w:p>
      <w:pPr>
        <w:pStyle w:val="BodyText"/>
        <w:spacing w:line="360" w:lineRule="auto" w:before="76"/>
        <w:ind w:left="513" w:right="141" w:hanging="361"/>
        <w:jc w:val="left"/>
      </w:pPr>
      <w:r>
        <w:rPr/>
        <w:t>是指合并方实际取得对被合并方控制权的日期。 </w:t>
      </w:r>
      <w:r>
        <w:rPr>
          <w:spacing w:val="-1"/>
        </w:rPr>
        <w:t>合并方在同一控制下企业合并中取得的资产和负债</w:t>
      </w:r>
      <w:r>
        <w:rPr>
          <w:rFonts w:ascii="Times New Roman" w:hAnsi="Times New Roman" w:cs="Times New Roman" w:eastAsia="Times New Roman" w:hint="default"/>
          <w:spacing w:val="-1"/>
        </w:rPr>
        <w:t>(</w:t>
      </w:r>
      <w:r>
        <w:rPr>
          <w:spacing w:val="-1"/>
        </w:rPr>
        <w:t>包括最终控制方收购被合并方而形成的商誉</w:t>
      </w:r>
      <w:r>
        <w:rPr>
          <w:rFonts w:ascii="Times New Roman" w:hAnsi="Times New Roman" w:cs="Times New Roman" w:eastAsia="Times New Roman" w:hint="default"/>
          <w:spacing w:val="-1"/>
        </w:rPr>
        <w:t>)</w:t>
      </w:r>
      <w:r>
        <w:rPr>
          <w:spacing w:val="-1"/>
        </w:rPr>
        <w:t>，按合并日在最终控制</w:t>
      </w:r>
    </w:p>
    <w:p>
      <w:pPr>
        <w:pStyle w:val="BodyText"/>
        <w:spacing w:line="212" w:lineRule="exact"/>
        <w:ind w:right="141"/>
        <w:jc w:val="left"/>
      </w:pPr>
      <w:r>
        <w:rPr/>
        <w:t>方财务报表中的账面价值为基础进行相关会计处理。合并方取得的净资产账面价值与支付的合并对价的账面价值</w:t>
      </w:r>
      <w:r>
        <w:rPr>
          <w:rFonts w:ascii="Times New Roman" w:hAnsi="Times New Roman" w:cs="Times New Roman" w:eastAsia="Times New Roman" w:hint="default"/>
        </w:rPr>
        <w:t>(</w:t>
      </w:r>
      <w:r>
        <w:rPr/>
        <w:t>或发行股</w:t>
      </w:r>
    </w:p>
    <w:p>
      <w:pPr>
        <w:spacing w:line="338" w:lineRule="auto" w:before="63"/>
        <w:ind w:left="513" w:right="3414" w:hanging="361"/>
        <w:jc w:val="left"/>
        <w:rPr>
          <w:rFonts w:ascii="宋体" w:hAnsi="宋体" w:cs="宋体" w:eastAsia="宋体" w:hint="default"/>
          <w:sz w:val="18"/>
          <w:szCs w:val="18"/>
        </w:rPr>
      </w:pPr>
      <w:r>
        <w:rPr>
          <w:rFonts w:ascii="宋体" w:hAnsi="宋体" w:cs="宋体" w:eastAsia="宋体" w:hint="default"/>
          <w:sz w:val="18"/>
          <w:szCs w:val="18"/>
        </w:rPr>
        <w:t>份面值总额</w:t>
      </w:r>
      <w:r>
        <w:rPr>
          <w:rFonts w:ascii="Times New Roman" w:hAnsi="Times New Roman" w:cs="Times New Roman" w:eastAsia="Times New Roman" w:hint="default"/>
          <w:sz w:val="18"/>
          <w:szCs w:val="18"/>
        </w:rPr>
        <w:t>)</w:t>
      </w:r>
      <w:r>
        <w:rPr>
          <w:rFonts w:ascii="宋体" w:hAnsi="宋体" w:cs="宋体" w:eastAsia="宋体" w:hint="default"/>
          <w:sz w:val="18"/>
          <w:szCs w:val="18"/>
        </w:rPr>
        <w:t>的差额，调整资本公积中的股本溢价，不足冲减的则调整留存收益。 </w:t>
      </w:r>
      <w:r>
        <w:rPr>
          <w:rFonts w:ascii="宋体" w:hAnsi="宋体" w:cs="宋体" w:eastAsia="宋体" w:hint="default"/>
          <w:b/>
          <w:bCs/>
          <w:sz w:val="18"/>
          <w:szCs w:val="18"/>
        </w:rPr>
        <w:t>非同一控制下的企业合并</w:t>
      </w:r>
      <w:r>
        <w:rPr>
          <w:rFonts w:ascii="宋体" w:hAnsi="宋体" w:cs="宋体" w:eastAsia="宋体" w:hint="default"/>
          <w:sz w:val="18"/>
          <w:szCs w:val="18"/>
        </w:rPr>
      </w:r>
    </w:p>
    <w:p>
      <w:pPr>
        <w:pStyle w:val="BodyText"/>
        <w:spacing w:line="316" w:lineRule="auto" w:before="43"/>
        <w:ind w:right="151" w:firstLine="360"/>
        <w:jc w:val="both"/>
      </w:pPr>
      <w:r>
        <w:rPr>
          <w:spacing w:val="-2"/>
        </w:rPr>
        <w:t>参与合并的企业在合并前后不受同一方或相同的多方最终控制的，为非同一控制下的企业合并。非同一控制下的企业合</w:t>
      </w:r>
      <w:r>
        <w:rPr/>
        <w:t> </w:t>
      </w:r>
      <w:r>
        <w:rPr>
          <w:spacing w:val="-2"/>
        </w:rPr>
        <w:t>并，在购买日取得对其他参与合并企业控制权的一方为购买方，参与合并的其他企业为被购买方。购买日，是指为购买方实</w:t>
      </w:r>
      <w:r>
        <w:rPr>
          <w:spacing w:val="-64"/>
        </w:rPr>
        <w:t> </w:t>
      </w:r>
      <w:r>
        <w:rPr>
          <w:spacing w:val="-64"/>
        </w:rPr>
      </w:r>
      <w:r>
        <w:rPr/>
        <w:t>际取得对被购买方控制权的日期。</w:t>
      </w:r>
    </w:p>
    <w:p>
      <w:pPr>
        <w:pStyle w:val="BodyText"/>
        <w:spacing w:line="357" w:lineRule="auto" w:before="59"/>
        <w:ind w:left="513" w:right="141"/>
        <w:jc w:val="left"/>
      </w:pPr>
      <w:r>
        <w:rPr/>
        <w:t>非同一控制下企业合并中所取得的被购买方可辨认资产、负债及或有负债在收购日以公允价值计量。 </w:t>
      </w:r>
      <w:r>
        <w:rPr>
          <w:spacing w:val="2"/>
        </w:rPr>
        <w:t>支付的合并对价的公允价值</w:t>
      </w:r>
      <w:r>
        <w:rPr>
          <w:rFonts w:ascii="Times New Roman" w:hAnsi="Times New Roman" w:cs="Times New Roman" w:eastAsia="Times New Roman" w:hint="default"/>
          <w:spacing w:val="2"/>
        </w:rPr>
        <w:t>(</w:t>
      </w:r>
      <w:r>
        <w:rPr>
          <w:spacing w:val="2"/>
        </w:rPr>
        <w:t>或发行的权益性证券的公允价值</w:t>
      </w:r>
      <w:r>
        <w:rPr>
          <w:rFonts w:ascii="Times New Roman" w:hAnsi="Times New Roman" w:cs="Times New Roman" w:eastAsia="Times New Roman" w:hint="default"/>
          <w:spacing w:val="2"/>
        </w:rPr>
        <w:t>)</w:t>
      </w:r>
      <w:r>
        <w:rPr>
          <w:spacing w:val="2"/>
        </w:rPr>
        <w:t>与购买日之前持有的被购买方的股权的公允价值之和大</w:t>
      </w:r>
    </w:p>
    <w:p>
      <w:pPr>
        <w:pStyle w:val="BodyText"/>
        <w:spacing w:line="201" w:lineRule="exact"/>
        <w:ind w:right="0"/>
        <w:jc w:val="left"/>
      </w:pPr>
      <w:r>
        <w:rPr/>
        <w:t>于合并中取得的被购买方可辨认净资产公允价值份额的差额，确认为商誉，并以成本减去累计减值损失进行后续计量。支付</w:t>
      </w:r>
    </w:p>
    <w:p>
      <w:pPr>
        <w:pStyle w:val="BodyText"/>
        <w:spacing w:line="304" w:lineRule="auto" w:before="76"/>
        <w:ind w:right="151"/>
        <w:jc w:val="both"/>
      </w:pPr>
      <w:r>
        <w:rPr>
          <w:spacing w:val="2"/>
        </w:rPr>
        <w:t>的合并对价的公允价值</w:t>
      </w:r>
      <w:r>
        <w:rPr>
          <w:rFonts w:ascii="Times New Roman" w:hAnsi="Times New Roman" w:cs="Times New Roman" w:eastAsia="Times New Roman" w:hint="default"/>
          <w:spacing w:val="2"/>
        </w:rPr>
        <w:t>(</w:t>
      </w:r>
      <w:r>
        <w:rPr>
          <w:spacing w:val="2"/>
        </w:rPr>
        <w:t>或发行的权益性证券的公允价值</w:t>
      </w:r>
      <w:r>
        <w:rPr>
          <w:rFonts w:ascii="Times New Roman" w:hAnsi="Times New Roman" w:cs="Times New Roman" w:eastAsia="Times New Roman" w:hint="default"/>
          <w:spacing w:val="2"/>
        </w:rPr>
        <w:t>)</w:t>
      </w:r>
      <w:r>
        <w:rPr>
          <w:spacing w:val="2"/>
        </w:rPr>
        <w:t>与购买日之前持有的被购买方的股权的公允价值之和小于合并中</w:t>
      </w:r>
      <w:r>
        <w:rPr>
          <w:spacing w:val="-65"/>
        </w:rPr>
        <w:t> </w:t>
      </w:r>
      <w:r>
        <w:rPr>
          <w:spacing w:val="-65"/>
        </w:rPr>
      </w:r>
      <w:r>
        <w:rPr>
          <w:spacing w:val="-2"/>
        </w:rPr>
        <w:t>取得的被购买方可辨认净资产公允价值份额的，首先对取得的被购买方各项可辨认资产、负债及或有负债的公允价值以及支</w:t>
      </w:r>
      <w:r>
        <w:rPr>
          <w:spacing w:val="-64"/>
        </w:rPr>
        <w:t> </w:t>
      </w:r>
      <w:r>
        <w:rPr>
          <w:spacing w:val="-64"/>
        </w:rPr>
      </w:r>
      <w:r>
        <w:rPr>
          <w:spacing w:val="2"/>
        </w:rPr>
        <w:t>付的合并对价的公允价值</w:t>
      </w:r>
      <w:r>
        <w:rPr>
          <w:rFonts w:ascii="Times New Roman" w:hAnsi="Times New Roman" w:cs="Times New Roman" w:eastAsia="Times New Roman" w:hint="default"/>
          <w:spacing w:val="2"/>
        </w:rPr>
        <w:t>(</w:t>
      </w:r>
      <w:r>
        <w:rPr>
          <w:spacing w:val="2"/>
        </w:rPr>
        <w:t>或发行的权益性证券的公允价值</w:t>
      </w:r>
      <w:r>
        <w:rPr>
          <w:rFonts w:ascii="Times New Roman" w:hAnsi="Times New Roman" w:cs="Times New Roman" w:eastAsia="Times New Roman" w:hint="default"/>
          <w:spacing w:val="2"/>
        </w:rPr>
        <w:t>)</w:t>
      </w:r>
      <w:r>
        <w:rPr>
          <w:spacing w:val="2"/>
        </w:rPr>
        <w:t>及购买日之前持有的被购买方的股权的公允价值的计量进行复</w:t>
      </w:r>
      <w:r>
        <w:rPr>
          <w:spacing w:val="-66"/>
        </w:rPr>
        <w:t> </w:t>
      </w:r>
      <w:r>
        <w:rPr>
          <w:spacing w:val="-66"/>
        </w:rPr>
      </w:r>
      <w:r>
        <w:rPr>
          <w:spacing w:val="-1"/>
        </w:rPr>
        <w:t>核，复核后支付的合并对价的公允价值</w:t>
      </w:r>
      <w:r>
        <w:rPr>
          <w:rFonts w:ascii="Times New Roman" w:hAnsi="Times New Roman" w:cs="Times New Roman" w:eastAsia="Times New Roman" w:hint="default"/>
          <w:spacing w:val="-1"/>
        </w:rPr>
        <w:t>(</w:t>
      </w:r>
      <w:r>
        <w:rPr>
          <w:spacing w:val="-1"/>
        </w:rPr>
        <w:t>或发行的权益性证券的公允价值</w:t>
      </w:r>
      <w:r>
        <w:rPr>
          <w:rFonts w:ascii="Times New Roman" w:hAnsi="Times New Roman" w:cs="Times New Roman" w:eastAsia="Times New Roman" w:hint="default"/>
          <w:spacing w:val="-1"/>
        </w:rPr>
        <w:t>)</w:t>
      </w:r>
      <w:r>
        <w:rPr>
          <w:spacing w:val="-1"/>
        </w:rPr>
        <w:t>与购买日之前持有的被购买方的股权的公允价值之</w:t>
      </w:r>
      <w:r>
        <w:rPr>
          <w:spacing w:val="-56"/>
        </w:rPr>
        <w:t> </w:t>
      </w:r>
      <w:r>
        <w:rPr/>
        <w:t>和仍小于合并中取得的被购买方可辨认净资产公允价值份额的，其差额计入当期损益。</w:t>
      </w:r>
    </w:p>
    <w:p>
      <w:pPr>
        <w:pStyle w:val="BodyText"/>
        <w:spacing w:line="360" w:lineRule="auto" w:before="68"/>
        <w:ind w:left="513" w:right="141" w:hanging="108"/>
        <w:jc w:val="left"/>
      </w:pPr>
      <w:r>
        <w:rPr/>
        <w:t>业务合并 </w:t>
      </w:r>
      <w:r>
        <w:rPr>
          <w:spacing w:val="-2"/>
        </w:rPr>
        <w:t>业务是指企业内部某些生产经营活动或资产的组合，该组合一般具有投入、加工处理过程和产出能力，能够独立计算其</w:t>
      </w:r>
    </w:p>
    <w:p>
      <w:pPr>
        <w:pStyle w:val="BodyText"/>
        <w:spacing w:line="222" w:lineRule="exact"/>
        <w:ind w:right="141"/>
        <w:jc w:val="left"/>
      </w:pPr>
      <w:r>
        <w:rPr/>
        <w:t>成本费用或所产生的收入，但不构成独立法人资格的部分。涉及业务的合并比照企业合并规定处理。</w:t>
      </w:r>
    </w:p>
    <w:p>
      <w:pPr>
        <w:spacing w:line="240" w:lineRule="auto" w:before="11"/>
        <w:rPr>
          <w:rFonts w:ascii="宋体" w:hAnsi="宋体" w:cs="宋体" w:eastAsia="宋体" w:hint="default"/>
          <w:sz w:val="26"/>
          <w:szCs w:val="26"/>
        </w:rPr>
      </w:pPr>
    </w:p>
    <w:p>
      <w:pPr>
        <w:pStyle w:val="Heading3"/>
        <w:spacing w:line="240" w:lineRule="auto"/>
        <w:ind w:right="141"/>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49" w:firstLine="360"/>
        <w:jc w:val="both"/>
      </w:pPr>
      <w:r>
        <w:rPr>
          <w:spacing w:val="-2"/>
        </w:rPr>
        <w:t>合并财务报表的合并范围以控制为基础确定，包括公司及全部子公司截至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日止年度财务报表。子公司，是</w:t>
      </w:r>
      <w:r>
        <w:rPr/>
        <w:t> 指被公司控制的主体</w:t>
      </w:r>
      <w:r>
        <w:rPr>
          <w:rFonts w:ascii="Times New Roman" w:hAnsi="Times New Roman" w:cs="Times New Roman" w:eastAsia="Times New Roman" w:hint="default"/>
        </w:rPr>
        <w:t>(</w:t>
      </w:r>
      <w:r>
        <w:rPr/>
        <w:t>含企业、被投资单位中可分割的部分，以及本公司所控制的结构化主体等</w:t>
      </w:r>
      <w:r>
        <w:rPr>
          <w:rFonts w:ascii="Times New Roman" w:hAnsi="Times New Roman" w:cs="Times New Roman" w:eastAsia="Times New Roman" w:hint="default"/>
        </w:rPr>
        <w:t>)</w:t>
      </w:r>
      <w:r>
        <w:rPr/>
        <w:t>。</w:t>
      </w:r>
    </w:p>
    <w:p>
      <w:pPr>
        <w:pStyle w:val="BodyText"/>
        <w:spacing w:line="316" w:lineRule="auto" w:before="54"/>
        <w:ind w:right="150" w:firstLine="360"/>
        <w:jc w:val="both"/>
      </w:pPr>
      <w:r>
        <w:rPr>
          <w:spacing w:val="-2"/>
        </w:rPr>
        <w:t>编制合并财务报表时，子公司采用与公司一致的会计年度和会计政策。公司内部各公司之间的所有交易产生的资产、负</w:t>
      </w:r>
      <w:r>
        <w:rPr/>
        <w:t> 债、权益、收入、费用和现金流量于合并时全额抵销。</w:t>
      </w:r>
    </w:p>
    <w:p>
      <w:pPr>
        <w:pStyle w:val="BodyText"/>
        <w:spacing w:line="314" w:lineRule="auto" w:before="59"/>
        <w:ind w:right="145" w:firstLine="360"/>
        <w:jc w:val="both"/>
      </w:pPr>
      <w:r>
        <w:rPr/>
        <w:t>子公司少数股东分担的当期亏损超过了少数股东在该子公司期初股东权益中所享有的份额的，其余额仍冲减少数股东</w:t>
      </w:r>
      <w:r>
        <w:rPr>
          <w:spacing w:val="2"/>
        </w:rPr>
        <w:t> </w:t>
      </w:r>
      <w:r>
        <w:rPr/>
        <w:t>权益。</w:t>
      </w:r>
    </w:p>
    <w:p>
      <w:pPr>
        <w:pStyle w:val="BodyText"/>
        <w:spacing w:line="316" w:lineRule="auto" w:before="61"/>
        <w:ind w:right="151" w:firstLine="360"/>
        <w:jc w:val="both"/>
      </w:pPr>
      <w:r>
        <w:rPr/>
        <w:t>对于通过非同一控制下的企业合并取得的子公司，被购买方的经营成果和现金流量自公司取得控制权之日起纳入合并 </w:t>
      </w:r>
      <w:r>
        <w:rPr>
          <w:spacing w:val="-2"/>
        </w:rPr>
        <w:t>财务报表，直至公司对其控制权终止。在编制合并财务报表时，以购买日确定的各项可辨认资产、负债及或有负债的公允价</w:t>
      </w:r>
      <w:r>
        <w:rPr>
          <w:spacing w:val="-65"/>
        </w:rPr>
        <w:t> </w:t>
      </w:r>
      <w:r>
        <w:rPr>
          <w:spacing w:val="-65"/>
        </w:rPr>
      </w:r>
      <w:r>
        <w:rPr/>
        <w:t>值为基础对子公司的财务报表进行调整。</w:t>
      </w:r>
    </w:p>
    <w:p>
      <w:pPr>
        <w:pStyle w:val="BodyText"/>
        <w:spacing w:line="316" w:lineRule="auto" w:before="59"/>
        <w:ind w:right="145" w:firstLine="360"/>
        <w:jc w:val="both"/>
      </w:pPr>
      <w:r>
        <w:rPr/>
        <w:t>对于通过同一控制下的企业合并取得的子公司及业务，被合并方的经营成果和现金流量自合并当期期初纳入合并财务</w:t>
      </w:r>
      <w:r>
        <w:rPr>
          <w:spacing w:val="2"/>
        </w:rPr>
        <w:t> </w:t>
      </w:r>
      <w:r>
        <w:rPr>
          <w:spacing w:val="-2"/>
        </w:rPr>
        <w:t>报表。编制比较合并财务报表时，对前期财务报表的相关项目进行调整，视同合并后形成的报告主体自最终控制方开始实施</w:t>
      </w:r>
      <w:r>
        <w:rPr>
          <w:spacing w:val="-63"/>
        </w:rPr>
        <w:t> </w:t>
      </w:r>
      <w:r>
        <w:rPr>
          <w:spacing w:val="-63"/>
        </w:rPr>
      </w:r>
      <w:r>
        <w:rPr/>
        <w:t>控制时一直存在。</w:t>
      </w:r>
    </w:p>
    <w:p>
      <w:pPr>
        <w:pStyle w:val="BodyText"/>
        <w:spacing w:line="357" w:lineRule="auto" w:before="60"/>
        <w:ind w:left="513" w:right="953"/>
        <w:jc w:val="left"/>
      </w:pPr>
      <w:r>
        <w:rPr/>
        <w:t>如果相关事实和情况的变化导致对控制要素中的一项或多项发生变化的，公司重新评估是否控制被投资方。 不丧失控制权情况下少数股东权益发生变化作为权益性交易。</w:t>
      </w:r>
    </w:p>
    <w:p>
      <w:pPr>
        <w:spacing w:after="0" w:line="357" w:lineRule="auto"/>
        <w:jc w:val="left"/>
        <w:sectPr>
          <w:pgSz w:w="11910" w:h="16840"/>
          <w:pgMar w:header="880" w:footer="974"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94"/>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4" w:firstLine="360"/>
        <w:jc w:val="both"/>
      </w:pPr>
      <w:r>
        <w:rPr>
          <w:spacing w:val="-2"/>
        </w:rPr>
        <w:t>现金，是指公司的库存现金以及可以随时用于支付的存款；现金等价物，是指公司持有的期限短、流动性强、易于转换</w:t>
      </w:r>
      <w:r>
        <w:rPr/>
        <w:t> 为已知金额的现金、价值变动风险很小的投资。</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94"/>
        <w:jc w:val="left"/>
      </w:pPr>
      <w:r>
        <w:rPr/>
        <w:t>公司对于发生的外币交易，将外币金额折算为记账本位币金额。 </w:t>
      </w:r>
      <w:r>
        <w:rPr>
          <w:spacing w:val="-2"/>
        </w:rPr>
        <w:t>外币交易在初始确认时，采用交易发生日的即期汇率将外币金额折算为记账本位币金额。于资产负债表日，对于外币货</w:t>
      </w:r>
    </w:p>
    <w:p>
      <w:pPr>
        <w:pStyle w:val="BodyText"/>
        <w:spacing w:line="222" w:lineRule="exact"/>
        <w:ind w:right="0"/>
        <w:jc w:val="left"/>
      </w:pPr>
      <w:r>
        <w:rPr/>
        <w:t>币性项目采用资产负债表日即期汇率折算。由此产生的结算和货币性项目折算差额，除属于与购建符合资本化条件的资产相</w:t>
      </w:r>
    </w:p>
    <w:p>
      <w:pPr>
        <w:pStyle w:val="BodyText"/>
        <w:spacing w:line="319" w:lineRule="auto" w:before="76"/>
        <w:ind w:right="94"/>
        <w:jc w:val="left"/>
      </w:pPr>
      <w:r>
        <w:rPr/>
        <w:t>关的外币专门借款产生的差额按照借款费用资本化的原则处理外，均计入当期损益。以历史成本计量的外币非货币性项目，</w:t>
      </w:r>
      <w:r>
        <w:rPr>
          <w:spacing w:val="-83"/>
        </w:rPr>
        <w:t> </w:t>
      </w:r>
      <w:r>
        <w:rPr>
          <w:spacing w:val="-83"/>
        </w:rPr>
      </w:r>
      <w:r>
        <w:rPr>
          <w:spacing w:val="-2"/>
        </w:rPr>
        <w:t>仍采用交易发生日的即期汇率折算，不改变其记账本位币金额。以公允价值计量的外币非货币性项目，采用公允价值确定日</w:t>
      </w:r>
      <w:r>
        <w:rPr>
          <w:spacing w:val="-63"/>
        </w:rPr>
        <w:t> </w:t>
      </w:r>
      <w:r>
        <w:rPr>
          <w:spacing w:val="-63"/>
        </w:rPr>
      </w:r>
      <w:r>
        <w:rPr/>
        <w:t>的即期汇率折算，由此产生的差额根据非货币性项目的性质计入当期损益或其他综合收益。</w:t>
      </w:r>
    </w:p>
    <w:p>
      <w:pPr>
        <w:pStyle w:val="BodyText"/>
        <w:spacing w:line="312" w:lineRule="auto" w:before="58"/>
        <w:ind w:right="190" w:firstLine="360"/>
        <w:jc w:val="both"/>
      </w:pPr>
      <w:r>
        <w:rPr>
          <w:spacing w:val="-2"/>
        </w:rPr>
        <w:t>对于境外经营，公司在编制财务报表时将其记账本位币折算为人民币：对资产负债表中的资产和负债项目，采用资产负</w:t>
      </w:r>
      <w:r>
        <w:rPr/>
        <w:t> </w:t>
      </w:r>
      <w:r>
        <w:rPr>
          <w:spacing w:val="-2"/>
        </w:rPr>
        <w:t>债表日的即期汇率折算，股东权益项目除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w:t>
      </w:r>
      <w:r>
        <w:rPr>
          <w:spacing w:val="-45"/>
        </w:rPr>
        <w:t> </w:t>
      </w:r>
      <w:r>
        <w:rPr>
          <w:spacing w:val="-45"/>
        </w:rPr>
      </w:r>
      <w:r>
        <w:rPr>
          <w:spacing w:val="-2"/>
        </w:rPr>
        <w:t>用项目，采用交易发生当期平均汇率折算。按照上述折算产生的外币财务报表折算差额，确认为其他综合收益。处置境外经</w:t>
      </w:r>
      <w:r>
        <w:rPr>
          <w:spacing w:val="-65"/>
        </w:rPr>
        <w:t> </w:t>
      </w:r>
      <w:r>
        <w:rPr>
          <w:spacing w:val="-65"/>
        </w:rPr>
      </w:r>
      <w:r>
        <w:rPr/>
        <w:t>营时，将与该境外经营相关的其他综合收益转入处置当期损益，部分处置的按处置比例计算。</w:t>
      </w:r>
    </w:p>
    <w:p>
      <w:pPr>
        <w:pStyle w:val="BodyText"/>
        <w:spacing w:line="316" w:lineRule="auto" w:before="63"/>
        <w:ind w:right="192" w:firstLine="360"/>
        <w:jc w:val="both"/>
      </w:pPr>
      <w:r>
        <w:rPr>
          <w:spacing w:val="-2"/>
        </w:rPr>
        <w:t>外币现金流量以及境外子公司的现金流量，采用现金流量发生当期平均汇率折算。汇率变动对现金的影响额作为调节项</w:t>
      </w:r>
      <w:r>
        <w:rPr/>
        <w:t> 目，在现金流量表中单独列报。</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2253"/>
        <w:jc w:val="left"/>
      </w:pPr>
      <w:r>
        <w:rPr/>
        <w:t>金融工具，是指形成一个企业的金融资产，并形成其他单位的金融负债或权益工具的合同。 </w:t>
      </w:r>
      <w:r>
        <w:rPr>
          <w:rFonts w:ascii="宋体" w:hAnsi="宋体" w:cs="宋体" w:eastAsia="宋体" w:hint="default"/>
          <w:b/>
          <w:bCs/>
        </w:rPr>
        <w:t>金融工具的确认和终止确认</w:t>
      </w:r>
      <w:r>
        <w:rPr>
          <w:rFonts w:ascii="宋体" w:hAnsi="宋体" w:cs="宋体" w:eastAsia="宋体" w:hint="default"/>
          <w:b/>
          <w:bCs/>
          <w:w w:val="99"/>
        </w:rPr>
        <w:t> </w:t>
      </w:r>
      <w:r>
        <w:rPr/>
        <w:t>公司于成为金融工具合同的一方时确认一项金融资产或金融负债。</w:t>
      </w:r>
    </w:p>
    <w:p>
      <w:pPr>
        <w:pStyle w:val="BodyText"/>
        <w:spacing w:line="300" w:lineRule="auto" w:before="41"/>
        <w:ind w:right="189" w:firstLine="360"/>
        <w:jc w:val="both"/>
      </w:pPr>
      <w:r>
        <w:rPr/>
        <w:t>满足下列条件的，终止确认金融资产</w:t>
      </w:r>
      <w:r>
        <w:rPr>
          <w:rFonts w:ascii="Times New Roman" w:hAnsi="Times New Roman" w:cs="Times New Roman" w:eastAsia="Times New Roman" w:hint="default"/>
        </w:rPr>
        <w:t>(</w:t>
      </w:r>
      <w:r>
        <w:rPr/>
        <w:t>或金融资产的一部分，或一组类似金融资产的一部分</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spacing w:val="-4"/>
        </w:rPr>
        <w:t>，即从其账户和资产负债表</w:t>
      </w:r>
      <w:r>
        <w:rPr/>
        <w:t> 内予以转销：</w:t>
      </w:r>
    </w:p>
    <w:p>
      <w:pPr>
        <w:pStyle w:val="BodyText"/>
        <w:spacing w:line="240" w:lineRule="auto" w:before="31"/>
        <w:ind w:left="590" w:right="94"/>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2"/>
        </w:rPr>
        <w:t> </w:t>
      </w:r>
      <w:r>
        <w:rPr/>
        <w:t>收取金融资产现金流量的权利届满；</w:t>
      </w:r>
    </w:p>
    <w:p>
      <w:pPr>
        <w:pStyle w:val="BodyText"/>
        <w:spacing w:line="240" w:lineRule="auto" w:before="63"/>
        <w:ind w:left="590"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9"/>
        </w:rPr>
        <w:t> </w:t>
      </w:r>
      <w:r>
        <w:rPr/>
        <w:t>转移了收取金融资产现金流量的权利，或在</w:t>
      </w:r>
      <w:r>
        <w:rPr>
          <w:rFonts w:ascii="Times New Roman" w:hAnsi="Times New Roman" w:cs="Times New Roman" w:eastAsia="Times New Roman" w:hint="default"/>
        </w:rPr>
        <w:t>“</w:t>
      </w:r>
      <w:r>
        <w:rPr/>
        <w:t>过手</w:t>
      </w:r>
      <w:r>
        <w:rPr>
          <w:rFonts w:ascii="Times New Roman" w:hAnsi="Times New Roman" w:cs="Times New Roman" w:eastAsia="Times New Roman" w:hint="default"/>
        </w:rPr>
        <w:t>”</w:t>
      </w:r>
      <w:r>
        <w:rPr/>
        <w:t>协议下承担了及时将收取的现金流量全额支付给第三方的义务；</w:t>
      </w:r>
    </w:p>
    <w:p>
      <w:pPr>
        <w:pStyle w:val="BodyText"/>
        <w:spacing w:line="240" w:lineRule="auto" w:before="63"/>
        <w:ind w:left="229" w:right="94"/>
        <w:jc w:val="left"/>
      </w:pPr>
      <w:r>
        <w:rPr/>
        <w:t>并且</w:t>
      </w:r>
    </w:p>
    <w:p>
      <w:pPr>
        <w:pStyle w:val="BodyText"/>
        <w:spacing w:line="240" w:lineRule="auto" w:before="76"/>
        <w:ind w:left="590" w:right="94"/>
        <w:jc w:val="left"/>
      </w:pPr>
      <w:r>
        <w:rPr>
          <w:rFonts w:ascii="Times New Roman" w:hAnsi="Times New Roman" w:cs="Times New Roman" w:eastAsia="Times New Roman" w:hint="default"/>
        </w:rPr>
        <w:t>(a)</w:t>
      </w:r>
      <w:r>
        <w:rPr/>
        <w:t>实质上转让了金融资产所有权上几乎所有的风险和报酬，或</w:t>
      </w:r>
      <w:r>
        <w:rPr>
          <w:rFonts w:ascii="Times New Roman" w:hAnsi="Times New Roman" w:cs="Times New Roman" w:eastAsia="Times New Roman" w:hint="default"/>
        </w:rPr>
        <w:t>(b)</w:t>
      </w:r>
      <w:r>
        <w:rPr/>
        <w:t>虽然实质上既没有转移也没有保留金融资产所有权上</w:t>
      </w:r>
    </w:p>
    <w:p>
      <w:pPr>
        <w:pStyle w:val="BodyText"/>
        <w:spacing w:line="316" w:lineRule="auto" w:before="63"/>
        <w:ind w:left="513" w:right="94" w:hanging="284"/>
        <w:jc w:val="left"/>
      </w:pPr>
      <w:r>
        <w:rPr/>
        <w:t>几乎所有的风险和报酬，但放弃了对该金融资产的控制。 </w:t>
      </w:r>
      <w:r>
        <w:rPr>
          <w:spacing w:val="-2"/>
        </w:rPr>
        <w:t>如果金融负债的责任已履行、撤销或届满，则对金融负债进行终止确认。如果现有金融负债被同一债权人以实质上几乎</w:t>
      </w:r>
    </w:p>
    <w:p>
      <w:pPr>
        <w:pStyle w:val="BodyText"/>
        <w:spacing w:line="316" w:lineRule="auto" w:before="19"/>
        <w:ind w:right="94"/>
        <w:jc w:val="left"/>
      </w:pPr>
      <w:r>
        <w:rPr>
          <w:spacing w:val="-2"/>
        </w:rPr>
        <w:t>完全不同条款的另一金融负债所取代，或现有负债的条款几乎全部被实质性修改，则此类替换或修改作为终止确认原负债和</w:t>
      </w:r>
      <w:r>
        <w:rPr>
          <w:spacing w:val="-64"/>
        </w:rPr>
        <w:t> </w:t>
      </w:r>
      <w:r>
        <w:rPr>
          <w:spacing w:val="-64"/>
        </w:rPr>
      </w:r>
      <w:r>
        <w:rPr/>
        <w:t>确认新负债处理，差额计入当期损益。</w:t>
      </w:r>
    </w:p>
    <w:p>
      <w:pPr>
        <w:pStyle w:val="BodyText"/>
        <w:spacing w:line="316" w:lineRule="auto" w:before="19"/>
        <w:ind w:right="94" w:firstLine="360"/>
        <w:jc w:val="left"/>
      </w:pPr>
      <w:r>
        <w:rPr>
          <w:spacing w:val="-2"/>
        </w:rPr>
        <w:t>以常规方式买卖金融资产，按交易日会计进行确认和终止确认。常规方式买卖金融资产，是指按照合同条款的约定，在</w:t>
      </w:r>
      <w:r>
        <w:rPr/>
        <w:t> 法规或通行惯例规定的期限内收取或交付金融资产。交易日，是指公司承诺买入或卖出金融资产的日期。</w:t>
      </w:r>
    </w:p>
    <w:p>
      <w:pPr>
        <w:pStyle w:val="BodyText"/>
        <w:spacing w:line="316" w:lineRule="auto" w:before="19"/>
        <w:ind w:left="513" w:right="93"/>
        <w:jc w:val="left"/>
      </w:pPr>
      <w:r>
        <w:rPr>
          <w:rFonts w:ascii="宋体" w:hAnsi="宋体" w:cs="宋体" w:eastAsia="宋体" w:hint="default"/>
          <w:b/>
          <w:bCs/>
        </w:rPr>
        <w:t>金融资产分类和计量</w:t>
      </w:r>
      <w:r>
        <w:rPr>
          <w:rFonts w:ascii="宋体" w:hAnsi="宋体" w:cs="宋体" w:eastAsia="宋体" w:hint="default"/>
          <w:b/>
          <w:bCs/>
          <w:w w:val="99"/>
        </w:rPr>
        <w:t> </w:t>
      </w:r>
      <w:r>
        <w:rPr/>
        <w:t>公司的金融资产于初始确认时分类为：可供出售金融资产、贷款和应收款项。金融资产在初始确认时以公允价值计量。</w:t>
      </w:r>
    </w:p>
    <w:p>
      <w:pPr>
        <w:pStyle w:val="BodyText"/>
        <w:spacing w:line="316" w:lineRule="auto" w:before="19"/>
        <w:ind w:right="94"/>
        <w:jc w:val="left"/>
      </w:pPr>
      <w:r>
        <w:rPr>
          <w:spacing w:val="-2"/>
        </w:rPr>
        <w:t>对于以公允价值计量且其变动计入当期损益的金融资产，相关交易费用直接计入当期损益，其他类别的金融资产相关交易费</w:t>
      </w:r>
      <w:r>
        <w:rPr>
          <w:spacing w:val="-64"/>
        </w:rPr>
        <w:t> </w:t>
      </w:r>
      <w:r>
        <w:rPr>
          <w:spacing w:val="-64"/>
        </w:rPr>
      </w:r>
      <w:r>
        <w:rPr/>
        <w:t>用计入其初始确认金额。</w:t>
      </w:r>
    </w:p>
    <w:p>
      <w:pPr>
        <w:pStyle w:val="BodyText"/>
        <w:spacing w:line="240" w:lineRule="auto" w:before="19"/>
        <w:ind w:left="513" w:right="94"/>
        <w:jc w:val="left"/>
      </w:pPr>
      <w:r>
        <w:rPr/>
        <w:t>金融资产的后续计量取决于其分类：</w:t>
      </w:r>
    </w:p>
    <w:p>
      <w:pPr>
        <w:pStyle w:val="BodyText"/>
        <w:spacing w:line="300" w:lineRule="auto" w:before="77"/>
        <w:ind w:left="513" w:right="94"/>
        <w:jc w:val="left"/>
      </w:pPr>
      <w:r>
        <w:rPr/>
        <w:t>（</w:t>
      </w:r>
      <w:r>
        <w:rPr>
          <w:rFonts w:ascii="Times New Roman" w:hAnsi="Times New Roman" w:cs="Times New Roman" w:eastAsia="Times New Roman" w:hint="default"/>
        </w:rPr>
        <w:t>1</w:t>
      </w:r>
      <w:r>
        <w:rPr/>
        <w:t>）贷款和应收款项 </w:t>
      </w:r>
      <w:r>
        <w:rPr>
          <w:spacing w:val="-2"/>
        </w:rPr>
        <w:t>贷款和应收款项，是指在活跃市场中没有报价、回收金额固定或可确定的非衍生金融资产。对于此类金融资产，采用实</w:t>
      </w:r>
    </w:p>
    <w:p>
      <w:pPr>
        <w:spacing w:after="0" w:line="300" w:lineRule="auto"/>
        <w:jc w:val="left"/>
        <w:sectPr>
          <w:footerReference w:type="default" r:id="rId46"/>
          <w:pgSz w:w="11910" w:h="16840"/>
          <w:pgMar w:footer="974" w:header="880" w:top="1100" w:bottom="1160" w:left="980" w:right="940"/>
          <w:pgNumType w:start="151"/>
        </w:sectPr>
      </w:pPr>
    </w:p>
    <w:p>
      <w:pPr>
        <w:spacing w:line="240" w:lineRule="auto" w:before="0"/>
        <w:rPr>
          <w:rFonts w:ascii="宋体" w:hAnsi="宋体" w:cs="宋体" w:eastAsia="宋体" w:hint="default"/>
          <w:sz w:val="22"/>
          <w:szCs w:val="22"/>
        </w:rPr>
      </w:pPr>
    </w:p>
    <w:p>
      <w:pPr>
        <w:pStyle w:val="BodyText"/>
        <w:spacing w:line="240" w:lineRule="auto" w:before="44"/>
        <w:ind w:right="0"/>
        <w:jc w:val="both"/>
      </w:pPr>
      <w:r>
        <w:rPr/>
        <w:t>际利率法，按照摊余成本进行后续计量，其摊销或减值产生的利得或损失，均计入当期损益。</w:t>
      </w:r>
    </w:p>
    <w:p>
      <w:pPr>
        <w:pStyle w:val="BodyText"/>
        <w:spacing w:line="300" w:lineRule="auto" w:before="76"/>
        <w:ind w:left="513" w:right="113"/>
        <w:jc w:val="left"/>
      </w:pPr>
      <w:r>
        <w:rPr/>
        <w:t>（</w:t>
      </w:r>
      <w:r>
        <w:rPr>
          <w:rFonts w:ascii="Times New Roman" w:hAnsi="Times New Roman" w:cs="Times New Roman" w:eastAsia="Times New Roman" w:hint="default"/>
        </w:rPr>
        <w:t>2</w:t>
      </w:r>
      <w:r>
        <w:rPr/>
        <w:t>）可供出售金融资产 可供出售金融资产，是指初始确认时即指定为可供出售的非衍生金融资产，以及除上述金融资产类别以外的金融资产。</w:t>
      </w:r>
    </w:p>
    <w:p>
      <w:pPr>
        <w:pStyle w:val="BodyText"/>
        <w:spacing w:line="316" w:lineRule="auto" w:before="31"/>
        <w:ind w:right="210"/>
        <w:jc w:val="both"/>
      </w:pPr>
      <w:r>
        <w:rPr>
          <w:spacing w:val="-2"/>
        </w:rPr>
        <w:t>对于此类金融资产，采用公允价值进行后续计量。其折价或溢价采用实际利率法进行摊销并确认为利息收入或费用。除减值</w:t>
      </w:r>
      <w:r>
        <w:rPr>
          <w:spacing w:val="-63"/>
        </w:rPr>
        <w:t> </w:t>
      </w:r>
      <w:r>
        <w:rPr>
          <w:spacing w:val="-63"/>
        </w:rPr>
      </w:r>
      <w:r>
        <w:rPr>
          <w:spacing w:val="-2"/>
        </w:rPr>
        <w:t>损失及外币货币性金融资产的汇兑差额确认为当期损益外，可供出售金融资产的公允价值变动作为其他综合收益确认，直到</w:t>
      </w:r>
      <w:r>
        <w:rPr>
          <w:spacing w:val="-64"/>
        </w:rPr>
        <w:t> </w:t>
      </w:r>
      <w:r>
        <w:rPr>
          <w:spacing w:val="-64"/>
        </w:rPr>
      </w:r>
      <w:r>
        <w:rPr>
          <w:spacing w:val="-2"/>
        </w:rPr>
        <w:t>该金融资产终止确认或发生减值时，其累计利得或损失转入当期损益。与可供出售金融资产相关的股利或利息收入，计入当</w:t>
      </w:r>
      <w:r>
        <w:rPr>
          <w:spacing w:val="-63"/>
        </w:rPr>
        <w:t> </w:t>
      </w:r>
      <w:r>
        <w:rPr>
          <w:spacing w:val="-63"/>
        </w:rPr>
      </w:r>
      <w:r>
        <w:rPr/>
        <w:t>期损益。</w:t>
      </w:r>
    </w:p>
    <w:p>
      <w:pPr>
        <w:pStyle w:val="BodyText"/>
        <w:spacing w:line="316" w:lineRule="auto" w:before="19"/>
        <w:ind w:left="513" w:right="2633"/>
        <w:jc w:val="left"/>
        <w:rPr>
          <w:rFonts w:ascii="宋体" w:hAnsi="宋体" w:cs="宋体" w:eastAsia="宋体" w:hint="default"/>
        </w:rPr>
      </w:pPr>
      <w:r>
        <w:rPr/>
        <w:t>对于在活跃市场中没有报价且其公允价值不能可靠计量的权益工具投资，按成本计量。 </w:t>
      </w:r>
      <w:r>
        <w:rPr>
          <w:rFonts w:ascii="宋体" w:hAnsi="宋体" w:cs="宋体" w:eastAsia="宋体" w:hint="default"/>
          <w:b/>
          <w:bCs/>
        </w:rPr>
        <w:t>金融负债分类和计量</w:t>
      </w:r>
      <w:r>
        <w:rPr>
          <w:rFonts w:ascii="宋体" w:hAnsi="宋体" w:cs="宋体" w:eastAsia="宋体" w:hint="default"/>
        </w:rPr>
      </w:r>
    </w:p>
    <w:p>
      <w:pPr>
        <w:pStyle w:val="BodyText"/>
        <w:spacing w:line="316" w:lineRule="auto" w:before="19"/>
        <w:ind w:left="513" w:right="833"/>
        <w:jc w:val="left"/>
      </w:pPr>
      <w:r>
        <w:rPr/>
        <w:t>公司的金融负债于初始确认时分类为其他金融负债。其他金融负债的相关交易费用直接计入其初始确认金额。 金融负债的后续计量取决于其分类：</w:t>
      </w:r>
    </w:p>
    <w:p>
      <w:pPr>
        <w:pStyle w:val="BodyText"/>
        <w:spacing w:line="316" w:lineRule="auto" w:before="19"/>
        <w:ind w:left="513" w:right="4073"/>
        <w:jc w:val="left"/>
      </w:pPr>
      <w:r>
        <w:rPr/>
        <w:t>其他金融负债 对于此类金融负债，采用实际利率法，按照摊余成本进行后续计量。 财务担保合同</w:t>
      </w:r>
    </w:p>
    <w:p>
      <w:pPr>
        <w:pStyle w:val="BodyText"/>
        <w:spacing w:line="316" w:lineRule="auto" w:before="19"/>
        <w:ind w:right="212" w:firstLine="360"/>
        <w:jc w:val="both"/>
      </w:pPr>
      <w:r>
        <w:rPr>
          <w:spacing w:val="-2"/>
        </w:rPr>
        <w:t>财务担保合同，是指保证人和债权人约定，当债务人不履行债务时，保证人按照约定履行债务或者承担责任的合同。财</w:t>
      </w:r>
      <w:r>
        <w:rPr/>
        <w:t> 务担保合同在初始确认时按照公允价值计量，不属于指定为以公允价值计量且其变动计入当期损益的金融负债的财务担保</w:t>
      </w:r>
      <w:r>
        <w:rPr>
          <w:spacing w:val="-11"/>
        </w:rPr>
        <w:t> </w:t>
      </w:r>
      <w:r>
        <w:rPr>
          <w:spacing w:val="-11"/>
        </w:rPr>
      </w:r>
      <w:r>
        <w:rPr>
          <w:spacing w:val="-2"/>
        </w:rPr>
        <w:t>合同，在初始确认后，按照资产负债表日履行相关现时义务所需支出的当前最佳估计数确定的金额，和初始确认金额扣除按</w:t>
      </w:r>
      <w:r>
        <w:rPr>
          <w:spacing w:val="-65"/>
        </w:rPr>
        <w:t> </w:t>
      </w:r>
      <w:r>
        <w:rPr>
          <w:spacing w:val="-65"/>
        </w:rPr>
      </w:r>
      <w:r>
        <w:rPr/>
        <w:t>照收入确认原则确定的累计摊销额后的余额，以两者之中的较高者进行后续计量。</w:t>
      </w:r>
    </w:p>
    <w:p>
      <w:pPr>
        <w:pStyle w:val="BodyText"/>
        <w:spacing w:line="316" w:lineRule="auto" w:before="19"/>
        <w:ind w:left="513" w:right="113"/>
        <w:jc w:val="left"/>
      </w:pPr>
      <w:r>
        <w:rPr/>
        <w:t>金融资产减值 </w:t>
      </w:r>
      <w:r>
        <w:rPr>
          <w:spacing w:val="-2"/>
        </w:rPr>
        <w:t>公司于资产负债表日对金融资产的账面价值进行检查，有客观证据表明该金融资产发生减值的，计提减值准备。表明金</w:t>
      </w:r>
    </w:p>
    <w:p>
      <w:pPr>
        <w:pStyle w:val="BodyText"/>
        <w:spacing w:line="312" w:lineRule="auto" w:before="19"/>
        <w:ind w:right="210"/>
        <w:jc w:val="both"/>
      </w:pPr>
      <w:r>
        <w:rPr>
          <w:spacing w:val="-2"/>
        </w:rPr>
        <w:t>融资产发生减值的客观证据，是指金融资产初始确认后实际发生的、对该金融资产的预计未来现金流量有影响，且企业能够</w:t>
      </w:r>
      <w:r>
        <w:rPr>
          <w:spacing w:val="-63"/>
        </w:rPr>
        <w:t> </w:t>
      </w:r>
      <w:r>
        <w:rPr>
          <w:spacing w:val="-63"/>
        </w:rPr>
      </w:r>
      <w:r>
        <w:rPr>
          <w:spacing w:val="-2"/>
        </w:rPr>
        <w:t>对该影响进行可靠计量的事项。金融资产发生减值的客观证据，包括发行人或债务人发生严重财务困难、债务人违反合同条</w:t>
      </w:r>
      <w:r>
        <w:rPr>
          <w:spacing w:val="-63"/>
        </w:rPr>
        <w:t> </w:t>
      </w:r>
      <w:r>
        <w:rPr>
          <w:spacing w:val="-63"/>
        </w:rPr>
      </w:r>
      <w:r>
        <w:rPr>
          <w:spacing w:val="-1"/>
        </w:rPr>
        <w:t>款</w:t>
      </w:r>
      <w:r>
        <w:rPr>
          <w:rFonts w:ascii="Times New Roman" w:hAnsi="Times New Roman" w:cs="Times New Roman" w:eastAsia="Times New Roman" w:hint="default"/>
          <w:spacing w:val="-1"/>
        </w:rPr>
        <w:t>(</w:t>
      </w:r>
      <w:r>
        <w:rPr>
          <w:spacing w:val="-1"/>
        </w:rPr>
        <w:t>如偿付利息或本金发生违约或逾期等</w:t>
      </w:r>
      <w:r>
        <w:rPr>
          <w:rFonts w:ascii="Times New Roman" w:hAnsi="Times New Roman" w:cs="Times New Roman" w:eastAsia="Times New Roman" w:hint="default"/>
          <w:spacing w:val="-1"/>
        </w:rPr>
        <w:t>)</w:t>
      </w:r>
      <w:r>
        <w:rPr>
          <w:spacing w:val="-1"/>
        </w:rPr>
        <w:t>、债务人很可能倒闭或进行其他财务重组，以及公开的数据显示预计未来现金流量</w:t>
      </w:r>
      <w:r>
        <w:rPr>
          <w:spacing w:val="-59"/>
        </w:rPr>
        <w:t> </w:t>
      </w:r>
      <w:r>
        <w:rPr>
          <w:spacing w:val="-59"/>
        </w:rPr>
      </w:r>
      <w:r>
        <w:rPr/>
        <w:t>确已减少且可计量。</w:t>
      </w:r>
    </w:p>
    <w:p>
      <w:pPr>
        <w:pStyle w:val="BodyText"/>
        <w:spacing w:line="316" w:lineRule="auto" w:before="22"/>
        <w:ind w:left="513" w:right="113"/>
        <w:jc w:val="left"/>
      </w:pPr>
      <w:r>
        <w:rPr/>
        <w:t>以摊余成本计量的金融资产 发生减值时，将该金融资产的账面通过备抵项目价值减记至预计未来现金流量</w:t>
      </w:r>
      <w:r>
        <w:rPr>
          <w:rFonts w:ascii="Times New Roman" w:hAnsi="Times New Roman" w:cs="Times New Roman" w:eastAsia="Times New Roman" w:hint="default"/>
        </w:rPr>
        <w:t>(</w:t>
      </w:r>
      <w:r>
        <w:rPr/>
        <w:t>不包括尚未发生的未来信用损失</w:t>
      </w:r>
      <w:r>
        <w:rPr>
          <w:rFonts w:ascii="Times New Roman" w:hAnsi="Times New Roman" w:cs="Times New Roman" w:eastAsia="Times New Roman" w:hint="default"/>
        </w:rPr>
        <w:t>)</w:t>
      </w:r>
      <w:r>
        <w:rPr/>
        <w:t>现值，</w:t>
      </w:r>
    </w:p>
    <w:p>
      <w:pPr>
        <w:pStyle w:val="BodyText"/>
        <w:spacing w:line="300" w:lineRule="auto"/>
        <w:ind w:right="120"/>
        <w:jc w:val="both"/>
      </w:pPr>
      <w:r>
        <w:rPr>
          <w:spacing w:val="-2"/>
        </w:rPr>
        <w:t>减记金额计入当期损益。预计未来现金流量现值，按照该金融资产原实际利率</w:t>
      </w:r>
      <w:r>
        <w:rPr>
          <w:rFonts w:ascii="Times New Roman" w:hAnsi="Times New Roman" w:cs="Times New Roman" w:eastAsia="Times New Roman" w:hint="default"/>
          <w:spacing w:val="-2"/>
        </w:rPr>
        <w:t>(</w:t>
      </w:r>
      <w:r>
        <w:rPr>
          <w:spacing w:val="-2"/>
        </w:rPr>
        <w:t>即初始确认时计算确定的实际利率</w:t>
      </w:r>
      <w:r>
        <w:rPr>
          <w:rFonts w:ascii="Times New Roman" w:hAnsi="Times New Roman" w:cs="Times New Roman" w:eastAsia="Times New Roman" w:hint="default"/>
          <w:spacing w:val="-2"/>
        </w:rPr>
        <w:t>)</w:t>
      </w:r>
      <w:r>
        <w:rPr>
          <w:spacing w:val="-2"/>
        </w:rPr>
        <w:t>折现确定，</w:t>
      </w:r>
      <w:r>
        <w:rPr/>
        <w:t> 并考虑相关担保物的价值。减值后利息收入按照确定减值损失时对未来现金流量进行折现采用的折现率作为利率计算确认。</w:t>
      </w:r>
    </w:p>
    <w:p>
      <w:pPr>
        <w:pStyle w:val="BodyText"/>
        <w:spacing w:line="314" w:lineRule="auto" w:before="31"/>
        <w:ind w:right="212" w:firstLine="360"/>
        <w:jc w:val="both"/>
      </w:pPr>
      <w:r>
        <w:rPr>
          <w:spacing w:val="-2"/>
        </w:rPr>
        <w:t>对单项金额重大的金融资产单独进行减值测试，如有客观证据表明其已发生减值，确认减值损失，计入当期损益。对单</w:t>
      </w:r>
      <w:r>
        <w:rPr/>
        <w:t> </w:t>
      </w:r>
      <w:r>
        <w:rPr>
          <w:spacing w:val="-2"/>
        </w:rPr>
        <w:t>项金额不重大的金融资产，包括在具有类似信用风险特征的金融资产组合中进行减值测试。单独测试未发生减值的金融资产</w:t>
      </w:r>
      <w:r>
        <w:rPr>
          <w:spacing w:val="-64"/>
        </w:rPr>
        <w:t> </w:t>
      </w:r>
      <w:r>
        <w:rPr>
          <w:spacing w:val="-64"/>
        </w:rPr>
      </w:r>
      <w:r>
        <w:rPr>
          <w:rFonts w:ascii="Times New Roman" w:hAnsi="Times New Roman" w:cs="Times New Roman" w:eastAsia="Times New Roman" w:hint="default"/>
          <w:spacing w:val="-1"/>
        </w:rPr>
        <w:t>(</w:t>
      </w:r>
      <w:r>
        <w:rPr>
          <w:spacing w:val="-1"/>
        </w:rPr>
        <w:t>包括单项金额重大和不重大的金融资产</w:t>
      </w:r>
      <w:r>
        <w:rPr>
          <w:rFonts w:ascii="Times New Roman" w:hAnsi="Times New Roman" w:cs="Times New Roman" w:eastAsia="Times New Roman" w:hint="default"/>
          <w:spacing w:val="-1"/>
        </w:rPr>
        <w:t>)</w:t>
      </w:r>
      <w:r>
        <w:rPr>
          <w:spacing w:val="-1"/>
        </w:rPr>
        <w:t>，包括在具有类似信用风险特征的金融资产组合中再进行减值测试。已单项确认减</w:t>
      </w:r>
      <w:r>
        <w:rPr>
          <w:spacing w:val="-58"/>
        </w:rPr>
        <w:t> </w:t>
      </w:r>
      <w:r>
        <w:rPr>
          <w:spacing w:val="-58"/>
        </w:rPr>
      </w:r>
      <w:r>
        <w:rPr>
          <w:spacing w:val="-2"/>
        </w:rPr>
        <w:t>值损失的金融资产，不包括在具有类似信用风险特征的金融资产组合中进行减值测试。减值后利息收入按照确定减值损失时</w:t>
      </w:r>
      <w:r>
        <w:rPr>
          <w:spacing w:val="-64"/>
        </w:rPr>
        <w:t> </w:t>
      </w:r>
      <w:r>
        <w:rPr>
          <w:spacing w:val="-64"/>
        </w:rPr>
      </w:r>
      <w:r>
        <w:rPr/>
        <w:t>对未来现金流量进行折现采用的折现率作为利率计算确认。</w:t>
      </w:r>
    </w:p>
    <w:p>
      <w:pPr>
        <w:pStyle w:val="BodyText"/>
        <w:spacing w:line="316" w:lineRule="auto" w:before="20"/>
        <w:ind w:right="211" w:firstLine="360"/>
        <w:jc w:val="both"/>
      </w:pPr>
      <w:r>
        <w:rPr>
          <w:spacing w:val="-2"/>
        </w:rPr>
        <w:t>公司对以摊余成本计量的金融资产确认减值损失后，如有客观证据表明该金融资产价值已恢复，且客观上与确认该损失</w:t>
      </w:r>
      <w:r>
        <w:rPr/>
        <w:t> </w:t>
      </w:r>
      <w:r>
        <w:rPr>
          <w:spacing w:val="-2"/>
        </w:rPr>
        <w:t>后发生的事项有关，原确认的减值损失予以转回，计入当期损益。但是，该转回后的账面价值不超过假定不计提减值准备情</w:t>
      </w:r>
      <w:r>
        <w:rPr>
          <w:spacing w:val="-64"/>
        </w:rPr>
        <w:t> </w:t>
      </w:r>
      <w:r>
        <w:rPr>
          <w:spacing w:val="-64"/>
        </w:rPr>
      </w:r>
      <w:r>
        <w:rPr/>
        <w:t>况下该金融资产在转回日的摊余成本。</w:t>
      </w:r>
    </w:p>
    <w:p>
      <w:pPr>
        <w:pStyle w:val="BodyText"/>
        <w:spacing w:line="316" w:lineRule="auto" w:before="19"/>
        <w:ind w:left="513" w:right="113"/>
        <w:jc w:val="left"/>
      </w:pPr>
      <w:r>
        <w:rPr/>
        <w:t>可供出售金融资产 </w:t>
      </w:r>
      <w:r>
        <w:rPr>
          <w:spacing w:val="-2"/>
        </w:rPr>
        <w:t>如果有客观证据表明该金融资产发生减值，原计入其他综合收益的因公允价值下降形成的累计损失，予以转出，计入当</w:t>
      </w:r>
    </w:p>
    <w:p>
      <w:pPr>
        <w:pStyle w:val="BodyText"/>
        <w:spacing w:line="316" w:lineRule="auto" w:before="19"/>
        <w:ind w:right="213"/>
        <w:jc w:val="both"/>
      </w:pPr>
      <w:r>
        <w:rPr>
          <w:spacing w:val="-2"/>
        </w:rPr>
        <w:t>期损益。该转出的累计损失，为可供出售金融资产的初始取得成本扣除已收回本金和已摊销金额、当前公允价值和原已计入</w:t>
      </w:r>
      <w:r>
        <w:rPr>
          <w:spacing w:val="-65"/>
        </w:rPr>
        <w:t> </w:t>
      </w:r>
      <w:r>
        <w:rPr>
          <w:spacing w:val="-65"/>
        </w:rPr>
      </w:r>
      <w:r>
        <w:rPr/>
        <w:t>损益的减值损失后的余额。</w:t>
      </w:r>
    </w:p>
    <w:p>
      <w:pPr>
        <w:pStyle w:val="BodyText"/>
        <w:spacing w:line="307" w:lineRule="auto" w:before="19"/>
        <w:ind w:right="210" w:firstLine="360"/>
        <w:jc w:val="both"/>
      </w:pPr>
      <w:r>
        <w:rPr>
          <w:spacing w:val="-2"/>
        </w:rPr>
        <w:t>可供出售权益工具投资发生减值的客观证据，包括公允价值发生严重或非暂时性下跌。</w:t>
      </w:r>
      <w:r>
        <w:rPr>
          <w:rFonts w:ascii="Times New Roman" w:hAnsi="Times New Roman" w:cs="Times New Roman" w:eastAsia="Times New Roman" w:hint="default"/>
          <w:spacing w:val="-2"/>
        </w:rPr>
        <w:t>“</w:t>
      </w:r>
      <w:r>
        <w:rPr>
          <w:spacing w:val="-2"/>
        </w:rPr>
        <w:t>严重</w:t>
      </w:r>
      <w:r>
        <w:rPr>
          <w:rFonts w:ascii="Times New Roman" w:hAnsi="Times New Roman" w:cs="Times New Roman" w:eastAsia="Times New Roman" w:hint="default"/>
          <w:spacing w:val="-2"/>
        </w:rPr>
        <w:t>”</w:t>
      </w:r>
      <w:r>
        <w:rPr>
          <w:spacing w:val="-2"/>
        </w:rPr>
        <w:t>根据公允价值低于成本的</w:t>
      </w:r>
      <w:r>
        <w:rPr/>
        <w:t> </w:t>
      </w:r>
      <w:r>
        <w:rPr>
          <w:spacing w:val="-2"/>
        </w:rPr>
        <w:t>程度进行判断，</w:t>
      </w:r>
      <w:r>
        <w:rPr>
          <w:rFonts w:ascii="Times New Roman" w:hAnsi="Times New Roman" w:cs="Times New Roman" w:eastAsia="Times New Roman" w:hint="default"/>
          <w:spacing w:val="-2"/>
        </w:rPr>
        <w:t>“</w:t>
      </w:r>
      <w:r>
        <w:rPr>
          <w:spacing w:val="-2"/>
        </w:rPr>
        <w:t>非暂时性</w:t>
      </w:r>
      <w:r>
        <w:rPr>
          <w:rFonts w:ascii="Times New Roman" w:hAnsi="Times New Roman" w:cs="Times New Roman" w:eastAsia="Times New Roman" w:hint="default"/>
          <w:spacing w:val="-2"/>
        </w:rPr>
        <w:t>”</w:t>
      </w:r>
      <w:r>
        <w:rPr>
          <w:spacing w:val="-2"/>
        </w:rPr>
        <w:t>根据公允价值低于成本的期间长短进行判断。存在发生减值的客观证据的，转出的累计损失，为</w:t>
      </w:r>
      <w:r>
        <w:rPr>
          <w:spacing w:val="-41"/>
        </w:rPr>
        <w:t> </w:t>
      </w:r>
      <w:r>
        <w:rPr>
          <w:spacing w:val="-41"/>
        </w:rPr>
      </w:r>
      <w:r>
        <w:rPr/>
        <w:t>取得成本扣除当前公允价值和原已计入损益的减值损失后的余额。可供出售权益工具投资发生的减值损失，不通过损益转</w:t>
      </w:r>
      <w:r>
        <w:rPr>
          <w:spacing w:val="-11"/>
        </w:rPr>
        <w:t> </w:t>
      </w:r>
      <w:r>
        <w:rPr>
          <w:spacing w:val="-11"/>
        </w:rPr>
      </w:r>
      <w:r>
        <w:rPr/>
        <w:t>回，减值之后发生的公允价值增加直接在其他综合收益中确认。</w:t>
      </w:r>
    </w:p>
    <w:p>
      <w:pPr>
        <w:spacing w:after="0" w:line="307" w:lineRule="auto"/>
        <w:jc w:val="both"/>
        <w:sectPr>
          <w:pgSz w:w="11910" w:h="16840"/>
          <w:pgMar w:header="880" w:footer="974" w:top="1100" w:bottom="1160" w:left="980" w:right="920"/>
        </w:sectPr>
      </w:pPr>
    </w:p>
    <w:p>
      <w:pPr>
        <w:spacing w:line="240" w:lineRule="auto" w:before="0"/>
        <w:rPr>
          <w:rFonts w:ascii="宋体" w:hAnsi="宋体" w:cs="宋体" w:eastAsia="宋体" w:hint="default"/>
          <w:sz w:val="22"/>
          <w:szCs w:val="22"/>
        </w:rPr>
      </w:pPr>
    </w:p>
    <w:p>
      <w:pPr>
        <w:pStyle w:val="BodyText"/>
        <w:spacing w:line="300" w:lineRule="auto" w:before="44"/>
        <w:ind w:right="152" w:firstLine="360"/>
        <w:jc w:val="both"/>
      </w:pPr>
      <w:r>
        <w:rPr>
          <w:spacing w:val="-1"/>
        </w:rPr>
        <w:t>在确定何谓</w:t>
      </w:r>
      <w:r>
        <w:rPr>
          <w:rFonts w:ascii="Times New Roman" w:hAnsi="Times New Roman" w:cs="Times New Roman" w:eastAsia="Times New Roman" w:hint="default"/>
          <w:spacing w:val="-1"/>
        </w:rPr>
        <w:t>“</w:t>
      </w:r>
      <w:r>
        <w:rPr>
          <w:spacing w:val="-1"/>
        </w:rPr>
        <w:t>严重</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非暂时性</w:t>
      </w:r>
      <w:r>
        <w:rPr>
          <w:rFonts w:ascii="Times New Roman" w:hAnsi="Times New Roman" w:cs="Times New Roman" w:eastAsia="Times New Roman" w:hint="default"/>
          <w:spacing w:val="-1"/>
        </w:rPr>
        <w:t>”</w:t>
      </w:r>
      <w:r>
        <w:rPr>
          <w:spacing w:val="-1"/>
        </w:rPr>
        <w:t>时，需要进行判断。公司根据公允价值低于成本的程度或期间长短，结合其他因素进行</w:t>
      </w:r>
      <w:r>
        <w:rPr/>
        <w:t> 判断。</w:t>
      </w:r>
    </w:p>
    <w:p>
      <w:pPr>
        <w:pStyle w:val="BodyText"/>
        <w:spacing w:line="316" w:lineRule="auto" w:before="31"/>
        <w:ind w:left="513" w:right="141"/>
        <w:jc w:val="left"/>
      </w:pPr>
      <w:r>
        <w:rPr/>
        <w:t>以成本计量的金融资产 </w:t>
      </w:r>
      <w:r>
        <w:rPr>
          <w:spacing w:val="-2"/>
        </w:rPr>
        <w:t>如果有客观证据表明该金融资产发生减值，将该金融资产的账面价值，与按照类似金融资产当时市场收益率对未来现金</w:t>
      </w:r>
    </w:p>
    <w:p>
      <w:pPr>
        <w:pStyle w:val="BodyText"/>
        <w:spacing w:line="316" w:lineRule="auto" w:before="19"/>
        <w:ind w:left="513" w:right="1314" w:hanging="361"/>
        <w:jc w:val="left"/>
        <w:rPr>
          <w:rFonts w:ascii="宋体" w:hAnsi="宋体" w:cs="宋体" w:eastAsia="宋体" w:hint="default"/>
        </w:rPr>
      </w:pPr>
      <w:r>
        <w:rPr/>
        <w:t>流量折现确定的现值之间的差额，确认为减值损失，计入当期损益。发生的减值损失一经确认，不再转回。 </w:t>
      </w:r>
      <w:r>
        <w:rPr>
          <w:rFonts w:ascii="宋体" w:hAnsi="宋体" w:cs="宋体" w:eastAsia="宋体" w:hint="default"/>
          <w:b/>
          <w:bCs/>
        </w:rPr>
        <w:t>金融资产转移</w:t>
      </w:r>
      <w:r>
        <w:rPr>
          <w:rFonts w:ascii="宋体" w:hAnsi="宋体" w:cs="宋体" w:eastAsia="宋体" w:hint="default"/>
        </w:rPr>
      </w:r>
    </w:p>
    <w:p>
      <w:pPr>
        <w:pStyle w:val="BodyText"/>
        <w:spacing w:line="316" w:lineRule="auto" w:before="19"/>
        <w:ind w:right="152" w:firstLine="360"/>
        <w:jc w:val="both"/>
      </w:pPr>
      <w:r>
        <w:rPr>
          <w:spacing w:val="-2"/>
        </w:rPr>
        <w:t>公司已将金融资产所有权上几乎所有的风险和报酬转移给转入方的，终止确认该金融资产；保留了金融资产所有权上几</w:t>
      </w:r>
      <w:r>
        <w:rPr/>
        <w:t> 乎所有的风险和报酬的，不终止确认该金融资产。</w:t>
      </w:r>
    </w:p>
    <w:p>
      <w:pPr>
        <w:pStyle w:val="BodyText"/>
        <w:spacing w:line="316" w:lineRule="auto" w:before="19"/>
        <w:ind w:right="150" w:firstLine="360"/>
        <w:jc w:val="both"/>
      </w:pPr>
      <w:r>
        <w:rPr>
          <w:spacing w:val="-2"/>
        </w:rPr>
        <w:t>公司既没有转移也没有保留金融资产所有权上几乎所有的风险和报酬的，分别下列情况处理：放弃了对该金融资产控制</w:t>
      </w:r>
      <w:r>
        <w:rPr/>
        <w:t> </w:t>
      </w:r>
      <w:r>
        <w:rPr>
          <w:spacing w:val="-2"/>
        </w:rPr>
        <w:t>的，终止确认该金融资产并确认产生的资产和负债；未放弃对该金融资产控制的，按照其继续涉入所转移金融资产的程度确</w:t>
      </w:r>
      <w:r>
        <w:rPr>
          <w:spacing w:val="-63"/>
        </w:rPr>
        <w:t> </w:t>
      </w:r>
      <w:r>
        <w:rPr>
          <w:spacing w:val="-63"/>
        </w:rPr>
      </w:r>
      <w:r>
        <w:rPr/>
        <w:t>认有关金融资产，并相应确认有关负债。</w:t>
      </w:r>
    </w:p>
    <w:p>
      <w:pPr>
        <w:spacing w:line="240" w:lineRule="auto" w:before="9"/>
        <w:rPr>
          <w:rFonts w:ascii="宋体" w:hAnsi="宋体" w:cs="宋体" w:eastAsia="宋体" w:hint="default"/>
          <w:sz w:val="22"/>
          <w:szCs w:val="22"/>
        </w:rPr>
      </w:pPr>
    </w:p>
    <w:p>
      <w:pPr>
        <w:pStyle w:val="Heading3"/>
        <w:spacing w:line="240" w:lineRule="auto"/>
        <w:ind w:right="141"/>
        <w:jc w:val="left"/>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0"/>
        <w:rPr>
          <w:rFonts w:ascii="宋体" w:hAnsi="宋体" w:cs="宋体" w:eastAsia="宋体" w:hint="default"/>
          <w:b/>
          <w:bCs/>
          <w:sz w:val="26"/>
          <w:szCs w:val="26"/>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公司将单项金额超过人民币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 收款项。</w:t>
            </w:r>
          </w:p>
        </w:tc>
      </w:tr>
      <w:tr>
        <w:trPr>
          <w:trHeight w:val="133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单项金额重大的应收款项坏账准备的计提方法：当存在客观 证据表明公司将无法按应收款项的原有条款收回款项时，根 据应收款项的预计未来现金流量现值低于其账面价值的差额 计提坏账准备。</w:t>
            </w:r>
          </w:p>
        </w:tc>
      </w:tr>
    </w:tbl>
    <w:p>
      <w:pPr>
        <w:spacing w:line="240" w:lineRule="auto" w:before="7"/>
        <w:rPr>
          <w:rFonts w:ascii="宋体" w:hAnsi="宋体" w:cs="宋体" w:eastAsia="宋体" w:hint="default"/>
          <w:b/>
          <w:bCs/>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单项金额重大未单独计提坏账准备及单项金额不重大未单独 计提坏账准备的应收账款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141"/>
        <w:jc w:val="left"/>
      </w:pPr>
      <w:r>
        <w:rPr/>
        <w:t>组合中，采用账龄分析法计提坏账准备的：</w:t>
      </w:r>
    </w:p>
    <w:p>
      <w:pPr>
        <w:pStyle w:val="BodyText"/>
        <w:spacing w:line="240" w:lineRule="auto" w:before="115"/>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right="141"/>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0" w:footer="974" w:top="1100" w:bottom="1160" w:left="980" w:right="980"/>
        </w:sectPr>
      </w:pPr>
    </w:p>
    <w:p>
      <w:pPr>
        <w:spacing w:line="240" w:lineRule="auto" w:before="3"/>
        <w:rPr>
          <w:rFonts w:ascii="宋体" w:hAnsi="宋体" w:cs="宋体" w:eastAsia="宋体" w:hint="default"/>
          <w:sz w:val="22"/>
          <w:szCs w:val="22"/>
        </w:rPr>
      </w:pPr>
    </w:p>
    <w:p>
      <w:pPr>
        <w:pStyle w:val="Heading4"/>
        <w:spacing w:line="240" w:lineRule="auto"/>
        <w:ind w:right="141"/>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102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单项金额虽不重大但应收款项的未来现金流量现值与以账龄 为信用风险特征的应收款项组合的未来现金流量现值存在显 著差异</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是</w:t>
      </w:r>
    </w:p>
    <w:p>
      <w:pPr>
        <w:pStyle w:val="BodyText"/>
        <w:spacing w:line="240" w:lineRule="auto" w:before="27"/>
        <w:ind w:right="0"/>
        <w:jc w:val="both"/>
      </w:pPr>
      <w:r>
        <w:rPr/>
        <w:t>医疗器械业</w:t>
      </w:r>
    </w:p>
    <w:p>
      <w:pPr>
        <w:pStyle w:val="BodyText"/>
        <w:spacing w:line="316" w:lineRule="auto" w:before="115"/>
        <w:ind w:left="513" w:right="141"/>
        <w:jc w:val="left"/>
      </w:pPr>
      <w:r>
        <w:rPr/>
        <w:t>存货主要包括原材料、在产品、发出商品和库存商品。 </w:t>
      </w:r>
      <w:r>
        <w:rPr>
          <w:spacing w:val="-2"/>
        </w:rPr>
        <w:t>存货按照成本进行初始计量。存货成本包括采购成本、加工成本和其他成本。发出存货，采用加权平均法确定其实际成</w:t>
      </w:r>
    </w:p>
    <w:p>
      <w:pPr>
        <w:pStyle w:val="BodyText"/>
        <w:spacing w:line="316" w:lineRule="auto" w:before="19"/>
        <w:ind w:left="513" w:right="2934" w:hanging="361"/>
        <w:jc w:val="left"/>
      </w:pPr>
      <w:r>
        <w:rPr/>
        <w:t>本。周转材料包括低值易耗品和包装物等，低值易耗品和包装物采用一次摊销法核算。 存货的盘存制度采用永续盘存制。</w:t>
      </w:r>
    </w:p>
    <w:p>
      <w:pPr>
        <w:pStyle w:val="BodyText"/>
        <w:spacing w:line="316" w:lineRule="auto" w:before="19"/>
        <w:ind w:right="150" w:firstLine="360"/>
        <w:jc w:val="both"/>
      </w:pPr>
      <w:r>
        <w:rPr>
          <w:spacing w:val="-5"/>
        </w:rPr>
        <w:t>于资产负债表日，存货按照成本与可变现净值孰低计量，对成本高于可变现净值的，计提存货跌价准备，计入当期损益。</w:t>
      </w:r>
      <w:r>
        <w:rPr/>
        <w:t> </w:t>
      </w:r>
      <w:r>
        <w:rPr>
          <w:spacing w:val="-2"/>
        </w:rPr>
        <w:t>如果以前计提存货跌价准备的影响因素已经消失，使得存货的可变现净值高于其账面价值，则在原已计提的存货跌价准备金</w:t>
      </w:r>
      <w:r>
        <w:rPr>
          <w:spacing w:val="-64"/>
        </w:rPr>
        <w:t> </w:t>
      </w:r>
      <w:r>
        <w:rPr>
          <w:spacing w:val="-64"/>
        </w:rPr>
      </w:r>
      <w:r>
        <w:rPr/>
        <w:t>额内，将以前减记的金额予以恢复，转回的金额计入当期损益。</w:t>
      </w:r>
    </w:p>
    <w:p>
      <w:pPr>
        <w:pStyle w:val="BodyText"/>
        <w:spacing w:line="316" w:lineRule="auto" w:before="19"/>
        <w:ind w:right="150" w:firstLine="360"/>
        <w:jc w:val="both"/>
      </w:pPr>
      <w:r>
        <w:rPr>
          <w:spacing w:val="-2"/>
        </w:rPr>
        <w:t>可变现净值，是指在日常活动中，存货的估计售价减去至完工时估计将要发生的成本、估计的销售费用以及相关税费后</w:t>
      </w:r>
      <w:r>
        <w:rPr/>
        <w:t> 的金额。计提存货跌价准备时，产成品按单个存货项目计提，原材料、在产品及周转材料按类别计提。</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3" w:right="141"/>
        <w:jc w:val="left"/>
      </w:pPr>
      <w:r>
        <w:rPr/>
        <w:t>长期股权投资包括对子公司投资和联营企业的权益性投资。 </w:t>
      </w:r>
      <w:r>
        <w:rPr>
          <w:spacing w:val="-2"/>
        </w:rPr>
        <w:t>长期股权投资在取得时以初始投资成本进行初始计量。通过同一控制下的企业合并取得的长期股权投资，以合并日取得</w:t>
      </w:r>
    </w:p>
    <w:p>
      <w:pPr>
        <w:pStyle w:val="BodyText"/>
        <w:spacing w:line="220" w:lineRule="exact"/>
        <w:ind w:right="0"/>
        <w:jc w:val="both"/>
      </w:pPr>
      <w:r>
        <w:rPr/>
        <w:t>被合并方股东权益在最终控制方合并财务报表中的账面价值的份额作为初始投资成本；初始投资成本与合并对价账面价值</w:t>
      </w:r>
    </w:p>
    <w:p>
      <w:pPr>
        <w:pStyle w:val="BodyText"/>
        <w:spacing w:line="314" w:lineRule="auto" w:before="76"/>
        <w:ind w:right="148"/>
        <w:jc w:val="both"/>
      </w:pPr>
      <w:r>
        <w:rPr>
          <w:spacing w:val="-1"/>
        </w:rPr>
        <w:t>之间差额，调整资本公积</w:t>
      </w:r>
      <w:r>
        <w:rPr>
          <w:rFonts w:ascii="Times New Roman" w:hAnsi="Times New Roman" w:cs="Times New Roman" w:eastAsia="Times New Roman" w:hint="default"/>
          <w:spacing w:val="-1"/>
        </w:rPr>
        <w:t>(</w:t>
      </w:r>
      <w:r>
        <w:rPr>
          <w:spacing w:val="-1"/>
        </w:rPr>
        <w:t>不足冲减的，冲减留存收益</w:t>
      </w:r>
      <w:r>
        <w:rPr>
          <w:rFonts w:ascii="Times New Roman" w:hAnsi="Times New Roman" w:cs="Times New Roman" w:eastAsia="Times New Roman" w:hint="default"/>
          <w:spacing w:val="-1"/>
        </w:rPr>
        <w:t>)</w:t>
      </w:r>
      <w:r>
        <w:rPr>
          <w:spacing w:val="-1"/>
        </w:rPr>
        <w:t>；合并日之前的其他综合收益，在处置该项投资时采用与被投资单位</w:t>
      </w:r>
      <w:r>
        <w:rPr>
          <w:spacing w:val="-58"/>
        </w:rPr>
        <w:t> </w:t>
      </w:r>
      <w:r>
        <w:rPr>
          <w:spacing w:val="-58"/>
        </w:rPr>
      </w:r>
      <w:r>
        <w:rPr>
          <w:spacing w:val="-2"/>
        </w:rPr>
        <w:t>直接处置相关资产或负债相同的基础进行会计处理，因被投资方除净损益、其他综合收益和利润分配以外的其他股东权益变</w:t>
      </w:r>
      <w:r>
        <w:rPr>
          <w:spacing w:val="-64"/>
        </w:rPr>
        <w:t> </w:t>
      </w:r>
      <w:r>
        <w:rPr>
          <w:spacing w:val="-64"/>
        </w:rPr>
      </w:r>
      <w:r>
        <w:rPr>
          <w:spacing w:val="-2"/>
        </w:rPr>
        <w:t>动而确认的股东权益，在处置该项投资时转入当期损益；其中，处置后仍为长期股权投资的按比例结转，处置后转换为金融</w:t>
      </w:r>
      <w:r>
        <w:rPr>
          <w:spacing w:val="-65"/>
        </w:rPr>
        <w:t> </w:t>
      </w:r>
      <w:r>
        <w:rPr>
          <w:spacing w:val="-65"/>
        </w:rPr>
      </w:r>
      <w:r>
        <w:rPr/>
        <w:t>工具的则全额结转。通过非同一控制下的企业合并取得的长期股权投资，以合并成本作为初始投资成本</w:t>
      </w:r>
      <w:r>
        <w:rPr>
          <w:rFonts w:ascii="Times New Roman" w:hAnsi="Times New Roman" w:cs="Times New Roman" w:eastAsia="Times New Roman" w:hint="default"/>
        </w:rPr>
        <w:t>(</w:t>
      </w:r>
      <w:r>
        <w:rPr/>
        <w:t>通过多次交易分步</w:t>
      </w:r>
      <w:r>
        <w:rPr>
          <w:spacing w:val="-55"/>
        </w:rPr>
        <w:t> </w:t>
      </w:r>
      <w:r>
        <w:rPr>
          <w:spacing w:val="-55"/>
        </w:rPr>
      </w:r>
      <w:r>
        <w:rPr/>
        <w:t>实现非同一控制下的企业合并的，以购买日之前所持被购买方的股权投资的账面价值与购买日新增投资成本之和作为初始</w:t>
      </w:r>
      <w:r>
        <w:rPr>
          <w:spacing w:val="-11"/>
        </w:rPr>
        <w:t> </w:t>
      </w:r>
      <w:r>
        <w:rPr>
          <w:spacing w:val="-11"/>
        </w:rPr>
      </w:r>
      <w:r>
        <w:rPr>
          <w:spacing w:val="-3"/>
        </w:rPr>
        <w:t>投资成本</w:t>
      </w:r>
      <w:r>
        <w:rPr>
          <w:rFonts w:ascii="Times New Roman" w:hAnsi="Times New Roman" w:cs="Times New Roman" w:eastAsia="Times New Roman" w:hint="default"/>
          <w:spacing w:val="-3"/>
        </w:rPr>
        <w:t>)</w:t>
      </w:r>
      <w:r>
        <w:rPr>
          <w:spacing w:val="-3"/>
        </w:rPr>
        <w:t>，合并成本包括购买方付出的资产、发生或承担的负债、发行的权益性证券的公允价值之和</w:t>
      </w:r>
      <w:r>
        <w:rPr>
          <w:rFonts w:ascii="Times New Roman" w:hAnsi="Times New Roman" w:cs="Times New Roman" w:eastAsia="Times New Roman" w:hint="default"/>
          <w:spacing w:val="-3"/>
        </w:rPr>
        <w:t>, </w:t>
      </w:r>
      <w:r>
        <w:rPr/>
        <w:t>购买日之前持有的因</w:t>
      </w:r>
      <w:r>
        <w:rPr>
          <w:spacing w:val="-85"/>
        </w:rPr>
        <w:t> </w:t>
      </w:r>
      <w:r>
        <w:rPr>
          <w:spacing w:val="-85"/>
        </w:rPr>
      </w:r>
      <w:r>
        <w:rPr/>
        <w:t>采用权益法核算而确认的其他综合收益，在处置该项投资时采用与被投资单位直接处置相关资产或负债相同的基础进行会</w:t>
      </w:r>
      <w:r>
        <w:rPr>
          <w:spacing w:val="-11"/>
        </w:rPr>
        <w:t> </w:t>
      </w:r>
      <w:r>
        <w:rPr>
          <w:spacing w:val="-11"/>
        </w:rPr>
      </w:r>
      <w:r>
        <w:rPr>
          <w:spacing w:val="-2"/>
        </w:rPr>
        <w:t>计处理，因被投资方除净损益、其他综合收益和利润分配以外的其他股东权益变动而确认的股东权益，在处置该项投资时转</w:t>
      </w:r>
      <w:r>
        <w:rPr>
          <w:spacing w:val="-63"/>
        </w:rPr>
        <w:t> </w:t>
      </w:r>
      <w:r>
        <w:rPr>
          <w:spacing w:val="-63"/>
        </w:rPr>
      </w:r>
      <w:r>
        <w:rPr>
          <w:spacing w:val="-2"/>
        </w:rPr>
        <w:t>入当期损益；其中，处置后仍为长期股权投资的按比例结转，处置后转换为金融工具的则全额结转。除企业合并形成的长期</w:t>
      </w:r>
      <w:r>
        <w:rPr>
          <w:spacing w:val="-63"/>
        </w:rPr>
        <w:t> </w:t>
      </w:r>
      <w:r>
        <w:rPr>
          <w:spacing w:val="-63"/>
        </w:rPr>
      </w:r>
      <w:r>
        <w:rPr>
          <w:spacing w:val="-2"/>
        </w:rPr>
        <w:t>股权投资以外方式取得的长期股权投资，按照下列方法确定初始投资成本：支付现金取得的，以实际支付的购买价款及与取</w:t>
      </w:r>
      <w:r>
        <w:rPr>
          <w:spacing w:val="-63"/>
        </w:rPr>
        <w:t> </w:t>
      </w:r>
      <w:r>
        <w:rPr>
          <w:spacing w:val="-63"/>
        </w:rPr>
      </w:r>
      <w:r>
        <w:rPr>
          <w:spacing w:val="-2"/>
        </w:rPr>
        <w:t>得长期股权投资直接相关的费用、税金及其他必要支出作为初始投资成本；发行权益性证券取得的，以发行权益性证券的公</w:t>
      </w:r>
      <w:r>
        <w:rPr>
          <w:spacing w:val="-63"/>
        </w:rPr>
        <w:t> </w:t>
      </w:r>
      <w:r>
        <w:rPr>
          <w:spacing w:val="-63"/>
        </w:rPr>
      </w:r>
      <w:r>
        <w:rPr/>
        <w:t>允价值作为初始投资成本。</w:t>
      </w:r>
    </w:p>
    <w:p>
      <w:pPr>
        <w:pStyle w:val="BodyText"/>
        <w:spacing w:line="319" w:lineRule="auto" w:before="20"/>
        <w:ind w:right="150" w:firstLine="360"/>
        <w:jc w:val="both"/>
      </w:pPr>
      <w:r>
        <w:rPr>
          <w:spacing w:val="-2"/>
        </w:rPr>
        <w:t>公司能够对被投资单位实施控制的长期股权投资，在公司个别财务报表中采用成本法核算。控制，是指拥有对被投资方</w:t>
      </w:r>
      <w:r>
        <w:rPr/>
        <w:t> 的权力，通过参与被投资方的相关活动而享有可变回报，并且有能力运用对被投资方的权力影响回报金额。</w:t>
      </w:r>
    </w:p>
    <w:p>
      <w:pPr>
        <w:pStyle w:val="BodyText"/>
        <w:spacing w:line="240" w:lineRule="auto" w:before="17"/>
        <w:ind w:left="513" w:right="0"/>
        <w:jc w:val="left"/>
      </w:pPr>
      <w:r>
        <w:rPr/>
        <w:t>采用成本法时，长期股权投资按初始投资成本计价，追加或收回投资的，调整长期股权投资的成本。被投资单位宣告分</w:t>
      </w:r>
    </w:p>
    <w:p>
      <w:pPr>
        <w:spacing w:after="0" w:line="240" w:lineRule="auto"/>
        <w:jc w:val="left"/>
        <w:sectPr>
          <w:pgSz w:w="11910" w:h="16840"/>
          <w:pgMar w:header="880" w:footer="974" w:top="1100" w:bottom="1160" w:left="980" w:right="980"/>
        </w:sectPr>
      </w:pPr>
    </w:p>
    <w:p>
      <w:pPr>
        <w:spacing w:line="240" w:lineRule="auto" w:before="0"/>
        <w:rPr>
          <w:rFonts w:ascii="宋体" w:hAnsi="宋体" w:cs="宋体" w:eastAsia="宋体" w:hint="default"/>
          <w:sz w:val="22"/>
          <w:szCs w:val="22"/>
        </w:rPr>
      </w:pPr>
    </w:p>
    <w:p>
      <w:pPr>
        <w:pStyle w:val="BodyText"/>
        <w:spacing w:line="316" w:lineRule="auto" w:before="44"/>
        <w:ind w:left="513" w:right="94" w:hanging="361"/>
        <w:jc w:val="left"/>
      </w:pPr>
      <w:r>
        <w:rPr/>
        <w:t>派的现金股利或利润，确认为当期投资收益。 </w:t>
      </w:r>
      <w:r>
        <w:rPr>
          <w:spacing w:val="-2"/>
        </w:rPr>
        <w:t>公司对被投资单位具有共同控制或重大影响的，长期股权投资采用权益法核算。共同控制，是指按照相关约定对某项安</w:t>
      </w:r>
    </w:p>
    <w:p>
      <w:pPr>
        <w:pStyle w:val="BodyText"/>
        <w:spacing w:line="316" w:lineRule="auto" w:before="19"/>
        <w:ind w:right="94"/>
        <w:jc w:val="left"/>
      </w:pPr>
      <w:r>
        <w:rPr>
          <w:spacing w:val="-2"/>
        </w:rPr>
        <w:t>排所共有的控制，并且该安排的相关活动必须经过分享控制权的参与方一致同意后才能决策。重大影响，是指对被投资单位</w:t>
      </w:r>
      <w:r>
        <w:rPr>
          <w:spacing w:val="-66"/>
        </w:rPr>
        <w:t> </w:t>
      </w:r>
      <w:r>
        <w:rPr>
          <w:spacing w:val="-66"/>
        </w:rPr>
      </w:r>
      <w:r>
        <w:rPr/>
        <w:t>的财务和经营政策有参与决策的权力，但并不能够控制或者与其他方一起共同控制这些政策的制定。</w:t>
      </w:r>
    </w:p>
    <w:p>
      <w:pPr>
        <w:pStyle w:val="BodyText"/>
        <w:spacing w:line="316" w:lineRule="auto" w:before="19"/>
        <w:ind w:right="191" w:firstLine="360"/>
        <w:jc w:val="both"/>
      </w:pPr>
      <w:r>
        <w:rPr>
          <w:spacing w:val="-2"/>
        </w:rPr>
        <w:t>采用权益法时，长期股权投资的初始投资成本大于投资时应享有被投资单位可辨认净资产公允价值份额的，归入长期股</w:t>
      </w:r>
      <w:r>
        <w:rPr/>
        <w:t> </w:t>
      </w:r>
      <w:r>
        <w:rPr>
          <w:spacing w:val="-2"/>
        </w:rPr>
        <w:t>权投资的初始投资成本；长期股权投资的初始投资成本小于投资时应享有被投资单位可辨认净资产公允价值份额的，其差额</w:t>
      </w:r>
      <w:r>
        <w:rPr>
          <w:spacing w:val="-64"/>
        </w:rPr>
        <w:t> </w:t>
      </w:r>
      <w:r>
        <w:rPr>
          <w:spacing w:val="-64"/>
        </w:rPr>
      </w:r>
      <w:r>
        <w:rPr/>
        <w:t>计入当期损益，同时调整长期股权投资的成本。</w:t>
      </w:r>
    </w:p>
    <w:p>
      <w:pPr>
        <w:pStyle w:val="BodyText"/>
        <w:spacing w:line="314" w:lineRule="auto" w:before="19"/>
        <w:ind w:right="190" w:firstLine="360"/>
        <w:jc w:val="both"/>
      </w:pPr>
      <w:r>
        <w:rPr>
          <w:spacing w:val="-2"/>
        </w:rPr>
        <w:t>采用权益法时，取得长期股权投资后，按照应享有或应分担的被投资单位实现的净损益和其他综合收益的份额，分别确</w:t>
      </w:r>
      <w:r>
        <w:rPr/>
        <w:t> </w:t>
      </w:r>
      <w:r>
        <w:rPr>
          <w:spacing w:val="-2"/>
        </w:rPr>
        <w:t>认投资损益和其他综合收益并调整长期股权投资的账面价值。在确认应享有被投资单位净损益的份额时，以取得投资时被投</w:t>
      </w:r>
      <w:r>
        <w:rPr>
          <w:spacing w:val="-64"/>
        </w:rPr>
        <w:t> </w:t>
      </w:r>
      <w:r>
        <w:rPr>
          <w:spacing w:val="-64"/>
        </w:rPr>
      </w:r>
      <w:r>
        <w:rPr>
          <w:spacing w:val="-2"/>
        </w:rPr>
        <w:t>资单位可辨认资产等的公允价值为基础，按照公司的会计政策及会计期间，并抵销与联营企业之间发生的内部交易损益按照</w:t>
      </w:r>
      <w:r>
        <w:rPr>
          <w:spacing w:val="-64"/>
        </w:rPr>
        <w:t> </w:t>
      </w:r>
      <w:r>
        <w:rPr>
          <w:spacing w:val="-64"/>
        </w:rPr>
      </w:r>
      <w:r>
        <w:rPr>
          <w:spacing w:val="-1"/>
        </w:rPr>
        <w:t>应享有的比例计算归属于投资方的部分</w:t>
      </w:r>
      <w:r>
        <w:rPr>
          <w:rFonts w:ascii="Times New Roman" w:hAnsi="Times New Roman" w:cs="Times New Roman" w:eastAsia="Times New Roman" w:hint="default"/>
          <w:spacing w:val="-1"/>
        </w:rPr>
        <w:t>(</w:t>
      </w:r>
      <w:r>
        <w:rPr>
          <w:spacing w:val="-1"/>
        </w:rPr>
        <w:t>但内部交易损失属于资产减值损失的，应全额确认</w:t>
      </w:r>
      <w:r>
        <w:rPr>
          <w:rFonts w:ascii="Times New Roman" w:hAnsi="Times New Roman" w:cs="Times New Roman" w:eastAsia="Times New Roman" w:hint="default"/>
          <w:spacing w:val="-1"/>
        </w:rPr>
        <w:t>)</w:t>
      </w:r>
      <w:r>
        <w:rPr>
          <w:spacing w:val="-1"/>
        </w:rPr>
        <w:t>，对被投资单位的净利润进行调</w:t>
      </w:r>
      <w:r>
        <w:rPr>
          <w:spacing w:val="-59"/>
        </w:rPr>
        <w:t> </w:t>
      </w:r>
      <w:r>
        <w:rPr>
          <w:spacing w:val="-59"/>
        </w:rPr>
      </w:r>
      <w:r>
        <w:rPr>
          <w:spacing w:val="-2"/>
        </w:rPr>
        <w:t>整后确认，但投出或出售的资产构成业务的除外。按照被投资单位宣告分派的利润或现金股利计算应享有的部分，相应减少</w:t>
      </w:r>
      <w:r>
        <w:rPr>
          <w:spacing w:val="-63"/>
        </w:rPr>
        <w:t> </w:t>
      </w:r>
      <w:r>
        <w:rPr>
          <w:spacing w:val="-63"/>
        </w:rPr>
      </w:r>
      <w:r>
        <w:rPr>
          <w:spacing w:val="-2"/>
        </w:rPr>
        <w:t>长期股权投资的账面价值。公司确认被投资单位发生的净亏损，以长期股权投资的账面价值以及其他实质上构成对被投资单</w:t>
      </w:r>
      <w:r>
        <w:rPr>
          <w:spacing w:val="-64"/>
        </w:rPr>
        <w:t> </w:t>
      </w:r>
      <w:r>
        <w:rPr>
          <w:spacing w:val="-64"/>
        </w:rPr>
      </w:r>
      <w:r>
        <w:rPr>
          <w:spacing w:val="-2"/>
        </w:rPr>
        <w:t>位净投资的长期权益减记至零为限，公司负有承担额外损失义务的除外。对于被投资单位除净损益、其他综合收益和利润分</w:t>
      </w:r>
      <w:r>
        <w:rPr>
          <w:spacing w:val="-63"/>
        </w:rPr>
        <w:t> </w:t>
      </w:r>
      <w:r>
        <w:rPr>
          <w:spacing w:val="-63"/>
        </w:rPr>
      </w:r>
      <w:r>
        <w:rPr/>
        <w:t>配以外股东权益的其他变动，调整长期股权投资的账面价值并计入股东权益。</w:t>
      </w:r>
    </w:p>
    <w:p>
      <w:pPr>
        <w:pStyle w:val="BodyText"/>
        <w:spacing w:line="314" w:lineRule="auto" w:before="20"/>
        <w:ind w:right="94" w:firstLine="360"/>
        <w:jc w:val="left"/>
      </w:pPr>
      <w:r>
        <w:rPr>
          <w:spacing w:val="-2"/>
        </w:rPr>
        <w:t>处置长期股权投资，其账面价值与实际取得价款的差额，计入当期损益。采用权益法核算的长期股权投资，终止采用权</w:t>
      </w:r>
      <w:r>
        <w:rPr/>
        <w:t> </w:t>
      </w:r>
      <w:r>
        <w:rPr>
          <w:spacing w:val="-2"/>
        </w:rPr>
        <w:t>益法的，原权益法核算的相关其他综合收益采用与被投资单位直接处置相关资产或负债相同的基础进行会计处理，因被投资</w:t>
      </w:r>
      <w:r>
        <w:rPr>
          <w:spacing w:val="-64"/>
        </w:rPr>
        <w:t> </w:t>
      </w:r>
      <w:r>
        <w:rPr>
          <w:spacing w:val="-64"/>
        </w:rPr>
      </w:r>
      <w:r>
        <w:rPr/>
        <w:t>方除净损益、其他综合收益和利润分配以外的其他股东权益变动而确认的股东权益，全部转入当期损益；仍采用权益法的，</w:t>
      </w:r>
      <w:r>
        <w:rPr>
          <w:spacing w:val="-83"/>
        </w:rPr>
        <w:t> </w:t>
      </w:r>
      <w:r>
        <w:rPr>
          <w:spacing w:val="-83"/>
        </w:rPr>
      </w:r>
      <w:r>
        <w:rPr/>
        <w:t>原权益法核算的相关其他综合收益采用与被投资单位直接处置相关资产或负债相同的基础进行会计处理并按比例转入当期</w:t>
      </w:r>
      <w:r>
        <w:rPr>
          <w:spacing w:val="-11"/>
        </w:rPr>
        <w:t> </w:t>
      </w:r>
      <w:r>
        <w:rPr>
          <w:spacing w:val="-11"/>
        </w:rPr>
      </w:r>
      <w:r>
        <w:rPr/>
        <w:t>损益，因被投资方除净损益、其他综合收益和利润分配以外的其他股东权益变动而确认的股东权益</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按相应的比例转入当期 损益。</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right="94"/>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5"/>
        <w:ind w:right="291" w:firstLine="360"/>
        <w:jc w:val="both"/>
      </w:pPr>
      <w:r>
        <w:rPr/>
        <w:t>固定资产仅在与其有关的经济利益很可能流入公司，且其成本能够可靠地计量时才予以确认。与固定资产有关的后续 支出，符合该确认条件的，计入固定资产成本，并终止确认被替换部分的账面价值；否则，在发生时计入当期损益。固定 资产按照成本进行初始计量，并考虑预计弃置费用因素的影响。购置固定资产的成本包括购买价款，相关税费、使固定资 产达到预定可使用状态前所发生的可直接归属于该资产的其他支出。</w:t>
      </w:r>
    </w:p>
    <w:p>
      <w:pPr>
        <w:spacing w:line="240" w:lineRule="auto" w:before="7"/>
        <w:rPr>
          <w:rFonts w:ascii="宋体" w:hAnsi="宋体" w:cs="宋体" w:eastAsia="宋体" w:hint="default"/>
          <w:sz w:val="24"/>
          <w:szCs w:val="24"/>
        </w:rPr>
      </w:pPr>
    </w:p>
    <w:p>
      <w:pPr>
        <w:pStyle w:val="Heading4"/>
        <w:spacing w:line="240" w:lineRule="auto" w:before="0"/>
        <w:ind w:right="9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3"/>
        <w:rPr>
          <w:rFonts w:ascii="宋体" w:hAnsi="宋体" w:cs="宋体" w:eastAsia="宋体" w:hint="default"/>
          <w:b/>
          <w:bCs/>
          <w:sz w:val="26"/>
          <w:szCs w:val="26"/>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9.5%-19.0%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1.9%-4.8%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15.8%-23.8%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9.5%-31.7%</w:t>
            </w:r>
          </w:p>
        </w:tc>
      </w:tr>
    </w:tbl>
    <w:p>
      <w:pPr>
        <w:pStyle w:val="BodyText"/>
        <w:spacing w:line="240" w:lineRule="auto" w:before="10"/>
        <w:ind w:left="542" w:right="94"/>
        <w:jc w:val="left"/>
      </w:pPr>
      <w:r>
        <w:rPr/>
        <w:t>公司至少于每年年度终了，对固定资产的使用寿命、预计净残值和折旧方法进行复核，必要时进行调整。</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公司是否需要遵守特殊行业的披露要求</w:t>
      </w:r>
    </w:p>
    <w:p>
      <w:pPr>
        <w:spacing w:after="0" w:line="240" w:lineRule="auto"/>
        <w:jc w:val="left"/>
        <w:sectPr>
          <w:pgSz w:w="11910" w:h="16840"/>
          <w:pgMar w:header="880" w:footer="974" w:top="1100" w:bottom="1160" w:left="980" w:right="940"/>
        </w:sectPr>
      </w:pPr>
    </w:p>
    <w:p>
      <w:pPr>
        <w:spacing w:line="240" w:lineRule="auto" w:before="0"/>
        <w:rPr>
          <w:rFonts w:ascii="宋体" w:hAnsi="宋体" w:cs="宋体" w:eastAsia="宋体" w:hint="default"/>
          <w:sz w:val="22"/>
          <w:szCs w:val="22"/>
        </w:rPr>
      </w:pPr>
    </w:p>
    <w:p>
      <w:pPr>
        <w:pStyle w:val="BodyText"/>
        <w:spacing w:line="360" w:lineRule="auto" w:before="44"/>
        <w:ind w:right="8914"/>
        <w:jc w:val="left"/>
      </w:pPr>
      <w:r>
        <w:rPr/>
        <w:t>是 医疗器械业</w:t>
      </w:r>
    </w:p>
    <w:p>
      <w:pPr>
        <w:pStyle w:val="BodyText"/>
        <w:spacing w:line="316" w:lineRule="auto" w:before="25"/>
        <w:ind w:right="94" w:firstLine="360"/>
        <w:jc w:val="left"/>
      </w:pPr>
      <w:r>
        <w:rPr/>
        <w:t>在建工程成本按实际工程支出确定﹐包括在建期间发生的各项必要工程支出、工程达到预定可使用状态前的应予资本</w:t>
      </w:r>
      <w:r>
        <w:rPr>
          <w:spacing w:val="2"/>
        </w:rPr>
        <w:t> </w:t>
      </w:r>
      <w:r>
        <w:rPr/>
        <w:t>化的借款费用以及其他相关费用等。</w:t>
      </w:r>
    </w:p>
    <w:p>
      <w:pPr>
        <w:pStyle w:val="BodyText"/>
        <w:spacing w:line="240" w:lineRule="auto" w:before="19"/>
        <w:ind w:left="513" w:right="94"/>
        <w:jc w:val="left"/>
      </w:pPr>
      <w:r>
        <w:rPr/>
        <w:t>在建工程在达到预定可使用状态时转入固定资产或长期待摊费用。</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15</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firstLine="360"/>
        <w:jc w:val="left"/>
      </w:pPr>
      <w:r>
        <w:rPr>
          <w:spacing w:val="-2"/>
        </w:rPr>
        <w:t>借款费用，是指公司因借款而发生的利息及其他相关成本，包括借款利息、折价或者溢价的摊销、辅助费用以及因外币</w:t>
      </w:r>
      <w:r>
        <w:rPr/>
        <w:t> 借款而发生的汇兑差额等。</w:t>
      </w:r>
    </w:p>
    <w:p>
      <w:pPr>
        <w:pStyle w:val="BodyText"/>
        <w:spacing w:line="319" w:lineRule="auto" w:before="19"/>
        <w:ind w:right="192" w:firstLine="360"/>
        <w:jc w:val="both"/>
      </w:pPr>
      <w:r>
        <w:rPr>
          <w:spacing w:val="-2"/>
        </w:rPr>
        <w:t>可直接归属于符合资本化条件的资产的购建或者生产的借款费用，予以资本化，其他借款费用计入当期损益。符合资本</w:t>
      </w:r>
      <w:r>
        <w:rPr/>
        <w:t> </w:t>
      </w:r>
      <w:r>
        <w:rPr>
          <w:spacing w:val="-2"/>
        </w:rPr>
        <w:t>化条件的资产，是指需要经过相当长时间的购建或者生产活动才能达到预定可使用或者可销售状态的固定资产、投资性房地</w:t>
      </w:r>
      <w:r>
        <w:rPr>
          <w:spacing w:val="-64"/>
        </w:rPr>
        <w:t> </w:t>
      </w:r>
      <w:r>
        <w:rPr>
          <w:spacing w:val="-64"/>
        </w:rPr>
      </w:r>
      <w:r>
        <w:rPr/>
        <w:t>产和存货等资产。</w:t>
      </w:r>
    </w:p>
    <w:p>
      <w:pPr>
        <w:pStyle w:val="BodyText"/>
        <w:spacing w:line="240" w:lineRule="auto" w:before="17"/>
        <w:ind w:left="513" w:right="94"/>
        <w:jc w:val="left"/>
      </w:pPr>
      <w:r>
        <w:rPr/>
        <w:t>借款费用同时满足下列条件的，才能开始资本化：</w:t>
      </w:r>
    </w:p>
    <w:p>
      <w:pPr>
        <w:pStyle w:val="BodyText"/>
        <w:tabs>
          <w:tab w:pos="993" w:val="left" w:leader="none"/>
        </w:tabs>
        <w:spacing w:line="240" w:lineRule="auto" w:before="76"/>
        <w:ind w:left="513" w:right="94"/>
        <w:jc w:val="left"/>
      </w:pPr>
      <w:r>
        <w:rPr>
          <w:rFonts w:ascii="Times New Roman" w:hAnsi="Times New Roman" w:cs="Times New Roman" w:eastAsia="Times New Roman" w:hint="default"/>
        </w:rPr>
        <w:t>(1)</w:t>
        <w:tab/>
      </w:r>
      <w:r>
        <w:rPr/>
        <w:t>资产支出已经发生；</w:t>
      </w:r>
    </w:p>
    <w:p>
      <w:pPr>
        <w:pStyle w:val="BodyText"/>
        <w:tabs>
          <w:tab w:pos="993" w:val="left" w:leader="none"/>
        </w:tabs>
        <w:spacing w:line="240" w:lineRule="auto" w:before="63"/>
        <w:ind w:left="513" w:right="94"/>
        <w:jc w:val="left"/>
      </w:pPr>
      <w:r>
        <w:rPr>
          <w:rFonts w:ascii="Times New Roman" w:hAnsi="Times New Roman" w:cs="Times New Roman" w:eastAsia="Times New Roman" w:hint="default"/>
        </w:rPr>
        <w:t>(2)</w:t>
        <w:tab/>
      </w:r>
      <w:r>
        <w:rPr/>
        <w:t>借款费用已经发生；</w:t>
      </w:r>
    </w:p>
    <w:p>
      <w:pPr>
        <w:pStyle w:val="BodyText"/>
        <w:tabs>
          <w:tab w:pos="993" w:val="left" w:leader="none"/>
        </w:tabs>
        <w:spacing w:line="240" w:lineRule="auto" w:before="63"/>
        <w:ind w:left="513" w:right="94"/>
        <w:jc w:val="left"/>
      </w:pPr>
      <w:r>
        <w:rPr>
          <w:rFonts w:ascii="Times New Roman" w:hAnsi="Times New Roman" w:cs="Times New Roman" w:eastAsia="Times New Roman" w:hint="default"/>
        </w:rPr>
        <w:t>(3)</w:t>
        <w:tab/>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BodyText"/>
        <w:spacing w:line="316" w:lineRule="auto" w:before="139"/>
        <w:ind w:right="94" w:firstLine="360"/>
        <w:jc w:val="left"/>
      </w:pPr>
      <w:r>
        <w:rPr>
          <w:spacing w:val="-2"/>
        </w:rPr>
        <w:t>购建或者生产符合资本化条件的资产达到预定可使用或者可销售状态时，借款费用停止资本化。之后发生的借款费用计</w:t>
      </w:r>
      <w:r>
        <w:rPr/>
        <w:t> 入当期损益。</w:t>
      </w:r>
    </w:p>
    <w:p>
      <w:pPr>
        <w:pStyle w:val="BodyText"/>
        <w:spacing w:line="240" w:lineRule="auto" w:before="19"/>
        <w:ind w:left="513" w:right="94"/>
        <w:jc w:val="left"/>
      </w:pPr>
      <w:r>
        <w:rPr/>
        <w:t>在资本化期间内，每一会计期间的利息资本化金额，按照下列方法确定：</w:t>
      </w:r>
    </w:p>
    <w:p>
      <w:pPr>
        <w:pStyle w:val="BodyText"/>
        <w:tabs>
          <w:tab w:pos="993" w:val="left" w:leader="none"/>
        </w:tabs>
        <w:spacing w:line="240" w:lineRule="auto" w:before="77"/>
        <w:ind w:left="513" w:right="94"/>
        <w:jc w:val="left"/>
      </w:pPr>
      <w:r>
        <w:rPr>
          <w:rFonts w:ascii="Times New Roman" w:hAnsi="Times New Roman" w:cs="Times New Roman" w:eastAsia="Times New Roman" w:hint="default"/>
        </w:rPr>
        <w:t>(1)</w:t>
        <w:tab/>
      </w:r>
      <w:r>
        <w:rPr/>
        <w:t>专门借款以当期实际发生的利息费用，减去暂时性的存款利息收入或投资收益后的金额确定。</w:t>
      </w:r>
    </w:p>
    <w:p>
      <w:pPr>
        <w:pStyle w:val="BodyText"/>
        <w:tabs>
          <w:tab w:pos="993" w:val="left" w:leader="none"/>
        </w:tabs>
        <w:spacing w:line="300" w:lineRule="auto" w:before="63"/>
        <w:ind w:right="192" w:firstLine="360"/>
        <w:jc w:val="left"/>
      </w:pPr>
      <w:r>
        <w:rPr>
          <w:rFonts w:ascii="Times New Roman" w:hAnsi="Times New Roman" w:cs="Times New Roman" w:eastAsia="Times New Roman" w:hint="default"/>
        </w:rPr>
        <w:t>(2)</w:t>
        <w:tab/>
      </w:r>
      <w:r>
        <w:rPr>
          <w:spacing w:val="-1"/>
        </w:rPr>
        <w:t>占用的一般借款，根据累计资产支出超过专门借款部分的资产支出加权平均数乘以所占用一般借款的加权平均利</w:t>
      </w:r>
      <w:r>
        <w:rPr>
          <w:w w:val="99"/>
        </w:rPr>
        <w:t> </w:t>
      </w:r>
      <w:r>
        <w:rPr/>
        <w:t>率计算确定。</w:t>
      </w:r>
    </w:p>
    <w:p>
      <w:pPr>
        <w:pStyle w:val="BodyText"/>
        <w:spacing w:line="309" w:lineRule="auto" w:before="31"/>
        <w:ind w:right="184" w:firstLine="360"/>
        <w:jc w:val="left"/>
      </w:pPr>
      <w:r>
        <w:rPr/>
        <w:t>符合资本化条件的资产在购建或者生产过程中，发生除达到预定可使用或者可销售状态必要的程序之外的非正常中 断、且中断时间连续超过</w:t>
      </w:r>
      <w:r>
        <w:rPr>
          <w:rFonts w:ascii="Times New Roman" w:hAnsi="Times New Roman" w:cs="Times New Roman" w:eastAsia="Times New Roman" w:hint="default"/>
        </w:rPr>
        <w:t>3</w:t>
      </w:r>
      <w:r>
        <w:rPr/>
        <w:t>个月的，暂停借款费用的资本化。在中断期间发生的借款费用确认为费用，计入当期损益，直至 资产的购建或者生产活动重新开始。</w:t>
      </w:r>
    </w:p>
    <w:p>
      <w:pPr>
        <w:spacing w:line="240" w:lineRule="auto" w:before="0"/>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7"/>
        <w:rPr>
          <w:rFonts w:ascii="宋体" w:hAnsi="宋体" w:cs="宋体" w:eastAsia="宋体" w:hint="default"/>
          <w:b/>
          <w:bCs/>
          <w:sz w:val="26"/>
          <w:szCs w:val="26"/>
        </w:rPr>
      </w:pPr>
    </w:p>
    <w:p>
      <w:pPr>
        <w:pStyle w:val="Heading4"/>
        <w:spacing w:line="240" w:lineRule="auto" w:before="0"/>
        <w:ind w:right="94"/>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0"/>
        <w:rPr>
          <w:rFonts w:ascii="宋体" w:hAnsi="宋体" w:cs="宋体" w:eastAsia="宋体" w:hint="default"/>
          <w:b/>
          <w:bCs/>
          <w:sz w:val="18"/>
          <w:szCs w:val="18"/>
        </w:rPr>
      </w:pPr>
    </w:p>
    <w:p>
      <w:pPr>
        <w:pStyle w:val="BodyText"/>
        <w:spacing w:line="360" w:lineRule="auto" w:before="128"/>
        <w:ind w:right="6754"/>
        <w:jc w:val="left"/>
      </w:pPr>
      <w:r>
        <w:rPr/>
        <w:t>公司是否需要遵守特殊行业的披露要求 是</w:t>
      </w:r>
    </w:p>
    <w:p>
      <w:pPr>
        <w:pStyle w:val="BodyText"/>
        <w:spacing w:line="240" w:lineRule="auto" w:before="25"/>
        <w:ind w:right="94"/>
        <w:jc w:val="left"/>
      </w:pPr>
      <w:r>
        <w:rPr/>
        <w:t>医疗器械业</w:t>
      </w:r>
    </w:p>
    <w:p>
      <w:pPr>
        <w:pStyle w:val="BodyText"/>
        <w:spacing w:line="316" w:lineRule="auto" w:before="117"/>
        <w:ind w:right="94" w:firstLine="360"/>
        <w:jc w:val="left"/>
      </w:pPr>
      <w:r>
        <w:rPr/>
        <w:t>无形资产仅在与其有关的经济利益很可能流入公司，且其成本能够可靠地计量时才予以确认，并以成本进行初始计量。 但非同一控制下企业合并中取得的无形资产，其公允价值能够可靠地计量的，即单独确认为无形资产并按照公允价值计量。</w:t>
      </w:r>
    </w:p>
    <w:p>
      <w:pPr>
        <w:pStyle w:val="BodyText"/>
        <w:spacing w:line="316" w:lineRule="auto" w:before="19"/>
        <w:ind w:right="94" w:firstLine="360"/>
        <w:jc w:val="left"/>
      </w:pPr>
      <w:r>
        <w:rPr/>
        <w:t>无形资产按照其能为公司带来经济利益的期限确定使用寿命，无法预见其为公司带来经济利益期限的作为使用寿命不</w:t>
      </w:r>
      <w:r>
        <w:rPr>
          <w:spacing w:val="2"/>
        </w:rPr>
        <w:t> </w:t>
      </w:r>
      <w:r>
        <w:rPr/>
        <w:t>确定的无形资产。</w:t>
      </w:r>
    </w:p>
    <w:p>
      <w:pPr>
        <w:pStyle w:val="BodyText"/>
        <w:spacing w:line="240" w:lineRule="auto" w:before="19"/>
        <w:ind w:left="513" w:right="94"/>
        <w:jc w:val="left"/>
      </w:pPr>
      <w:r>
        <w:rPr/>
        <w:t>各项无形资产的使用寿命如下：</w:t>
      </w:r>
    </w:p>
    <w:p>
      <w:pPr>
        <w:spacing w:line="240" w:lineRule="auto" w:before="0"/>
        <w:rPr>
          <w:rFonts w:ascii="宋体" w:hAnsi="宋体" w:cs="宋体" w:eastAsia="宋体" w:hint="default"/>
          <w:sz w:val="5"/>
          <w:szCs w:val="5"/>
        </w:rPr>
      </w:pPr>
    </w:p>
    <w:tbl>
      <w:tblPr>
        <w:tblW w:w="0" w:type="auto"/>
        <w:jc w:val="left"/>
        <w:tblInd w:w="164" w:type="dxa"/>
        <w:tblLayout w:type="fixed"/>
        <w:tblCellMar>
          <w:top w:w="0" w:type="dxa"/>
          <w:left w:w="0" w:type="dxa"/>
          <w:bottom w:w="0" w:type="dxa"/>
          <w:right w:w="0" w:type="dxa"/>
        </w:tblCellMar>
        <w:tblLook w:val="01E0"/>
      </w:tblPr>
      <w:tblGrid>
        <w:gridCol w:w="3543"/>
        <w:gridCol w:w="2835"/>
      </w:tblGrid>
      <w:tr>
        <w:trPr>
          <w:trHeight w:val="346" w:hRule="exact"/>
        </w:trPr>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hAnsi="宋体" w:cs="宋体" w:eastAsia="宋体" w:hint="default"/>
                <w:sz w:val="18"/>
                <w:szCs w:val="18"/>
              </w:rPr>
              <w:t>使用寿命</w:t>
            </w:r>
          </w:p>
        </w:tc>
      </w:tr>
      <w:tr>
        <w:trPr>
          <w:trHeight w:val="348" w:hRule="exact"/>
        </w:trPr>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10-20</w:t>
            </w:r>
            <w:r>
              <w:rPr>
                <w:rFonts w:ascii="宋体" w:hAnsi="宋体" w:cs="宋体" w:eastAsia="宋体" w:hint="default"/>
                <w:sz w:val="18"/>
                <w:szCs w:val="18"/>
              </w:rPr>
              <w:t>年</w:t>
            </w:r>
          </w:p>
        </w:tc>
      </w:tr>
      <w:tr>
        <w:trPr>
          <w:trHeight w:val="348" w:hRule="exact"/>
        </w:trPr>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bl>
    <w:p>
      <w:pPr>
        <w:spacing w:after="0" w:line="240" w:lineRule="auto"/>
        <w:jc w:val="right"/>
        <w:rPr>
          <w:rFonts w:ascii="宋体" w:hAnsi="宋体" w:cs="宋体" w:eastAsia="宋体" w:hint="default"/>
          <w:sz w:val="18"/>
          <w:szCs w:val="18"/>
        </w:rPr>
        <w:sectPr>
          <w:pgSz w:w="11910" w:h="16840"/>
          <w:pgMar w:header="880" w:footer="974" w:top="1100" w:bottom="1160" w:left="980" w:right="940"/>
        </w:sectPr>
      </w:pPr>
    </w:p>
    <w:p>
      <w:pPr>
        <w:spacing w:line="240" w:lineRule="auto" w:before="8"/>
        <w:rPr>
          <w:rFonts w:ascii="宋体" w:hAnsi="宋体" w:cs="宋体" w:eastAsia="宋体" w:hint="default"/>
          <w:sz w:val="24"/>
          <w:szCs w:val="24"/>
        </w:rPr>
      </w:pPr>
    </w:p>
    <w:tbl>
      <w:tblPr>
        <w:tblW w:w="0" w:type="auto"/>
        <w:jc w:val="left"/>
        <w:tblInd w:w="164" w:type="dxa"/>
        <w:tblLayout w:type="fixed"/>
        <w:tblCellMar>
          <w:top w:w="0" w:type="dxa"/>
          <w:left w:w="0" w:type="dxa"/>
          <w:bottom w:w="0" w:type="dxa"/>
          <w:right w:w="0" w:type="dxa"/>
        </w:tblCellMar>
        <w:tblLook w:val="01E0"/>
      </w:tblPr>
      <w:tblGrid>
        <w:gridCol w:w="3543"/>
        <w:gridCol w:w="2835"/>
      </w:tblGrid>
      <w:tr>
        <w:trPr>
          <w:trHeight w:val="348" w:hRule="exact"/>
        </w:trPr>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3-10</w:t>
            </w:r>
            <w:r>
              <w:rPr>
                <w:rFonts w:ascii="宋体" w:hAnsi="宋体" w:cs="宋体" w:eastAsia="宋体" w:hint="default"/>
                <w:sz w:val="18"/>
                <w:szCs w:val="18"/>
              </w:rPr>
              <w:t>年</w:t>
            </w:r>
          </w:p>
        </w:tc>
      </w:tr>
    </w:tbl>
    <w:p>
      <w:pPr>
        <w:pStyle w:val="BodyText"/>
        <w:spacing w:line="316" w:lineRule="auto" w:before="10"/>
        <w:ind w:right="94" w:firstLine="360"/>
        <w:jc w:val="left"/>
      </w:pPr>
      <w:r>
        <w:rPr>
          <w:spacing w:val="-2"/>
        </w:rPr>
        <w:t>使用寿命有限的无形资产，在其使用寿命内采用直线法摊销。公司至少于每年年度终了，对使用寿命有限的无形资产的</w:t>
      </w:r>
      <w:r>
        <w:rPr/>
        <w:t> 使用寿命及摊销方法进行复核，必要时进行调整。</w:t>
      </w:r>
    </w:p>
    <w:p>
      <w:pPr>
        <w:spacing w:line="240" w:lineRule="auto" w:before="7"/>
        <w:rPr>
          <w:rFonts w:ascii="宋体" w:hAnsi="宋体" w:cs="宋体" w:eastAsia="宋体" w:hint="default"/>
          <w:sz w:val="24"/>
          <w:szCs w:val="24"/>
        </w:rPr>
      </w:pPr>
    </w:p>
    <w:p>
      <w:pPr>
        <w:pStyle w:val="Heading4"/>
        <w:spacing w:line="240" w:lineRule="auto" w:before="0"/>
        <w:ind w:right="94"/>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5"/>
        <w:ind w:left="513" w:right="3693"/>
        <w:jc w:val="left"/>
      </w:pPr>
      <w:r>
        <w:rPr/>
        <w:t>公司将内部研究开发项目的支出，区分为研究阶段支出和开发阶段支出。 研究阶段的支出，于发生时计入当期损益。 开发阶段的支出，只有在同时满足下列条件时，才能予以资本化，即：</w:t>
      </w:r>
    </w:p>
    <w:p>
      <w:pPr>
        <w:pStyle w:val="BodyText"/>
        <w:spacing w:line="240" w:lineRule="auto" w:before="19"/>
        <w:ind w:left="513" w:right="94"/>
        <w:jc w:val="left"/>
      </w:pPr>
      <w:r>
        <w:rPr/>
        <w:t>（</w:t>
      </w:r>
      <w:r>
        <w:rPr>
          <w:rFonts w:ascii="Times New Roman" w:hAnsi="Times New Roman" w:cs="Times New Roman" w:eastAsia="Times New Roman" w:hint="default"/>
        </w:rPr>
        <w:t>1</w:t>
      </w:r>
      <w:r>
        <w:rPr/>
        <w:t>）</w:t>
      </w:r>
      <w:r>
        <w:rPr>
          <w:spacing w:val="-1"/>
        </w:rPr>
        <w:t> </w:t>
      </w:r>
      <w:r>
        <w:rPr/>
        <w:t>完成该无形资产以使其能够使用或出售在技术上具有可行性；</w:t>
      </w:r>
    </w:p>
    <w:p>
      <w:pPr>
        <w:pStyle w:val="BodyText"/>
        <w:spacing w:line="240" w:lineRule="auto" w:before="63"/>
        <w:ind w:left="513" w:right="94"/>
        <w:jc w:val="left"/>
      </w:pPr>
      <w:r>
        <w:rPr/>
        <w:t>（</w:t>
      </w:r>
      <w:r>
        <w:rPr>
          <w:rFonts w:ascii="Times New Roman" w:hAnsi="Times New Roman" w:cs="Times New Roman" w:eastAsia="Times New Roman" w:hint="default"/>
        </w:rPr>
        <w:t>2</w:t>
      </w:r>
      <w:r>
        <w:rPr/>
        <w:t>）</w:t>
      </w:r>
      <w:r>
        <w:rPr>
          <w:spacing w:val="-1"/>
        </w:rPr>
        <w:t> </w:t>
      </w:r>
      <w:r>
        <w:rPr/>
        <w:t>具有完成该无形资产并使用或出售的意图；</w:t>
      </w:r>
    </w:p>
    <w:p>
      <w:pPr>
        <w:pStyle w:val="BodyText"/>
        <w:spacing w:line="300" w:lineRule="auto" w:before="63"/>
        <w:ind w:right="182" w:firstLine="360"/>
        <w:jc w:val="left"/>
      </w:pPr>
      <w:r>
        <w:rPr/>
        <w:t>（</w:t>
      </w:r>
      <w:r>
        <w:rPr>
          <w:rFonts w:ascii="Times New Roman" w:hAnsi="Times New Roman" w:cs="Times New Roman" w:eastAsia="Times New Roman" w:hint="default"/>
        </w:rPr>
        <w:t>3</w:t>
      </w:r>
      <w:r>
        <w:rPr/>
        <w:t>）</w:t>
      </w:r>
      <w:r>
        <w:rPr>
          <w:spacing w:val="10"/>
        </w:rPr>
        <w:t> </w:t>
      </w:r>
      <w:r>
        <w:rPr>
          <w:spacing w:val="-2"/>
        </w:rPr>
        <w:t>无形资产产生经济利益的方式，包括能够证明运用该无形资产生产的产品存在市场或无形资产自身存在市场，无</w:t>
      </w:r>
      <w:r>
        <w:rPr/>
        <w:t> 形资产将在内部使用的，能够证明其有用性；</w:t>
      </w:r>
    </w:p>
    <w:p>
      <w:pPr>
        <w:pStyle w:val="BodyText"/>
        <w:spacing w:line="240" w:lineRule="auto" w:before="31"/>
        <w:ind w:left="513" w:right="94"/>
        <w:jc w:val="left"/>
      </w:pPr>
      <w:r>
        <w:rPr/>
        <w:t>（</w:t>
      </w:r>
      <w:r>
        <w:rPr>
          <w:rFonts w:ascii="Times New Roman" w:hAnsi="Times New Roman" w:cs="Times New Roman" w:eastAsia="Times New Roman" w:hint="default"/>
        </w:rPr>
        <w:t>4</w:t>
      </w:r>
      <w:r>
        <w:rPr/>
        <w:t>）</w:t>
      </w:r>
      <w:r>
        <w:rPr>
          <w:spacing w:val="-1"/>
        </w:rPr>
        <w:t> </w:t>
      </w:r>
      <w:r>
        <w:rPr/>
        <w:t>有足够的技术、财务资源和其他资源支持，以完成该无形资产的开发，并有能力使用或出售该无形资产；</w:t>
      </w:r>
    </w:p>
    <w:p>
      <w:pPr>
        <w:pStyle w:val="BodyText"/>
        <w:spacing w:line="300" w:lineRule="auto" w:before="63"/>
        <w:ind w:left="513" w:right="2973"/>
        <w:jc w:val="left"/>
      </w:pPr>
      <w:r>
        <w:rPr/>
        <w:t>（</w:t>
      </w:r>
      <w:r>
        <w:rPr>
          <w:rFonts w:ascii="Times New Roman" w:hAnsi="Times New Roman" w:cs="Times New Roman" w:eastAsia="Times New Roman" w:hint="default"/>
        </w:rPr>
        <w:t>5</w:t>
      </w:r>
      <w:r>
        <w:rPr/>
        <w:t>） 归属于该无形资产开发阶段的支出能够可靠地计量。 无法区分研究阶段支出和开发阶段支出的，将发生的研发支出全部计入当期损益。</w:t>
      </w:r>
    </w:p>
    <w:p>
      <w:pPr>
        <w:spacing w:line="240" w:lineRule="auto" w:before="3"/>
        <w:rPr>
          <w:rFonts w:ascii="宋体" w:hAnsi="宋体" w:cs="宋体" w:eastAsia="宋体" w:hint="default"/>
          <w:sz w:val="26"/>
          <w:szCs w:val="26"/>
        </w:rPr>
      </w:pPr>
    </w:p>
    <w:p>
      <w:pPr>
        <w:pStyle w:val="BodyText"/>
        <w:spacing w:line="316" w:lineRule="auto"/>
        <w:ind w:left="513" w:right="94"/>
        <w:jc w:val="left"/>
      </w:pPr>
      <w:r>
        <w:rPr/>
        <w:t>公司确认研发费用资本化的具体标准 </w:t>
      </w:r>
      <w:r>
        <w:rPr>
          <w:spacing w:val="-2"/>
        </w:rPr>
        <w:t>公司项目研发主要分为：立项调研、方案评审、技术研发、试制、工序完善，转产等几个阶段，其中技术研发和试制阶</w:t>
      </w:r>
    </w:p>
    <w:p>
      <w:pPr>
        <w:pStyle w:val="BodyText"/>
        <w:spacing w:line="319" w:lineRule="auto" w:before="19"/>
        <w:ind w:right="94"/>
        <w:jc w:val="left"/>
      </w:pPr>
      <w:r>
        <w:rPr/>
        <w:t>段属于技术测试过程，是为进一步把技术转化为产品进行小样本量的测试，技术研发和试制阶段及之前的支出予以费用化。</w:t>
      </w:r>
      <w:r>
        <w:rPr>
          <w:spacing w:val="-83"/>
        </w:rPr>
        <w:t> </w:t>
      </w:r>
      <w:r>
        <w:rPr>
          <w:spacing w:val="-83"/>
        </w:rPr>
      </w:r>
      <w:r>
        <w:rPr>
          <w:spacing w:val="-2"/>
        </w:rPr>
        <w:t>完成技术研发和试制阶段后，形成一项新产品或服务的基本条件已经具备，从工序完善到转产阶段的支出予以资本化，计入</w:t>
      </w:r>
      <w:r>
        <w:rPr>
          <w:spacing w:val="-63"/>
        </w:rPr>
        <w:t> </w:t>
      </w:r>
      <w:r>
        <w:rPr>
          <w:spacing w:val="-63"/>
        </w:rPr>
      </w:r>
      <w:r>
        <w:rPr/>
        <w:t>开发支出，自该项目达到预定可使用状态之日起转为无形资产。</w:t>
      </w:r>
    </w:p>
    <w:p>
      <w:pPr>
        <w:pStyle w:val="BodyText"/>
        <w:spacing w:line="340" w:lineRule="auto" w:before="58"/>
        <w:ind w:left="513" w:right="93"/>
        <w:jc w:val="left"/>
      </w:pPr>
      <w:r>
        <w:rPr/>
        <w:t>公司需遵守《深圳证券交易所创业板行业信息披露指引第</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无形资产仅在与其有关的经济利益很可能流入公司，且其成本能够可靠地计量时才予以确认，并以成本进行初始计量。</w:t>
      </w:r>
    </w:p>
    <w:p>
      <w:pPr>
        <w:pStyle w:val="BodyText"/>
        <w:spacing w:line="240" w:lineRule="auto" w:before="1"/>
        <w:ind w:right="94"/>
        <w:jc w:val="left"/>
      </w:pPr>
      <w:r>
        <w:rPr/>
        <w:t>但企业合并中取得的无形资产，其公允价值能够可靠地计量的，即单独确认为无形资产并按照公允价值计量。</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17</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94"/>
        <w:jc w:val="left"/>
      </w:pPr>
      <w:r>
        <w:rPr/>
        <w:t>公司对除存货、递延所得税、金融资产外的资产减值，按以下方法确定： </w:t>
      </w:r>
      <w:r>
        <w:rPr>
          <w:spacing w:val="-2"/>
        </w:rPr>
        <w:t>公司于资产负债表日判断资产是否存在可能发生减值的迹象，存在减值迹象的，公司将估计其可收回金额，进行减值测</w:t>
      </w:r>
    </w:p>
    <w:p>
      <w:pPr>
        <w:pStyle w:val="BodyText"/>
        <w:spacing w:line="316" w:lineRule="auto" w:before="19"/>
        <w:ind w:left="513" w:right="94" w:hanging="361"/>
        <w:jc w:val="left"/>
      </w:pPr>
      <w:r>
        <w:rPr/>
        <w:t>试。对于尚未达到可使用状态的无形资产，也每年进行减值测试。 可收回金额根据资产的公允价值减去处置费用后的净额与资产预计未来现金流量的现值两者之间较高者确定。公司以</w:t>
      </w:r>
    </w:p>
    <w:p>
      <w:pPr>
        <w:pStyle w:val="BodyText"/>
        <w:spacing w:line="316" w:lineRule="auto" w:before="19"/>
        <w:ind w:right="94"/>
        <w:jc w:val="left"/>
      </w:pPr>
      <w:r>
        <w:rPr>
          <w:spacing w:val="-2"/>
        </w:rPr>
        <w:t>单项资产为基础估计其可收回金额；难以对单项资产的可收回金额进行估计的，以该资产所属的资产组为基础确定资产组的</w:t>
      </w:r>
      <w:r>
        <w:rPr>
          <w:spacing w:val="-64"/>
        </w:rPr>
        <w:t> </w:t>
      </w:r>
      <w:r>
        <w:rPr>
          <w:spacing w:val="-64"/>
        </w:rPr>
      </w:r>
      <w:r>
        <w:rPr/>
        <w:t>可收回金额。资产组的认定，以资产组产生的主要现金流入是否独立于其他资产或者资产组的现金流入为依据。</w:t>
      </w:r>
    </w:p>
    <w:p>
      <w:pPr>
        <w:pStyle w:val="BodyText"/>
        <w:spacing w:line="316" w:lineRule="auto" w:before="19"/>
        <w:ind w:right="94" w:firstLine="360"/>
        <w:jc w:val="left"/>
      </w:pPr>
      <w:r>
        <w:rPr/>
        <w:t>当资产或者资产组的可收回金额低于其账面价值时，公司将其账面价值减记至可收回金额，减记的金额计入当期损益， 同时计提相应的资产减值准备。</w:t>
      </w:r>
    </w:p>
    <w:p>
      <w:pPr>
        <w:pStyle w:val="BodyText"/>
        <w:spacing w:line="240" w:lineRule="auto" w:before="19"/>
        <w:ind w:left="513" w:right="94"/>
        <w:jc w:val="left"/>
      </w:pPr>
      <w:r>
        <w:rPr/>
        <w:t>上述资产减值损失一经确认，在以后会计期间不再转回。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94"/>
        <w:jc w:val="left"/>
      </w:pPr>
      <w:r>
        <w:rPr/>
        <w:t>长期待摊费用包括租赁房屋建筑物装修支出、租入固定资产改良支出，采用直线法一般按</w:t>
      </w:r>
      <w:r>
        <w:rPr>
          <w:rFonts w:ascii="Times New Roman" w:hAnsi="Times New Roman" w:cs="Times New Roman" w:eastAsia="Times New Roman" w:hint="default"/>
        </w:rPr>
        <w:t>5</w:t>
      </w:r>
      <w:r>
        <w:rPr/>
        <w:t>年摊销。</w:t>
      </w:r>
    </w:p>
    <w:p>
      <w:pPr>
        <w:spacing w:after="0" w:line="240" w:lineRule="auto"/>
        <w:jc w:val="left"/>
        <w:sectPr>
          <w:pgSz w:w="11910" w:h="16840"/>
          <w:pgMar w:header="880" w:footer="974"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141"/>
        <w:jc w:val="left"/>
        <w:rPr>
          <w:b w:val="0"/>
          <w:bCs w:val="0"/>
        </w:rPr>
      </w:pPr>
      <w:r>
        <w:rPr>
          <w:rFonts w:ascii="Times New Roman" w:hAnsi="Times New Roman" w:cs="Times New Roman" w:eastAsia="Times New Roman" w:hint="default"/>
        </w:rPr>
        <w:t>19</w:t>
      </w:r>
      <w:r>
        <w:rPr/>
        <w:t>、职工薪酬</w:t>
      </w:r>
      <w:r>
        <w:rPr>
          <w:b w:val="0"/>
          <w:bCs w:val="0"/>
        </w:rPr>
      </w:r>
    </w:p>
    <w:p>
      <w:pPr>
        <w:spacing w:line="590" w:lineRule="atLeast" w:before="8"/>
        <w:ind w:left="513" w:right="141"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）短期薪酬的会计处理方法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职工薪酬，指公司为获得职工提供的服务或解除劳动关系而给予的各种形式的报酬或补偿。职工薪酬包括短期薪酬和离</w:t>
      </w:r>
    </w:p>
    <w:p>
      <w:pPr>
        <w:pStyle w:val="BodyText"/>
        <w:spacing w:line="316" w:lineRule="auto" w:before="76"/>
        <w:ind w:left="513" w:right="593" w:hanging="361"/>
        <w:jc w:val="left"/>
      </w:pPr>
      <w:r>
        <w:rPr/>
        <w:t>职后福利。公司提供给职工配偶、子女、受赡养人、已故员工遗属及其他受益人等的福利，也属于职工薪酬。 短期薪酬，在职工提供服务的会计期间，将实际发生的短期薪酬确认为负债，并计入当期损益或相关资产成本。</w:t>
      </w:r>
    </w:p>
    <w:p>
      <w:pPr>
        <w:spacing w:line="612" w:lineRule="exact" w:before="42"/>
        <w:ind w:left="513" w:right="141"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）离职后福利的会计处理方法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离职后福利（设定提存计划），公司的职工参加由当地政府管理的养老保险，相应支出在发生时计入相关资产成本或当</w:t>
      </w:r>
    </w:p>
    <w:p>
      <w:pPr>
        <w:pStyle w:val="BodyText"/>
        <w:spacing w:line="216" w:lineRule="exact"/>
        <w:ind w:right="141"/>
        <w:jc w:val="left"/>
      </w:pPr>
      <w:r>
        <w:rPr/>
        <w:t>期损益。</w:t>
      </w:r>
    </w:p>
    <w:p>
      <w:pPr>
        <w:spacing w:line="240" w:lineRule="auto" w:before="0"/>
        <w:rPr>
          <w:rFonts w:ascii="宋体" w:hAnsi="宋体" w:cs="宋体" w:eastAsia="宋体" w:hint="default"/>
          <w:sz w:val="18"/>
          <w:szCs w:val="18"/>
        </w:rPr>
      </w:pPr>
    </w:p>
    <w:p>
      <w:pPr>
        <w:pStyle w:val="Heading3"/>
        <w:spacing w:line="240" w:lineRule="auto" w:before="118"/>
        <w:ind w:right="141"/>
        <w:jc w:val="left"/>
        <w:rPr>
          <w:b w:val="0"/>
          <w:bCs w:val="0"/>
        </w:rPr>
      </w:pPr>
      <w:r>
        <w:rPr>
          <w:rFonts w:ascii="Times New Roman" w:hAnsi="Times New Roman" w:cs="Times New Roman" w:eastAsia="Times New Roman" w:hint="default"/>
        </w:rPr>
        <w:t>20</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2" w:firstLine="360"/>
        <w:jc w:val="both"/>
      </w:pPr>
      <w:r>
        <w:rPr>
          <w:spacing w:val="-2"/>
        </w:rPr>
        <w:t>除了非同一控制下企业合并中的或有对价及承担的或有负债之外，当与或有事项相关的义务同时符合以下条件，公司将</w:t>
      </w:r>
      <w:r>
        <w:rPr/>
        <w:t> 其确认为预计负债：</w:t>
      </w:r>
    </w:p>
    <w:p>
      <w:pPr>
        <w:pStyle w:val="BodyText"/>
        <w:tabs>
          <w:tab w:pos="993" w:val="left" w:leader="none"/>
        </w:tabs>
        <w:spacing w:line="240" w:lineRule="auto" w:before="59"/>
        <w:ind w:left="513" w:right="141"/>
        <w:jc w:val="left"/>
      </w:pPr>
      <w:r>
        <w:rPr>
          <w:rFonts w:ascii="Times New Roman" w:hAnsi="Times New Roman" w:cs="Times New Roman" w:eastAsia="Times New Roman" w:hint="default"/>
        </w:rPr>
        <w:t>(1)</w:t>
        <w:tab/>
      </w:r>
      <w:r>
        <w:rPr/>
        <w:t>该义务是公司承担的现时义务；</w:t>
      </w:r>
    </w:p>
    <w:p>
      <w:pPr>
        <w:pStyle w:val="BodyText"/>
        <w:tabs>
          <w:tab w:pos="993" w:val="left" w:leader="none"/>
        </w:tabs>
        <w:spacing w:line="240" w:lineRule="auto" w:before="101"/>
        <w:ind w:left="513" w:right="141"/>
        <w:jc w:val="left"/>
      </w:pPr>
      <w:r>
        <w:rPr>
          <w:rFonts w:ascii="Times New Roman" w:hAnsi="Times New Roman" w:cs="Times New Roman" w:eastAsia="Times New Roman" w:hint="default"/>
        </w:rPr>
        <w:t>(2)</w:t>
        <w:tab/>
      </w:r>
      <w:r>
        <w:rPr/>
        <w:t>该义务的履行很可能导致经济利益流出公司；</w:t>
      </w:r>
    </w:p>
    <w:p>
      <w:pPr>
        <w:pStyle w:val="BodyText"/>
        <w:tabs>
          <w:tab w:pos="993" w:val="left" w:leader="none"/>
        </w:tabs>
        <w:spacing w:line="340" w:lineRule="auto" w:before="103"/>
        <w:ind w:left="513" w:right="152"/>
        <w:jc w:val="left"/>
      </w:pPr>
      <w:r>
        <w:rPr>
          <w:rFonts w:ascii="Times New Roman" w:hAnsi="Times New Roman" w:cs="Times New Roman" w:eastAsia="Times New Roman" w:hint="default"/>
        </w:rPr>
        <w:t>(3)</w:t>
        <w:tab/>
      </w:r>
      <w:r>
        <w:rPr/>
        <w:t>该义务的金额能够可靠地计量。</w:t>
      </w:r>
      <w:r>
        <w:rPr>
          <w:w w:val="99"/>
        </w:rPr>
        <w:t> </w:t>
      </w:r>
      <w:r>
        <w:rPr>
          <w:spacing w:val="-2"/>
        </w:rPr>
        <w:t>预计负债按照履行相关现时义务所需支出的最佳估计数进行初始计量，并综合考虑与或有事项有关的风险、不确定性和</w:t>
      </w:r>
    </w:p>
    <w:p>
      <w:pPr>
        <w:pStyle w:val="BodyText"/>
        <w:spacing w:line="316" w:lineRule="auto" w:before="1"/>
        <w:ind w:right="141"/>
        <w:jc w:val="left"/>
      </w:pPr>
      <w:r>
        <w:rPr>
          <w:spacing w:val="-2"/>
        </w:rPr>
        <w:t>货币时间价值等因素。每个资产负债表日对预计负债的账面价值进行复核。有确凿证据表明该账面价值不能反映当前最佳估</w:t>
      </w:r>
      <w:r>
        <w:rPr>
          <w:spacing w:val="-64"/>
        </w:rPr>
        <w:t> </w:t>
      </w:r>
      <w:r>
        <w:rPr>
          <w:spacing w:val="-64"/>
        </w:rPr>
      </w:r>
      <w:r>
        <w:rPr/>
        <w:t>计数的，按照当前最佳估计数对该账面价值进行调整。</w:t>
      </w:r>
    </w:p>
    <w:p>
      <w:pPr>
        <w:spacing w:line="240" w:lineRule="auto" w:before="6"/>
        <w:rPr>
          <w:rFonts w:ascii="宋体" w:hAnsi="宋体" w:cs="宋体" w:eastAsia="宋体" w:hint="default"/>
          <w:sz w:val="22"/>
          <w:szCs w:val="22"/>
        </w:rPr>
      </w:pPr>
    </w:p>
    <w:p>
      <w:pPr>
        <w:pStyle w:val="Heading3"/>
        <w:spacing w:line="240" w:lineRule="auto"/>
        <w:ind w:right="141"/>
        <w:jc w:val="left"/>
        <w:rPr>
          <w:b w:val="0"/>
          <w:bCs w:val="0"/>
        </w:rPr>
      </w:pPr>
      <w:r>
        <w:rPr>
          <w:rFonts w:ascii="Times New Roman" w:hAnsi="Times New Roman" w:cs="Times New Roman" w:eastAsia="Times New Roman" w:hint="default"/>
        </w:rPr>
        <w:t>21</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0" w:firstLine="360"/>
        <w:jc w:val="both"/>
      </w:pPr>
      <w:r>
        <w:rPr>
          <w:spacing w:val="-2"/>
        </w:rPr>
        <w:t>股份支付，分为以权益结算的股份支付和以现金结算的股份支付。以权益结算的股份支付，是指公司为获取服务以股份</w:t>
      </w:r>
      <w:r>
        <w:rPr/>
        <w:t> 或其他权益工具作为对价进行结算的交易。</w:t>
      </w:r>
    </w:p>
    <w:p>
      <w:pPr>
        <w:pStyle w:val="BodyText"/>
        <w:spacing w:line="319" w:lineRule="auto" w:before="59"/>
        <w:ind w:right="150" w:firstLine="360"/>
        <w:jc w:val="both"/>
      </w:pPr>
      <w:r>
        <w:rPr>
          <w:spacing w:val="-2"/>
        </w:rPr>
        <w:t>以权益结算的股份支付换取职工提供服务的，以授予职工权益工具的公允价值计量。授予后立即可行权的，在授予日按</w:t>
      </w:r>
      <w:r>
        <w:rPr/>
        <w:t> </w:t>
      </w:r>
      <w:r>
        <w:rPr>
          <w:spacing w:val="-2"/>
        </w:rPr>
        <w:t>照公允价值计入相关成本或费用，相应增加资本公积；完成等待期内的服务或达到规定业绩条件才可行权的，在等待期内每</w:t>
      </w:r>
      <w:r>
        <w:rPr>
          <w:spacing w:val="-66"/>
        </w:rPr>
        <w:t> </w:t>
      </w:r>
      <w:r>
        <w:rPr>
          <w:spacing w:val="-66"/>
        </w:rPr>
      </w:r>
      <w:r>
        <w:rPr>
          <w:spacing w:val="-2"/>
        </w:rPr>
        <w:t>个资产负债表日，公司根据最新取得的可行权职工人数变动、是否达到规定业绩条件等后续信息对可行权权益工具数量作出</w:t>
      </w:r>
      <w:r>
        <w:rPr>
          <w:spacing w:val="-64"/>
        </w:rPr>
        <w:t> </w:t>
      </w:r>
      <w:r>
        <w:rPr>
          <w:spacing w:val="-64"/>
        </w:rPr>
      </w:r>
      <w:r>
        <w:rPr/>
        <w:t>最佳估计，以此为基础，按照授予日的公允价值，将当期取得的服务计入相关成本或费用，相应增加资本公积。</w:t>
      </w:r>
    </w:p>
    <w:p>
      <w:pPr>
        <w:pStyle w:val="BodyText"/>
        <w:spacing w:line="316" w:lineRule="auto" w:before="58"/>
        <w:ind w:right="150" w:firstLine="360"/>
        <w:jc w:val="both"/>
      </w:pPr>
      <w:r>
        <w:rPr>
          <w:spacing w:val="-2"/>
        </w:rPr>
        <w:t>在满足业绩条件或服务期限条件的期间，应确认以权益结算的股份支付的成本或费用，并相应增加资本公积。可行权日</w:t>
      </w:r>
      <w:r>
        <w:rPr/>
        <w:t> 之前，于每个资产负债表日为以权益结算的股份支付确认的累计金额反映了等待期已届满的部分以及公司对最终可行权的</w:t>
      </w:r>
      <w:r>
        <w:rPr>
          <w:spacing w:val="-11"/>
        </w:rPr>
        <w:t> </w:t>
      </w:r>
      <w:r>
        <w:rPr>
          <w:spacing w:val="-11"/>
        </w:rPr>
      </w:r>
      <w:r>
        <w:rPr/>
        <w:t>权益工具数量的最佳估计。</w:t>
      </w:r>
    </w:p>
    <w:p>
      <w:pPr>
        <w:pStyle w:val="BodyText"/>
        <w:spacing w:line="309" w:lineRule="auto" w:before="57"/>
        <w:ind w:right="148" w:firstLine="360"/>
        <w:jc w:val="both"/>
      </w:pPr>
      <w:r>
        <w:rPr>
          <w:spacing w:val="-2"/>
        </w:rPr>
        <w:t>对由于未满足非市场条件或服务期限条件而最终未能行权的股份支付，不确认成本或费用。股份支付协议中规定了市场</w:t>
      </w:r>
      <w:r>
        <w:rPr/>
        <w:t> 条件或非可行权条件的，无论是否满足市场条件或非可行权条件，只要满足所有其他业绩条件和</w:t>
      </w:r>
      <w:r>
        <w:rPr>
          <w:rFonts w:ascii="Times New Roman" w:hAnsi="Times New Roman" w:cs="Times New Roman" w:eastAsia="Times New Roman" w:hint="default"/>
        </w:rPr>
        <w:t>/</w:t>
      </w:r>
      <w:r>
        <w:rPr/>
        <w:t>或服务期限条件，即视为</w:t>
      </w:r>
      <w:r>
        <w:rPr>
          <w:spacing w:val="-43"/>
        </w:rPr>
        <w:t> </w:t>
      </w:r>
      <w:r>
        <w:rPr>
          <w:spacing w:val="-43"/>
        </w:rPr>
      </w:r>
      <w:r>
        <w:rPr/>
        <w:t>可行权。</w:t>
      </w:r>
    </w:p>
    <w:p>
      <w:pPr>
        <w:pStyle w:val="BodyText"/>
        <w:spacing w:line="316" w:lineRule="auto" w:before="65"/>
        <w:ind w:right="150" w:firstLine="360"/>
        <w:jc w:val="both"/>
      </w:pPr>
      <w:r>
        <w:rPr>
          <w:spacing w:val="-2"/>
        </w:rPr>
        <w:t>如果修改了以权益结算的股份支付的条款，至少按照未修改条款的情况确认取得的服务。此外，增加所授予权益工具公</w:t>
      </w:r>
      <w:r>
        <w:rPr/>
        <w:t> 允价值的修改，或在修改日对职工有利的变更，均确认取得服务的增加。</w:t>
      </w:r>
    </w:p>
    <w:p>
      <w:pPr>
        <w:pStyle w:val="BodyText"/>
        <w:spacing w:line="319" w:lineRule="auto" w:before="59"/>
        <w:ind w:right="150" w:firstLine="360"/>
        <w:jc w:val="both"/>
      </w:pPr>
      <w:r>
        <w:rPr>
          <w:spacing w:val="-2"/>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4"/>
        </w:rPr>
        <w:t> </w:t>
      </w:r>
      <w:r>
        <w:rPr>
          <w:spacing w:val="-64"/>
        </w:rPr>
      </w:r>
      <w:r>
        <w:rPr/>
        <w:t>益工具授予日认定所授予的新权益工具是用于替代被取消的权益工具的，则以与处理原权益工具条款和条件修改相同的方</w:t>
      </w:r>
    </w:p>
    <w:p>
      <w:pPr>
        <w:spacing w:after="0" w:line="319" w:lineRule="auto"/>
        <w:jc w:val="both"/>
        <w:sectPr>
          <w:pgSz w:w="11910" w:h="16840"/>
          <w:pgMar w:header="880" w:footer="974" w:top="1100" w:bottom="1160" w:left="980" w:right="980"/>
        </w:sectPr>
      </w:pPr>
    </w:p>
    <w:p>
      <w:pPr>
        <w:spacing w:line="240" w:lineRule="auto" w:before="0"/>
        <w:rPr>
          <w:rFonts w:ascii="宋体" w:hAnsi="宋体" w:cs="宋体" w:eastAsia="宋体" w:hint="default"/>
          <w:sz w:val="22"/>
          <w:szCs w:val="22"/>
        </w:rPr>
      </w:pPr>
    </w:p>
    <w:p>
      <w:pPr>
        <w:pStyle w:val="BodyText"/>
        <w:spacing w:line="240" w:lineRule="auto" w:before="44"/>
        <w:ind w:right="94"/>
        <w:jc w:val="left"/>
      </w:pPr>
      <w:r>
        <w:rPr/>
        <w:t>式，对所授予的替代权益工具进行处理。</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22</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是</w:t>
      </w:r>
    </w:p>
    <w:p>
      <w:pPr>
        <w:pStyle w:val="BodyText"/>
        <w:spacing w:line="240" w:lineRule="auto" w:before="29"/>
        <w:ind w:right="94"/>
        <w:jc w:val="left"/>
      </w:pPr>
      <w:r>
        <w:rPr/>
        <w:t>医疗器械业</w:t>
      </w:r>
    </w:p>
    <w:p>
      <w:pPr>
        <w:pStyle w:val="BodyText"/>
        <w:spacing w:line="316" w:lineRule="auto" w:before="117"/>
        <w:ind w:left="513" w:right="2253"/>
        <w:jc w:val="left"/>
      </w:pPr>
      <w:r>
        <w:rPr/>
        <w:t>收入在经济利益很可能流入公司、且金额能够可靠计量，并同时满足下列条件时予以确认。 收入确认标准</w:t>
      </w:r>
    </w:p>
    <w:p>
      <w:pPr>
        <w:pStyle w:val="BodyText"/>
        <w:tabs>
          <w:tab w:pos="993" w:val="left" w:leader="none"/>
        </w:tabs>
        <w:spacing w:line="300" w:lineRule="auto" w:before="19"/>
        <w:ind w:left="513" w:right="192"/>
        <w:jc w:val="left"/>
      </w:pPr>
      <w:r>
        <w:rPr>
          <w:rFonts w:ascii="Times New Roman" w:hAnsi="Times New Roman" w:cs="Times New Roman" w:eastAsia="Times New Roman" w:hint="default"/>
        </w:rPr>
        <w:t>(1)</w:t>
        <w:tab/>
      </w:r>
      <w:r>
        <w:rPr/>
        <w:t>提供劳务的确认标准</w:t>
      </w:r>
      <w:r>
        <w:rPr>
          <w:w w:val="99"/>
        </w:rPr>
        <w:t> </w:t>
      </w:r>
      <w:r>
        <w:rPr>
          <w:spacing w:val="-2"/>
        </w:rPr>
        <w:t>在提供劳务交易的结果能够可靠估计的情况下，公司于资产负债表日按完工百分比法确认相关的劳务收入。如提供劳务</w:t>
      </w:r>
    </w:p>
    <w:p>
      <w:pPr>
        <w:pStyle w:val="BodyText"/>
        <w:spacing w:line="240" w:lineRule="auto" w:before="32"/>
        <w:ind w:right="94"/>
        <w:jc w:val="left"/>
      </w:pPr>
      <w:r>
        <w:rPr/>
        <w:t>交易结果不能够可靠估计的，应当分别处理：</w:t>
      </w:r>
    </w:p>
    <w:p>
      <w:pPr>
        <w:pStyle w:val="BodyText"/>
        <w:spacing w:line="316" w:lineRule="auto" w:before="76"/>
        <w:ind w:right="94" w:firstLine="360"/>
        <w:jc w:val="left"/>
      </w:pPr>
      <w:r>
        <w:rPr>
          <w:spacing w:val="-2"/>
        </w:rPr>
        <w:t>①已经发生的劳务成本预计能够得到补偿的，按照已经发生的劳务成本金额确认提供劳务收入，并按相同金额结转劳务</w:t>
      </w:r>
      <w:r>
        <w:rPr/>
        <w:t> 成本；</w:t>
      </w:r>
    </w:p>
    <w:p>
      <w:pPr>
        <w:pStyle w:val="BodyText"/>
        <w:spacing w:line="316" w:lineRule="auto" w:before="19"/>
        <w:ind w:left="513" w:right="453"/>
        <w:jc w:val="left"/>
      </w:pPr>
      <w:r>
        <w:rPr/>
        <w:t>②已经发生的劳务成本预计不能够得到补偿的，应当将已经发生的劳务成本计入当期损益，不确认提供劳务收入。 提供劳务交易的结果能够可靠估计是指：</w:t>
      </w:r>
    </w:p>
    <w:p>
      <w:pPr>
        <w:pStyle w:val="BodyText"/>
        <w:spacing w:line="240" w:lineRule="auto" w:before="19"/>
        <w:ind w:left="513" w:right="94"/>
        <w:jc w:val="left"/>
      </w:pPr>
      <w:r>
        <w:rPr/>
        <w:t>①收入金额能够可靠计量；</w:t>
      </w:r>
    </w:p>
    <w:p>
      <w:pPr>
        <w:pStyle w:val="BodyText"/>
        <w:spacing w:line="240" w:lineRule="auto" w:before="76"/>
        <w:ind w:left="513" w:right="94"/>
        <w:jc w:val="left"/>
      </w:pPr>
      <w:r>
        <w:rPr/>
        <w:t>②相关经济利益很可能流入公司；</w:t>
      </w:r>
    </w:p>
    <w:p>
      <w:pPr>
        <w:pStyle w:val="BodyText"/>
        <w:spacing w:line="240" w:lineRule="auto" w:before="76"/>
        <w:ind w:left="513" w:right="94"/>
        <w:jc w:val="left"/>
      </w:pPr>
      <w:r>
        <w:rPr/>
        <w:t>③交易的完工进度能够可靠地确定；</w:t>
      </w:r>
    </w:p>
    <w:p>
      <w:pPr>
        <w:pStyle w:val="BodyText"/>
        <w:spacing w:line="240" w:lineRule="auto" w:before="76"/>
        <w:ind w:left="513" w:right="94"/>
        <w:jc w:val="left"/>
      </w:pPr>
      <w:r>
        <w:rPr/>
        <w:t>④交易已发生和将发生的成本能够可靠计量。</w:t>
      </w:r>
    </w:p>
    <w:p>
      <w:pPr>
        <w:pStyle w:val="BodyText"/>
        <w:tabs>
          <w:tab w:pos="993" w:val="left" w:leader="none"/>
        </w:tabs>
        <w:spacing w:line="300" w:lineRule="auto" w:before="76"/>
        <w:ind w:left="513" w:right="5331"/>
        <w:jc w:val="left"/>
      </w:pPr>
      <w:r>
        <w:rPr>
          <w:rFonts w:ascii="Times New Roman" w:hAnsi="Times New Roman" w:cs="Times New Roman" w:eastAsia="Times New Roman" w:hint="default"/>
        </w:rPr>
        <w:t>(2)</w:t>
        <w:tab/>
      </w:r>
      <w:r>
        <w:rPr/>
        <w:t>销售商品的确认标准</w:t>
      </w:r>
      <w:r>
        <w:rPr>
          <w:w w:val="99"/>
        </w:rPr>
        <w:t> </w:t>
      </w:r>
      <w:r>
        <w:rPr/>
        <w:t>销售商品的收入，在下列条件均能满足时予以确认：</w:t>
      </w:r>
    </w:p>
    <w:p>
      <w:pPr>
        <w:pStyle w:val="BodyText"/>
        <w:spacing w:line="240" w:lineRule="auto" w:before="31"/>
        <w:ind w:left="513" w:right="94"/>
        <w:jc w:val="left"/>
      </w:pPr>
      <w:r>
        <w:rPr/>
        <w:t>①已将商品所有权上的主要风险和报酬转移给购货方；</w:t>
      </w:r>
    </w:p>
    <w:p>
      <w:pPr>
        <w:pStyle w:val="BodyText"/>
        <w:spacing w:line="240" w:lineRule="auto" w:before="76"/>
        <w:ind w:left="513" w:right="94"/>
        <w:jc w:val="left"/>
      </w:pPr>
      <w:r>
        <w:rPr/>
        <w:t>②既没有保留通常与所有权相联系的继续管理权，也没有对已售出的商品实施控制；</w:t>
      </w:r>
    </w:p>
    <w:p>
      <w:pPr>
        <w:pStyle w:val="BodyText"/>
        <w:spacing w:line="240" w:lineRule="auto" w:before="76"/>
        <w:ind w:left="513" w:right="94"/>
        <w:jc w:val="left"/>
      </w:pPr>
      <w:r>
        <w:rPr/>
        <w:t>③与交易相关的经济利益很可能流入公司；</w:t>
      </w:r>
    </w:p>
    <w:p>
      <w:pPr>
        <w:pStyle w:val="BodyText"/>
        <w:spacing w:line="240" w:lineRule="auto" w:before="76"/>
        <w:ind w:left="513" w:right="94"/>
        <w:jc w:val="left"/>
      </w:pPr>
      <w:r>
        <w:rPr/>
        <w:t>④相关的收入和已发生或将发生的成本能够可靠地计量。</w:t>
      </w:r>
    </w:p>
    <w:p>
      <w:pPr>
        <w:pStyle w:val="BodyText"/>
        <w:tabs>
          <w:tab w:pos="993" w:val="left" w:leader="none"/>
        </w:tabs>
        <w:spacing w:line="300" w:lineRule="auto" w:before="76"/>
        <w:ind w:left="513" w:right="192"/>
        <w:jc w:val="left"/>
      </w:pPr>
      <w:r>
        <w:rPr>
          <w:rFonts w:ascii="Times New Roman" w:hAnsi="Times New Roman" w:cs="Times New Roman" w:eastAsia="Times New Roman" w:hint="default"/>
        </w:rPr>
        <w:t>(3)</w:t>
        <w:tab/>
      </w:r>
      <w:r>
        <w:rPr/>
        <w:t>利息收入</w:t>
      </w:r>
      <w:r>
        <w:rPr>
          <w:w w:val="99"/>
        </w:rPr>
        <w:t> </w:t>
      </w:r>
      <w:r>
        <w:rPr>
          <w:spacing w:val="-2"/>
        </w:rPr>
        <w:t>利息收入按使用货币资金的使用时间和适用利率计算确定。使用费收入金额，按照有关合同或协议约定的收费时间和方</w:t>
      </w:r>
    </w:p>
    <w:p>
      <w:pPr>
        <w:pStyle w:val="BodyText"/>
        <w:spacing w:line="240" w:lineRule="auto" w:before="31"/>
        <w:ind w:right="94"/>
        <w:jc w:val="left"/>
      </w:pPr>
      <w:r>
        <w:rPr/>
        <w:t>法计算确定。</w:t>
      </w:r>
    </w:p>
    <w:p>
      <w:pPr>
        <w:pStyle w:val="BodyText"/>
        <w:tabs>
          <w:tab w:pos="993" w:val="left" w:leader="none"/>
        </w:tabs>
        <w:spacing w:line="316" w:lineRule="auto" w:before="76"/>
        <w:ind w:left="513" w:right="1911"/>
        <w:jc w:val="left"/>
      </w:pPr>
      <w:r>
        <w:rPr/>
        <w:t>提供劳务收入确认的具体原则及方法 报告期内，公司的营业收入主要包括提供项目型服务形成的收入与提供订单型服务形成的收入。 </w:t>
      </w:r>
      <w:r>
        <w:rPr>
          <w:rFonts w:ascii="Times New Roman" w:hAnsi="Times New Roman" w:cs="Times New Roman" w:eastAsia="Times New Roman" w:hint="default"/>
        </w:rPr>
        <w:t>(1)</w:t>
        <w:tab/>
      </w:r>
      <w:r>
        <w:rPr/>
        <w:t>提供项目型服务确认原则及方法</w:t>
      </w:r>
    </w:p>
    <w:p>
      <w:pPr>
        <w:pStyle w:val="BodyText"/>
        <w:spacing w:line="235" w:lineRule="exact"/>
        <w:ind w:left="513" w:right="94"/>
        <w:jc w:val="left"/>
      </w:pPr>
      <w:r>
        <w:rPr/>
        <w:t>提供项目型服务，是指接受客户委托，按项目为客户提供相关服务，主要包括：提供基础科研服务与药物研发服务。</w:t>
      </w:r>
    </w:p>
    <w:p>
      <w:pPr>
        <w:pStyle w:val="BodyText"/>
        <w:spacing w:line="316" w:lineRule="auto" w:before="76"/>
        <w:ind w:right="190" w:firstLine="360"/>
        <w:jc w:val="both"/>
      </w:pPr>
      <w:r>
        <w:rPr/>
        <w:t>①</w:t>
      </w:r>
      <w:r>
        <w:rPr>
          <w:spacing w:val="5"/>
        </w:rPr>
        <w:t> </w:t>
      </w:r>
      <w:r>
        <w:rPr/>
        <w:t>项目型服务如果服务周期较短，则在当期完成合同约定的所有样本测序，发送完毕测序分析结果，相关收入的金额</w:t>
      </w:r>
      <w:r>
        <w:rPr/>
        <w:t> </w:t>
      </w:r>
      <w:r>
        <w:rPr>
          <w:spacing w:val="-2"/>
        </w:rPr>
        <w:t>能够可靠地计量、相关的经济利益很可能流入企业、交易中已发生和将发生的成本能够可靠地计量，公司在此时按照合同规</w:t>
      </w:r>
      <w:r>
        <w:rPr>
          <w:spacing w:val="-63"/>
        </w:rPr>
        <w:t> </w:t>
      </w:r>
      <w:r>
        <w:rPr>
          <w:spacing w:val="-63"/>
        </w:rPr>
      </w:r>
      <w:r>
        <w:rPr/>
        <w:t>定依据所提供的服务量及服务价格确认收入。</w:t>
      </w:r>
    </w:p>
    <w:p>
      <w:pPr>
        <w:pStyle w:val="BodyText"/>
        <w:spacing w:line="312" w:lineRule="auto" w:before="16"/>
        <w:ind w:left="195" w:right="191" w:firstLine="360"/>
        <w:jc w:val="both"/>
      </w:pPr>
      <w:r>
        <w:rPr/>
        <w:t>②</w:t>
      </w:r>
      <w:r>
        <w:rPr>
          <w:spacing w:val="53"/>
        </w:rPr>
        <w:t> </w:t>
      </w:r>
      <w:r>
        <w:rPr/>
        <w:t>资产负债表日提供劳务交易的结果能够可靠估计的项目型服务，采用完工百分比法（项目完工进度）确认。资产</w:t>
      </w:r>
      <w:r>
        <w:rPr/>
        <w:t> 负债表日，根据已提供劳务收入总额乘以完工进度扣除以前会计期间累计已确认收入后的金额，确认当期提供劳务收入，</w:t>
      </w:r>
      <w:r>
        <w:rPr>
          <w:spacing w:val="-43"/>
        </w:rPr>
        <w:t> </w:t>
      </w:r>
      <w:r>
        <w:rPr>
          <w:spacing w:val="-43"/>
        </w:rPr>
      </w:r>
      <w:r>
        <w:rPr>
          <w:spacing w:val="-1"/>
        </w:rPr>
        <w:t>具体确认依据、时点和确认金额遵照下列公式：本期确认的收入</w:t>
      </w:r>
      <w:r>
        <w:rPr>
          <w:rFonts w:ascii="Times New Roman" w:hAnsi="Times New Roman" w:cs="Times New Roman" w:eastAsia="Times New Roman" w:hint="default"/>
          <w:spacing w:val="-1"/>
        </w:rPr>
        <w:t>=</w:t>
      </w:r>
      <w:r>
        <w:rPr>
          <w:spacing w:val="-1"/>
        </w:rPr>
        <w:t>劳务总收入</w:t>
      </w:r>
      <w:r>
        <w:rPr>
          <w:rFonts w:ascii="Times New Roman" w:hAnsi="Times New Roman" w:cs="Times New Roman" w:eastAsia="Times New Roman" w:hint="default"/>
          <w:spacing w:val="-1"/>
        </w:rPr>
        <w:t>×</w:t>
      </w:r>
      <w:r>
        <w:rPr>
          <w:spacing w:val="-1"/>
        </w:rPr>
        <w:t>本期末止劳务的完工进度</w:t>
      </w:r>
      <w:r>
        <w:rPr>
          <w:rFonts w:ascii="Times New Roman" w:hAnsi="Times New Roman" w:cs="Times New Roman" w:eastAsia="Times New Roman" w:hint="default"/>
          <w:spacing w:val="-1"/>
        </w:rPr>
        <w:t>-</w:t>
      </w:r>
      <w:r>
        <w:rPr>
          <w:spacing w:val="-1"/>
        </w:rPr>
        <w:t>以前期间已确认的</w:t>
      </w:r>
      <w:r>
        <w:rPr>
          <w:spacing w:val="-64"/>
        </w:rPr>
        <w:t> </w:t>
      </w:r>
      <w:r>
        <w:rPr/>
        <w:t>收入。完工百分比的确定方法：已经发生的成本总额占估计总成本的比例确定提供劳务交易的完工进度。</w:t>
      </w:r>
    </w:p>
    <w:p>
      <w:pPr>
        <w:pStyle w:val="BodyText"/>
        <w:spacing w:line="319" w:lineRule="auto" w:before="22"/>
        <w:ind w:left="195" w:right="87" w:firstLine="360"/>
        <w:jc w:val="left"/>
      </w:pPr>
      <w:r>
        <w:rPr/>
        <w:t>③</w:t>
      </w:r>
      <w:r>
        <w:rPr>
          <w:spacing w:val="54"/>
        </w:rPr>
        <w:t> </w:t>
      </w:r>
      <w:r>
        <w:rPr/>
        <w:t>对在资产负债表日提供劳务交易结果不能可靠估计的项目型服务项目，如果已经发生的成本预计能够得到补偿的，</w:t>
      </w:r>
      <w:r>
        <w:rPr/>
        <w:t> 按能够得到补偿的金额确认收入，并按相同的金额结转成本；如果已经发生的成本预计不能全部得到补偿，按能够得到补</w:t>
      </w:r>
      <w:r>
        <w:rPr>
          <w:spacing w:val="-43"/>
        </w:rPr>
        <w:t> </w:t>
      </w:r>
      <w:r>
        <w:rPr>
          <w:spacing w:val="-43"/>
        </w:rPr>
      </w:r>
      <w:r>
        <w:rPr>
          <w:spacing w:val="-3"/>
        </w:rPr>
        <w:t>偿的金额确认收入，并按已发生的成本结转成本，确认的收入金额小于已经发生的成本的差额，确认为损失；如果已发生的</w:t>
      </w:r>
      <w:r>
        <w:rPr>
          <w:spacing w:val="-56"/>
        </w:rPr>
        <w:t> </w:t>
      </w:r>
      <w:r>
        <w:rPr>
          <w:spacing w:val="-56"/>
        </w:rPr>
      </w:r>
      <w:r>
        <w:rPr/>
        <w:t>成本全部不能得到补偿，则不确认收入，应将已发生的成本确认为费用。公司在执行业务时具体收入确认原则和方法为：</w:t>
      </w:r>
    </w:p>
    <w:p>
      <w:pPr>
        <w:spacing w:after="0" w:line="319" w:lineRule="auto"/>
        <w:jc w:val="left"/>
        <w:sectPr>
          <w:pgSz w:w="11910" w:h="16840"/>
          <w:pgMar w:header="880" w:footer="974" w:top="1100" w:bottom="1160" w:left="980" w:right="940"/>
        </w:sectPr>
      </w:pPr>
    </w:p>
    <w:p>
      <w:pPr>
        <w:spacing w:line="240" w:lineRule="auto" w:before="0"/>
        <w:rPr>
          <w:rFonts w:ascii="宋体" w:hAnsi="宋体" w:cs="宋体" w:eastAsia="宋体" w:hint="default"/>
          <w:sz w:val="22"/>
          <w:szCs w:val="22"/>
        </w:rPr>
      </w:pPr>
    </w:p>
    <w:p>
      <w:pPr>
        <w:pStyle w:val="BodyText"/>
        <w:spacing w:line="300" w:lineRule="auto" w:before="44"/>
        <w:ind w:right="469" w:firstLine="360"/>
        <w:jc w:val="left"/>
      </w:pPr>
      <w:r>
        <w:rPr>
          <w:rFonts w:ascii="Times New Roman" w:hAnsi="Times New Roman" w:cs="Times New Roman" w:eastAsia="Times New Roman" w:hint="default"/>
        </w:rPr>
        <w:t>a.</w:t>
      </w:r>
      <w:r>
        <w:rPr/>
        <w:t>在资产负债表日，如果项目尚未发送项目测序分析结果，公司根据每个项目能够收回的实际成本金额确认收入金 额，项目实际成本在发生当期确认；</w:t>
      </w:r>
    </w:p>
    <w:p>
      <w:pPr>
        <w:pStyle w:val="BodyText"/>
        <w:spacing w:line="309" w:lineRule="auto" w:before="31"/>
        <w:ind w:right="251" w:firstLine="360"/>
        <w:jc w:val="both"/>
      </w:pPr>
      <w:r>
        <w:rPr>
          <w:rFonts w:ascii="Times New Roman" w:hAnsi="Times New Roman" w:cs="Times New Roman" w:eastAsia="Times New Roman" w:hint="default"/>
        </w:rPr>
        <w:t>b.</w:t>
      </w:r>
      <w:r>
        <w:rPr/>
        <w:t>当完成合同约定的所有样本测序，发送完毕对应的全部测序分析结果时，公司根据项目最终可收回金额扣除以前期 间已确认的收入后确认剩余收入，此时相关收入的金额能够可靠地计量、相关的经济利益很可能流入企业、交易中已发生 和将发生的成本能够可靠地计量，公司在此时按照合同规定依据所提供的服务量及服务价格确认收入。</w:t>
      </w:r>
    </w:p>
    <w:p>
      <w:pPr>
        <w:pStyle w:val="BodyText"/>
        <w:tabs>
          <w:tab w:pos="573" w:val="left" w:leader="none"/>
        </w:tabs>
        <w:spacing w:line="300" w:lineRule="auto" w:before="24"/>
        <w:ind w:left="513" w:right="236" w:hanging="361"/>
        <w:jc w:val="left"/>
      </w:pPr>
      <w:r>
        <w:rPr>
          <w:rFonts w:ascii="Times New Roman" w:hAnsi="Times New Roman" w:cs="Times New Roman" w:eastAsia="Times New Roman" w:hint="default"/>
        </w:rPr>
        <w:t>(2)</w:t>
        <w:tab/>
        <w:tab/>
      </w:r>
      <w:r>
        <w:rPr/>
        <w:t>提供订单型服务确认原则及方法</w:t>
      </w:r>
      <w:r>
        <w:rPr>
          <w:w w:val="99"/>
        </w:rPr>
        <w:t> </w:t>
      </w:r>
      <w:r>
        <w:rPr/>
        <w:t>提供订单型服务，是指接受客户委托，按订单为客户提供相关服务，主要包括提供生育健康及复杂疾病服务。</w:t>
      </w:r>
    </w:p>
    <w:p>
      <w:pPr>
        <w:spacing w:line="240" w:lineRule="auto" w:before="3"/>
        <w:rPr>
          <w:rFonts w:ascii="宋体" w:hAnsi="宋体" w:cs="宋体" w:eastAsia="宋体" w:hint="default"/>
          <w:sz w:val="26"/>
          <w:szCs w:val="26"/>
        </w:rPr>
      </w:pPr>
    </w:p>
    <w:p>
      <w:pPr>
        <w:pStyle w:val="BodyText"/>
        <w:spacing w:line="316" w:lineRule="auto"/>
        <w:ind w:right="150" w:firstLine="360"/>
        <w:jc w:val="both"/>
      </w:pPr>
      <w:r>
        <w:rPr>
          <w:spacing w:val="-2"/>
        </w:rPr>
        <w:t>在该种业务模式下，根据公司行业特性及服务模式，在公司订单型服务已经提供，发出检测报告，相关收入的金额能够</w:t>
      </w:r>
      <w:r>
        <w:rPr/>
        <w:t> </w:t>
      </w:r>
      <w:r>
        <w:rPr>
          <w:spacing w:val="-2"/>
        </w:rPr>
        <w:t>可靠地计量、相关的经济利益很可能流入企业、交易中已发生和将发生的成本能够可靠地计量，公司在此时按照合同规定依</w:t>
      </w:r>
      <w:r>
        <w:rPr>
          <w:spacing w:val="-63"/>
        </w:rPr>
        <w:t> </w:t>
      </w:r>
      <w:r>
        <w:rPr>
          <w:spacing w:val="-63"/>
        </w:rPr>
      </w:r>
      <w:r>
        <w:rPr/>
        <w:t>据所提供的服务量及服务价格确认收入。</w:t>
      </w:r>
    </w:p>
    <w:p>
      <w:pPr>
        <w:spacing w:line="240" w:lineRule="auto" w:before="9"/>
        <w:rPr>
          <w:rFonts w:ascii="宋体" w:hAnsi="宋体" w:cs="宋体" w:eastAsia="宋体" w:hint="default"/>
          <w:sz w:val="22"/>
          <w:szCs w:val="22"/>
        </w:rPr>
      </w:pPr>
    </w:p>
    <w:p>
      <w:pPr>
        <w:pStyle w:val="Heading3"/>
        <w:spacing w:line="240" w:lineRule="auto"/>
        <w:ind w:right="141"/>
        <w:jc w:val="left"/>
        <w:rPr>
          <w:b w:val="0"/>
          <w:bCs w:val="0"/>
        </w:rPr>
      </w:pPr>
      <w:r>
        <w:rPr>
          <w:rFonts w:ascii="Times New Roman" w:hAnsi="Times New Roman" w:cs="Times New Roman" w:eastAsia="Times New Roman" w:hint="default"/>
        </w:rPr>
        <w:t>23</w:t>
      </w:r>
      <w:r>
        <w:rPr/>
        <w:t>、政府补助</w:t>
      </w:r>
      <w:r>
        <w:rPr>
          <w:b w:val="0"/>
          <w:bCs w:val="0"/>
        </w:rPr>
      </w:r>
    </w:p>
    <w:p>
      <w:pPr>
        <w:spacing w:line="590" w:lineRule="atLeast" w:before="8"/>
        <w:ind w:left="513" w:right="138"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）与资产相关的政府补助判断依据及会计处理方法</w:t>
      </w:r>
      <w:r>
        <w:rPr>
          <w:rFonts w:ascii="宋体" w:hAnsi="宋体" w:cs="宋体" w:eastAsia="宋体" w:hint="default"/>
          <w:b/>
          <w:bCs/>
          <w:w w:val="99"/>
          <w:sz w:val="18"/>
          <w:szCs w:val="18"/>
        </w:rPr>
        <w:t> </w:t>
      </w:r>
      <w:r>
        <w:rPr>
          <w:rFonts w:ascii="宋体" w:hAnsi="宋体" w:cs="宋体" w:eastAsia="宋体" w:hint="default"/>
          <w:spacing w:val="-5"/>
          <w:sz w:val="18"/>
          <w:szCs w:val="18"/>
        </w:rPr>
        <w:t>政府补助在能够满足其所附的条件并且能够收到时，予以确认。政府补助为货币性资产的，按照收到或应收的金额计量。</w:t>
      </w:r>
    </w:p>
    <w:p>
      <w:pPr>
        <w:pStyle w:val="BodyText"/>
        <w:spacing w:line="316" w:lineRule="auto" w:before="76"/>
        <w:ind w:left="513" w:right="141" w:hanging="361"/>
        <w:jc w:val="left"/>
      </w:pPr>
      <w:r>
        <w:rPr/>
        <w:t>政府补助为非货币性资产的，按照公允价值计量；公允价值不能可靠取得的，按照名义金额计量。 </w:t>
      </w:r>
      <w:r>
        <w:rPr>
          <w:spacing w:val="-2"/>
        </w:rPr>
        <w:t>政府文件规定用于购建或以其他方式形成长期资产的，作为与资产相关的政府补助；政府文件不明确的，以取得该补助</w:t>
      </w:r>
    </w:p>
    <w:p>
      <w:pPr>
        <w:pStyle w:val="BodyText"/>
        <w:spacing w:line="316" w:lineRule="auto" w:before="19"/>
        <w:ind w:right="141"/>
        <w:jc w:val="left"/>
      </w:pPr>
      <w:r>
        <w:rPr>
          <w:spacing w:val="-2"/>
        </w:rPr>
        <w:t>必须具备的基本条件为基础进行判断，以购建或其他方式形成长期资产为基本条件的作为与资产相关的政府补助，除此之外</w:t>
      </w:r>
      <w:r>
        <w:rPr>
          <w:spacing w:val="-64"/>
        </w:rPr>
        <w:t> </w:t>
      </w:r>
      <w:r>
        <w:rPr>
          <w:spacing w:val="-64"/>
        </w:rPr>
      </w:r>
      <w:r>
        <w:rPr/>
        <w:t>的作为与收益相关的政府补助。</w:t>
      </w:r>
    </w:p>
    <w:p>
      <w:pPr>
        <w:pStyle w:val="BodyText"/>
        <w:spacing w:line="309" w:lineRule="auto" w:before="19"/>
        <w:ind w:right="149" w:firstLine="360"/>
        <w:jc w:val="both"/>
      </w:pPr>
      <w:r>
        <w:rPr>
          <w:spacing w:val="-2"/>
        </w:rPr>
        <w:t>与资产相关的政府补助，冲减相关资产的账面价值；或确认为递延收益，在相关资产使用寿命内按照合理、系统的方法</w:t>
      </w:r>
      <w:r>
        <w:rPr/>
        <w:t> </w:t>
      </w:r>
      <w:r>
        <w:rPr>
          <w:spacing w:val="-1"/>
        </w:rPr>
        <w:t>分期计入损益</w:t>
      </w:r>
      <w:r>
        <w:rPr>
          <w:rFonts w:ascii="Times New Roman" w:hAnsi="Times New Roman" w:cs="Times New Roman" w:eastAsia="Times New Roman" w:hint="default"/>
          <w:spacing w:val="-1"/>
        </w:rPr>
        <w:t>(</w:t>
      </w:r>
      <w:r>
        <w:rPr>
          <w:spacing w:val="-1"/>
        </w:rPr>
        <w:t>但按照名义金额计量的政府补助，直接计入当期损益</w:t>
      </w:r>
      <w:r>
        <w:rPr>
          <w:rFonts w:ascii="Times New Roman" w:hAnsi="Times New Roman" w:cs="Times New Roman" w:eastAsia="Times New Roman" w:hint="default"/>
          <w:spacing w:val="-1"/>
        </w:rPr>
        <w:t>)</w:t>
      </w:r>
      <w:r>
        <w:rPr>
          <w:spacing w:val="-1"/>
        </w:rPr>
        <w:t>，相关资产在使用寿命结束前被出售、转让、报废或发</w:t>
      </w:r>
      <w:r>
        <w:rPr>
          <w:spacing w:val="-54"/>
        </w:rPr>
        <w:t> </w:t>
      </w:r>
      <w:r>
        <w:rPr>
          <w:spacing w:val="-54"/>
        </w:rPr>
      </w:r>
      <w:r>
        <w:rPr/>
        <w:t>生毁损的，尚未分配的相关递延收益余额转入资产处置当期的损益。</w:t>
      </w:r>
    </w:p>
    <w:p>
      <w:pPr>
        <w:spacing w:line="612" w:lineRule="exact" w:before="47"/>
        <w:ind w:left="513" w:right="138"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）与收益相关的政府补助判断依据及会计处理方法</w:t>
      </w:r>
      <w:r>
        <w:rPr>
          <w:rFonts w:ascii="宋体" w:hAnsi="宋体" w:cs="宋体" w:eastAsia="宋体" w:hint="default"/>
          <w:b/>
          <w:bCs/>
          <w:w w:val="99"/>
          <w:sz w:val="18"/>
          <w:szCs w:val="18"/>
        </w:rPr>
        <w:t> </w:t>
      </w:r>
      <w:r>
        <w:rPr>
          <w:rFonts w:ascii="宋体" w:hAnsi="宋体" w:cs="宋体" w:eastAsia="宋体" w:hint="default"/>
          <w:spacing w:val="-5"/>
          <w:sz w:val="18"/>
          <w:szCs w:val="18"/>
        </w:rPr>
        <w:t>政府补助在能够满足其所附的条件并且能够收到时，予以确认。政府补助为货币性资产的，按照收到或应收的金额计量。</w:t>
      </w:r>
    </w:p>
    <w:p>
      <w:pPr>
        <w:pStyle w:val="BodyText"/>
        <w:spacing w:line="215" w:lineRule="exact"/>
        <w:ind w:right="141"/>
        <w:jc w:val="left"/>
      </w:pPr>
      <w:r>
        <w:rPr/>
        <w:t>政府补助为非货币性资产的，按照公允价值计量；公允价值不能可靠取得的，按照名义金额计量。</w:t>
      </w:r>
    </w:p>
    <w:p>
      <w:pPr>
        <w:pStyle w:val="BodyText"/>
        <w:spacing w:line="316" w:lineRule="auto" w:before="76"/>
        <w:ind w:right="150" w:firstLine="360"/>
        <w:jc w:val="both"/>
      </w:pPr>
      <w:r>
        <w:rPr>
          <w:spacing w:val="-2"/>
        </w:rPr>
        <w:t>政府文件规定用于购建或以其他方式形成长期资产的，作为与资产相关的政府补助；政府文件不明确的，以取得该补助</w:t>
      </w:r>
      <w:r>
        <w:rPr/>
        <w:t> </w:t>
      </w:r>
      <w:r>
        <w:rPr>
          <w:spacing w:val="-2"/>
        </w:rPr>
        <w:t>必须具备的基本条件为基础进行判断，以购建或其他方式形成长期资产为基本条件的作为与资产相关的政府补助，除此之外</w:t>
      </w:r>
      <w:r>
        <w:rPr>
          <w:spacing w:val="-64"/>
        </w:rPr>
        <w:t> </w:t>
      </w:r>
      <w:r>
        <w:rPr>
          <w:spacing w:val="-64"/>
        </w:rPr>
      </w:r>
      <w:r>
        <w:rPr/>
        <w:t>的作为与收益相关的政府补助。</w:t>
      </w:r>
    </w:p>
    <w:p>
      <w:pPr>
        <w:pStyle w:val="BodyText"/>
        <w:spacing w:line="316" w:lineRule="auto" w:before="19"/>
        <w:ind w:right="152" w:firstLine="360"/>
        <w:jc w:val="both"/>
      </w:pPr>
      <w:r>
        <w:rPr>
          <w:spacing w:val="-2"/>
        </w:rPr>
        <w:t>与收益相关的政府补助，用于补偿以后期间的相关成本费用或损失的，确认为递延收益，并在确认相关成本费用或损失</w:t>
      </w:r>
      <w:r>
        <w:rPr/>
        <w:t> 的期间计入当期损益或冲减相关成本；用于补偿已发生的相关成本费用或损失的，直接计入当期损益或冲减相关成本。</w:t>
      </w:r>
    </w:p>
    <w:p>
      <w:pPr>
        <w:spacing w:line="240" w:lineRule="auto" w:before="8"/>
        <w:rPr>
          <w:rFonts w:ascii="宋体" w:hAnsi="宋体" w:cs="宋体" w:eastAsia="宋体" w:hint="default"/>
          <w:sz w:val="22"/>
          <w:szCs w:val="22"/>
        </w:rPr>
      </w:pPr>
    </w:p>
    <w:p>
      <w:pPr>
        <w:pStyle w:val="Heading3"/>
        <w:spacing w:line="240" w:lineRule="auto"/>
        <w:ind w:right="141"/>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2" w:firstLine="360"/>
        <w:jc w:val="both"/>
      </w:pPr>
      <w:r>
        <w:rPr>
          <w:spacing w:val="-2"/>
        </w:rPr>
        <w:t>所得税包括当期所得税和递延所得税。除由于企业合并产生的调整商誉，或与直接计入股东权益的交易或者事项相关的</w:t>
      </w:r>
      <w:r>
        <w:rPr/>
        <w:t> 计入股东权益外，均作为所得税费用或收益计入当期损益。</w:t>
      </w:r>
    </w:p>
    <w:p>
      <w:pPr>
        <w:pStyle w:val="BodyText"/>
        <w:spacing w:line="316" w:lineRule="auto" w:before="19"/>
        <w:ind w:left="513" w:right="141"/>
        <w:jc w:val="left"/>
      </w:pPr>
      <w:r>
        <w:rPr/>
        <w:t>公司对于当期和以前期间形成的当期所得税负债或资产，按照税法规定计算的预期应交纳或返还的所得税金额计量。 公司根据资产与负债于资产负债表日的账面价值与计税基础之间的暂时性差异，以及未作为资产和负债确认但按照税</w:t>
      </w:r>
    </w:p>
    <w:p>
      <w:pPr>
        <w:pStyle w:val="BodyText"/>
        <w:spacing w:line="316" w:lineRule="auto" w:before="19"/>
        <w:ind w:right="141"/>
        <w:jc w:val="left"/>
      </w:pPr>
      <w:r>
        <w:rPr/>
        <w:t>法规定可以确定其计税基础的项目的账面价值与计税基础之间的差额产生的暂时性差异，采用资产负债表债务法计提递延</w:t>
      </w:r>
      <w:r>
        <w:rPr>
          <w:spacing w:val="-11"/>
        </w:rPr>
        <w:t> </w:t>
      </w:r>
      <w:r>
        <w:rPr>
          <w:spacing w:val="-11"/>
        </w:rPr>
      </w:r>
      <w:r>
        <w:rPr/>
        <w:t>所得税。</w:t>
      </w:r>
    </w:p>
    <w:p>
      <w:pPr>
        <w:pStyle w:val="BodyText"/>
        <w:spacing w:line="240" w:lineRule="auto" w:before="19"/>
        <w:ind w:left="513" w:right="141"/>
        <w:jc w:val="left"/>
      </w:pPr>
      <w:r>
        <w:rPr/>
        <w:t>各种应纳税暂时性差异均据以确认递延所得税负债，除非：</w:t>
      </w:r>
    </w:p>
    <w:p>
      <w:pPr>
        <w:pStyle w:val="BodyText"/>
        <w:tabs>
          <w:tab w:pos="993" w:val="left" w:leader="none"/>
        </w:tabs>
        <w:spacing w:line="240" w:lineRule="auto" w:before="76"/>
        <w:ind w:left="513" w:right="0"/>
        <w:jc w:val="left"/>
      </w:pPr>
      <w:r>
        <w:rPr>
          <w:rFonts w:ascii="Times New Roman" w:hAnsi="Times New Roman" w:cs="Times New Roman" w:eastAsia="Times New Roman" w:hint="default"/>
        </w:rPr>
        <w:t>(1)</w:t>
        <w:tab/>
      </w:r>
      <w:r>
        <w:rPr/>
        <w:t>应纳税暂时性差异是在以下交易中产生的：商誉的初始确认，或者具有以下特征的交易中产生的资产或负债的初</w:t>
      </w:r>
    </w:p>
    <w:p>
      <w:pPr>
        <w:spacing w:after="0" w:line="240" w:lineRule="auto"/>
        <w:jc w:val="left"/>
        <w:sectPr>
          <w:footerReference w:type="default" r:id="rId47"/>
          <w:pgSz w:w="11910" w:h="16840"/>
          <w:pgMar w:footer="974" w:header="880" w:top="1100" w:bottom="1160" w:left="980" w:right="980"/>
          <w:pgNumType w:start="160"/>
        </w:sectPr>
      </w:pPr>
    </w:p>
    <w:p>
      <w:pPr>
        <w:spacing w:line="240" w:lineRule="auto" w:before="0"/>
        <w:rPr>
          <w:rFonts w:ascii="宋体" w:hAnsi="宋体" w:cs="宋体" w:eastAsia="宋体" w:hint="default"/>
          <w:sz w:val="22"/>
          <w:szCs w:val="22"/>
        </w:rPr>
      </w:pPr>
    </w:p>
    <w:p>
      <w:pPr>
        <w:pStyle w:val="BodyText"/>
        <w:spacing w:line="240" w:lineRule="auto" w:before="44"/>
        <w:ind w:right="94"/>
        <w:jc w:val="left"/>
      </w:pPr>
      <w:r>
        <w:rPr/>
        <w:t>始确认：该交易不是企业合并，并且交易发生时既不影响会计利润也不影响应纳税所得额或可抵扣亏损。</w:t>
      </w:r>
    </w:p>
    <w:p>
      <w:pPr>
        <w:pStyle w:val="BodyText"/>
        <w:tabs>
          <w:tab w:pos="993" w:val="left" w:leader="none"/>
        </w:tabs>
        <w:spacing w:line="300" w:lineRule="auto" w:before="76"/>
        <w:ind w:right="192" w:firstLine="360"/>
        <w:jc w:val="left"/>
      </w:pPr>
      <w:r>
        <w:rPr>
          <w:rFonts w:ascii="Times New Roman" w:hAnsi="Times New Roman" w:cs="Times New Roman" w:eastAsia="Times New Roman" w:hint="default"/>
        </w:rPr>
        <w:t>(2)</w:t>
        <w:tab/>
      </w:r>
      <w:r>
        <w:rPr>
          <w:spacing w:val="-1"/>
        </w:rPr>
        <w:t>对于与子公司及联营企业投资相关的应纳税暂时性差异，该暂时性差异转回的时间能够控制并且该暂时性差异在</w:t>
      </w:r>
      <w:r>
        <w:rPr>
          <w:w w:val="99"/>
        </w:rPr>
        <w:t> </w:t>
      </w:r>
      <w:r>
        <w:rPr/>
        <w:t>可预见的未来很可能不会转回。</w:t>
      </w:r>
    </w:p>
    <w:p>
      <w:pPr>
        <w:pStyle w:val="BodyText"/>
        <w:spacing w:line="316" w:lineRule="auto" w:before="31"/>
        <w:ind w:right="94" w:firstLine="360"/>
        <w:jc w:val="left"/>
      </w:pPr>
      <w:r>
        <w:rPr/>
        <w:t>对于可抵扣暂时性差异、能够结转以后年度的可抵扣亏损和税款抵减，公司以很可能取得用来抵扣可抵扣暂时性差异、 可抵扣亏损和税款抵减的未来应纳税所得额为限，确认由此产生的递延所得税资产，除非：</w:t>
      </w:r>
    </w:p>
    <w:p>
      <w:pPr>
        <w:pStyle w:val="BodyText"/>
        <w:tabs>
          <w:tab w:pos="993" w:val="left" w:leader="none"/>
        </w:tabs>
        <w:spacing w:line="300" w:lineRule="auto" w:before="19"/>
        <w:ind w:right="195" w:firstLine="360"/>
        <w:jc w:val="left"/>
      </w:pPr>
      <w:r>
        <w:rPr>
          <w:rFonts w:ascii="Times New Roman" w:hAnsi="Times New Roman" w:cs="Times New Roman" w:eastAsia="Times New Roman" w:hint="default"/>
        </w:rPr>
        <w:t>(1)</w:t>
        <w:tab/>
      </w:r>
      <w:r>
        <w:rPr>
          <w:spacing w:val="-1"/>
        </w:rPr>
        <w:t>可抵扣暂时性差异是在以下交易中产生的：该交易不是企业合并，并且交易发生时既不影响会计利润也不影响应</w:t>
      </w:r>
      <w:r>
        <w:rPr>
          <w:w w:val="99"/>
        </w:rPr>
        <w:t> </w:t>
      </w:r>
      <w:r>
        <w:rPr/>
        <w:t>纳税所得额或可抵扣亏损。</w:t>
      </w:r>
    </w:p>
    <w:p>
      <w:pPr>
        <w:pStyle w:val="BodyText"/>
        <w:tabs>
          <w:tab w:pos="993" w:val="left" w:leader="none"/>
        </w:tabs>
        <w:spacing w:line="300" w:lineRule="auto" w:before="31"/>
        <w:ind w:right="192" w:firstLine="360"/>
        <w:jc w:val="left"/>
      </w:pPr>
      <w:r>
        <w:rPr>
          <w:rFonts w:ascii="Times New Roman" w:hAnsi="Times New Roman" w:cs="Times New Roman" w:eastAsia="Times New Roman" w:hint="default"/>
        </w:rPr>
        <w:t>(2)</w:t>
        <w:tab/>
      </w:r>
      <w:r>
        <w:rPr>
          <w:spacing w:val="-1"/>
        </w:rPr>
        <w:t>对于与子公司及联营企业投资相关的可抵扣暂时性差异，同时满足下列条件的，确认相应的递延所得税资产：暂</w:t>
      </w:r>
      <w:r>
        <w:rPr>
          <w:w w:val="99"/>
        </w:rPr>
        <w:t> </w:t>
      </w:r>
      <w:r>
        <w:rPr/>
        <w:t>时性差异在可预见的未来很可能转回，且未来很可能获得用来抵扣可抵扣暂时性差异的应纳税所得额。</w:t>
      </w:r>
    </w:p>
    <w:p>
      <w:pPr>
        <w:pStyle w:val="BodyText"/>
        <w:spacing w:line="316" w:lineRule="auto" w:before="31"/>
        <w:ind w:right="94" w:firstLine="360"/>
        <w:jc w:val="left"/>
      </w:pPr>
      <w:r>
        <w:rPr>
          <w:spacing w:val="-2"/>
        </w:rPr>
        <w:t>公司于资产负债表日，对于递延所得税资产和递延所得税负债，依据税法规定，按照预期收回该资产或清偿该负债期间</w:t>
      </w:r>
      <w:r>
        <w:rPr/>
        <w:t> 的适用税率计量，并反映资产负债表日预期收回资产或清偿负债方式的所得税影响。</w:t>
      </w:r>
    </w:p>
    <w:p>
      <w:pPr>
        <w:pStyle w:val="BodyText"/>
        <w:spacing w:line="316" w:lineRule="auto" w:before="19"/>
        <w:ind w:right="94" w:firstLine="360"/>
        <w:jc w:val="left"/>
      </w:pPr>
      <w:r>
        <w:rPr>
          <w:spacing w:val="-2"/>
        </w:rPr>
        <w:t>于资产负债表日，公司对递延所得税资产的账面价值进行复核，如果未来期间很可能无法获得足够的应纳税所得额用以</w:t>
      </w:r>
      <w:r>
        <w:rPr/>
        <w:t> 抵扣递延所得税资产的利益，减记递延所得税资产的账面价值。于资产负债表日，公司重新评估未确认的递延所得税资产，</w:t>
      </w:r>
      <w:r>
        <w:rPr>
          <w:spacing w:val="-83"/>
        </w:rPr>
        <w:t> </w:t>
      </w:r>
      <w:r>
        <w:rPr>
          <w:spacing w:val="-83"/>
        </w:rPr>
      </w:r>
      <w:r>
        <w:rPr/>
        <w:t>在很可能获得足够的应纳税所得额可供所有或部分递延所得税资产转回的限度内，确认递延所得税资产。</w:t>
      </w:r>
    </w:p>
    <w:p>
      <w:pPr>
        <w:pStyle w:val="BodyText"/>
        <w:spacing w:line="316" w:lineRule="auto" w:before="19"/>
        <w:ind w:right="192" w:firstLine="360"/>
        <w:jc w:val="both"/>
      </w:pPr>
      <w:r>
        <w:rPr>
          <w:spacing w:val="-2"/>
        </w:rPr>
        <w:t>同时满足下列条件时，递延所得税资产和递延所得税负债以抵销后的净额列示：拥有以净额结算当期所得税资产及当期</w:t>
      </w:r>
      <w:r>
        <w:rPr/>
        <w:t> 所得税负债的法定权利；递延所得税资产和递延所得税负债是与同一税收征管部门对同一应纳税主体征收的所得税相关或</w:t>
      </w:r>
      <w:r>
        <w:rPr>
          <w:spacing w:val="-3"/>
        </w:rPr>
        <w:t> </w:t>
      </w:r>
      <w:r>
        <w:rPr>
          <w:spacing w:val="-3"/>
        </w:rPr>
      </w:r>
      <w:r>
        <w:rPr>
          <w:spacing w:val="-2"/>
        </w:rPr>
        <w:t>者对不同的纳税主体相关，但在未来每一具有重要性的递延所得税资产和递延所得税负债转回的期间内，涉及的纳税主体意</w:t>
      </w:r>
      <w:r>
        <w:rPr>
          <w:spacing w:val="-64"/>
        </w:rPr>
        <w:t> </w:t>
      </w:r>
      <w:r>
        <w:rPr>
          <w:spacing w:val="-64"/>
        </w:rPr>
      </w:r>
      <w:r>
        <w:rPr/>
        <w:t>图以净额结算当期所得税资产及当期所得税负债或是同时取得资产、清偿债务。</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25</w:t>
      </w:r>
      <w:r>
        <w:rPr/>
        <w:t>、租赁</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right="94"/>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5"/>
        <w:ind w:left="513" w:right="1713"/>
        <w:jc w:val="left"/>
      </w:pPr>
      <w:r>
        <w:rPr/>
        <w:t>实质上转移了与资产所有权有关的全部风险和报酬的租赁为融资租赁，除此之外的均为经营租赁。 作为经营租赁承租人 经营租赁的租金支出，在租赁期内各个期间按照直线法计入相关的资产成本或当期损益。 作为经营租赁出租人</w:t>
      </w:r>
    </w:p>
    <w:p>
      <w:pPr>
        <w:pStyle w:val="BodyText"/>
        <w:spacing w:line="240" w:lineRule="auto" w:before="19"/>
        <w:ind w:left="513" w:right="94"/>
        <w:jc w:val="left"/>
      </w:pPr>
      <w:r>
        <w:rPr/>
        <w:t>经营租赁的租金收入在租赁期内的各个期间按直线法确认为当期损益。</w:t>
      </w:r>
    </w:p>
    <w:p>
      <w:pPr>
        <w:spacing w:line="600" w:lineRule="atLeast" w:before="28"/>
        <w:ind w:left="513" w:right="7375"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）融资租赁的会计处理方法</w:t>
      </w:r>
      <w:r>
        <w:rPr>
          <w:rFonts w:ascii="宋体" w:hAnsi="宋体" w:cs="宋体" w:eastAsia="宋体" w:hint="default"/>
          <w:b/>
          <w:bCs/>
          <w:w w:val="99"/>
          <w:sz w:val="18"/>
          <w:szCs w:val="18"/>
        </w:rPr>
        <w:t> </w:t>
      </w:r>
      <w:r>
        <w:rPr>
          <w:rFonts w:ascii="宋体" w:hAnsi="宋体" w:cs="宋体" w:eastAsia="宋体" w:hint="default"/>
          <w:sz w:val="18"/>
          <w:szCs w:val="18"/>
        </w:rPr>
        <w:t>作为融资租赁出租人</w:t>
      </w:r>
    </w:p>
    <w:p>
      <w:pPr>
        <w:pStyle w:val="BodyText"/>
        <w:spacing w:line="316" w:lineRule="auto" w:before="77"/>
        <w:ind w:right="94" w:firstLine="360"/>
        <w:jc w:val="left"/>
      </w:pPr>
      <w:r>
        <w:rPr/>
        <w:t>融资租出的资产，于租赁期开始日将租赁开始日最低租赁收款额与初始直接费用之和作为应收融资租赁款的入账价值， </w:t>
      </w:r>
      <w:r>
        <w:rPr>
          <w:spacing w:val="-2"/>
        </w:rPr>
        <w:t>同时记录未担保余值；将最低租赁收款额、初始直接费用及未担保余值之和与其现值之和的差额作为未实现融资收益，在租</w:t>
      </w:r>
      <w:r>
        <w:rPr>
          <w:spacing w:val="-63"/>
        </w:rPr>
        <w:t> </w:t>
      </w:r>
      <w:r>
        <w:rPr>
          <w:spacing w:val="-63"/>
        </w:rPr>
      </w:r>
      <w:r>
        <w:rPr/>
        <w:t>赁期内各个期间采用实际利率法进行确认。或有租金在实际发生时计入当期损益。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94"/>
        <w:jc w:val="left"/>
        <w:rPr>
          <w:b w:val="0"/>
          <w:bCs w:val="0"/>
        </w:rPr>
      </w:pPr>
      <w:r>
        <w:rPr>
          <w:rFonts w:ascii="Times New Roman" w:hAnsi="Times New Roman" w:cs="Times New Roman" w:eastAsia="Times New Roman" w:hint="default"/>
        </w:rPr>
        <w:t>26</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3" w:firstLine="360"/>
        <w:jc w:val="both"/>
      </w:pPr>
      <w:r>
        <w:rPr>
          <w:spacing w:val="-2"/>
        </w:rPr>
        <w:t>编制财务报表要求管理层作出判断、估计和假设，这些判断、估计和假设会影响收入、费用、资产和负债的列报金额及</w:t>
      </w:r>
      <w:r>
        <w:rPr/>
        <w:t> </w:t>
      </w:r>
      <w:r>
        <w:rPr>
          <w:spacing w:val="-2"/>
        </w:rPr>
        <w:t>其披露，以及资产负债表日或有负债的披露。然而，这些假设和估计的不确定性所导致的结果可能造成对未来受影响的资产</w:t>
      </w:r>
      <w:r>
        <w:rPr>
          <w:spacing w:val="-66"/>
        </w:rPr>
        <w:t> </w:t>
      </w:r>
      <w:r>
        <w:rPr>
          <w:spacing w:val="-66"/>
        </w:rPr>
      </w:r>
      <w:r>
        <w:rPr/>
        <w:t>或负债的账面金额进行重大调整。</w:t>
      </w:r>
    </w:p>
    <w:p>
      <w:pPr>
        <w:pStyle w:val="BodyText"/>
        <w:spacing w:line="240" w:lineRule="auto" w:before="19"/>
        <w:ind w:left="513" w:right="94"/>
        <w:jc w:val="left"/>
      </w:pPr>
      <w:r>
        <w:rPr/>
        <w:t>判断</w:t>
      </w:r>
    </w:p>
    <w:p>
      <w:pPr>
        <w:spacing w:line="240" w:lineRule="auto" w:before="0"/>
        <w:rPr>
          <w:rFonts w:ascii="宋体" w:hAnsi="宋体" w:cs="宋体" w:eastAsia="宋体" w:hint="default"/>
          <w:sz w:val="18"/>
          <w:szCs w:val="18"/>
        </w:rPr>
      </w:pPr>
    </w:p>
    <w:p>
      <w:pPr>
        <w:pStyle w:val="BodyText"/>
        <w:spacing w:line="240" w:lineRule="auto" w:before="153"/>
        <w:ind w:left="513" w:right="94"/>
        <w:jc w:val="left"/>
      </w:pPr>
      <w:r>
        <w:rPr/>
        <w:t>在应用公司的会计政策的过程中，管理层作出了以下对财务报表所确认的金额具有重大影响的判断：</w:t>
      </w:r>
    </w:p>
    <w:p>
      <w:pPr>
        <w:spacing w:after="0" w:line="240" w:lineRule="auto"/>
        <w:jc w:val="left"/>
        <w:sectPr>
          <w:footerReference w:type="default" r:id="rId48"/>
          <w:pgSz w:w="11910" w:h="16840"/>
          <w:pgMar w:footer="974" w:header="880" w:top="1100" w:bottom="1160" w:left="980" w:right="940"/>
          <w:pgNumType w:start="161"/>
        </w:sectPr>
      </w:pPr>
    </w:p>
    <w:p>
      <w:pPr>
        <w:spacing w:line="240" w:lineRule="auto" w:before="0"/>
        <w:rPr>
          <w:rFonts w:ascii="宋体" w:hAnsi="宋体" w:cs="宋体" w:eastAsia="宋体" w:hint="default"/>
          <w:sz w:val="22"/>
          <w:szCs w:val="22"/>
        </w:rPr>
      </w:pPr>
    </w:p>
    <w:p>
      <w:pPr>
        <w:pStyle w:val="BodyText"/>
        <w:spacing w:line="300" w:lineRule="auto" w:before="44"/>
        <w:ind w:left="513" w:right="94"/>
        <w:jc w:val="left"/>
      </w:pPr>
      <w:r>
        <w:rPr/>
        <w:t>经营租赁</w:t>
      </w:r>
      <w:r>
        <w:rPr>
          <w:rFonts w:ascii="Times New Roman" w:hAnsi="Times New Roman" w:cs="Times New Roman" w:eastAsia="Times New Roman" w:hint="default"/>
        </w:rPr>
        <w:t>——</w:t>
      </w:r>
      <w:r>
        <w:rPr/>
        <w:t>作为出租人 </w:t>
      </w:r>
      <w:r>
        <w:rPr>
          <w:spacing w:val="-2"/>
        </w:rPr>
        <w:t>公司就某些固定资产签订了租赁合同。公司认为，根据租赁合同的条款，公司保留了这些固定资产所有权上的所有重大</w:t>
      </w:r>
    </w:p>
    <w:p>
      <w:pPr>
        <w:pStyle w:val="BodyText"/>
        <w:spacing w:line="316" w:lineRule="auto" w:before="31"/>
        <w:ind w:left="513" w:right="6754" w:hanging="361"/>
        <w:jc w:val="left"/>
      </w:pPr>
      <w:r>
        <w:rPr/>
        <w:t>风险和报酬，因此作为经营租赁处理。 估计的不确定性</w:t>
      </w:r>
    </w:p>
    <w:p>
      <w:pPr>
        <w:pStyle w:val="BodyText"/>
        <w:spacing w:line="316" w:lineRule="auto" w:before="19"/>
        <w:ind w:right="185" w:firstLine="360"/>
        <w:jc w:val="both"/>
      </w:pPr>
      <w:r>
        <w:rPr/>
        <w:t>以下为于资产负债表日有关未来的关键假设以及估计不确定性的其他关键来源，可能会导致未来会计期间资产和负债</w:t>
      </w:r>
      <w:r>
        <w:rPr>
          <w:spacing w:val="2"/>
        </w:rPr>
        <w:t> </w:t>
      </w:r>
      <w:r>
        <w:rPr/>
        <w:t>账面金额重大调整。</w:t>
      </w:r>
    </w:p>
    <w:p>
      <w:pPr>
        <w:pStyle w:val="BodyText"/>
        <w:spacing w:line="316" w:lineRule="auto" w:before="19"/>
        <w:ind w:left="513" w:right="94"/>
        <w:jc w:val="left"/>
      </w:pPr>
      <w:r>
        <w:rPr/>
        <w:t>折旧及摊销 公司于资产达到预定可使用状态起按有关的估计使用寿命及净残值以年限平均法计算固定资产的折旧及无形资产的摊</w:t>
      </w:r>
    </w:p>
    <w:p>
      <w:pPr>
        <w:pStyle w:val="BodyText"/>
        <w:spacing w:line="316" w:lineRule="auto" w:before="19"/>
        <w:ind w:left="513" w:right="2614" w:hanging="361"/>
        <w:jc w:val="left"/>
      </w:pPr>
      <w:r>
        <w:rPr/>
        <w:t>销，反映了管理层就公司拟从使用该固定资产及无形资产获得未来经济利益的期间的估计。 应收款项减值</w:t>
      </w:r>
    </w:p>
    <w:p>
      <w:pPr>
        <w:pStyle w:val="BodyText"/>
        <w:spacing w:line="319" w:lineRule="auto" w:before="19"/>
        <w:ind w:right="189" w:firstLine="360"/>
        <w:jc w:val="both"/>
      </w:pPr>
      <w:r>
        <w:rPr>
          <w:spacing w:val="-2"/>
        </w:rPr>
        <w:t>公司根据信贷记录及当时市况评估能够收回应收账款、其他应收款项及应收关联方款项，以确定减值准备的金额，这需</w:t>
      </w:r>
      <w:r>
        <w:rPr/>
        <w:t> </w:t>
      </w:r>
      <w:r>
        <w:rPr>
          <w:spacing w:val="-2"/>
        </w:rPr>
        <w:t>要管理层运用判断来估计可收回的金额。如有客观证据表明无法收回结余，则计提坏账准备。当预期有别于原先估计时，有</w:t>
      </w:r>
      <w:r>
        <w:rPr>
          <w:spacing w:val="-63"/>
        </w:rPr>
        <w:t> </w:t>
      </w:r>
      <w:r>
        <w:rPr>
          <w:spacing w:val="-63"/>
        </w:rPr>
      </w:r>
      <w:r>
        <w:rPr>
          <w:spacing w:val="-2"/>
        </w:rPr>
        <w:t>关差异将影响应收账款、其他应收款项及应收关联方款项的账面价值，并且影响当期的减值损失。公司于每年年末重新估计</w:t>
      </w:r>
      <w:r>
        <w:rPr>
          <w:spacing w:val="-63"/>
        </w:rPr>
        <w:t> </w:t>
      </w:r>
      <w:r>
        <w:rPr>
          <w:spacing w:val="-63"/>
        </w:rPr>
      </w:r>
      <w:r>
        <w:rPr/>
        <w:t>坏账准备。</w:t>
      </w:r>
    </w:p>
    <w:p>
      <w:pPr>
        <w:pStyle w:val="BodyText"/>
        <w:spacing w:line="316" w:lineRule="auto" w:before="17"/>
        <w:ind w:left="513" w:right="93"/>
        <w:jc w:val="left"/>
      </w:pPr>
      <w:r>
        <w:rPr/>
        <w:t>开发支出 确定资本化的金额时，管理层必须作出有关资产的预计未来现金流量、适用的折现率以及预计受益期间的假设。 递延所得税资产 在很可能有足够的应纳税所得额用以抵扣可抵扣亏损的限度内，应就所有尚未利用的可抵扣亏损确认递延所得税资产。</w:t>
      </w:r>
    </w:p>
    <w:p>
      <w:pPr>
        <w:pStyle w:val="BodyText"/>
        <w:spacing w:line="316" w:lineRule="auto" w:before="19"/>
        <w:ind w:right="193"/>
        <w:jc w:val="both"/>
      </w:pPr>
      <w:r>
        <w:rPr>
          <w:spacing w:val="-2"/>
        </w:rPr>
        <w:t>这需要管理层运用大量的判断来估计未来取得应纳税所得额的时间和金额，结合纳税筹划策略，以决定应确认的递延所得税</w:t>
      </w:r>
      <w:r>
        <w:rPr>
          <w:spacing w:val="-64"/>
        </w:rPr>
        <w:t> </w:t>
      </w:r>
      <w:r>
        <w:rPr>
          <w:spacing w:val="-64"/>
        </w:rPr>
      </w:r>
      <w:r>
        <w:rPr/>
        <w:t>资产的金额。</w:t>
      </w:r>
    </w:p>
    <w:p>
      <w:pPr>
        <w:pStyle w:val="BodyText"/>
        <w:spacing w:line="319" w:lineRule="auto" w:before="19"/>
        <w:ind w:left="513" w:right="94"/>
        <w:jc w:val="left"/>
      </w:pPr>
      <w:r>
        <w:rPr/>
        <w:t>收入确认 </w:t>
      </w:r>
      <w:r>
        <w:rPr>
          <w:spacing w:val="-2"/>
        </w:rPr>
        <w:t>对于耗时较长的跨期基因组测试分析合同，公司无法可靠确定完工进度，按已经发生并预计能够得到补偿的劳务成本金</w:t>
      </w:r>
    </w:p>
    <w:p>
      <w:pPr>
        <w:pStyle w:val="BodyText"/>
        <w:spacing w:line="316" w:lineRule="auto" w:before="17"/>
        <w:ind w:right="193"/>
        <w:jc w:val="both"/>
      </w:pPr>
      <w:r>
        <w:rPr>
          <w:spacing w:val="-2"/>
        </w:rPr>
        <w:t>额确认提供的劳务收入，并将已发生的劳务成本作为当期费用，当项目完工时，按照预计可收回金额扣除前期累计确认的收</w:t>
      </w:r>
      <w:r>
        <w:rPr>
          <w:spacing w:val="-66"/>
        </w:rPr>
        <w:t> </w:t>
      </w:r>
      <w:r>
        <w:rPr>
          <w:spacing w:val="-66"/>
        </w:rPr>
      </w:r>
      <w:r>
        <w:rPr/>
        <w:t>入作为完工时点确认的收入。预计可收回金额的确定依赖于公司管理层运用大量的判断来估计预计收入。</w:t>
      </w:r>
    </w:p>
    <w:p>
      <w:pPr>
        <w:pStyle w:val="BodyText"/>
        <w:spacing w:line="316" w:lineRule="auto" w:before="19"/>
        <w:ind w:left="513" w:right="93"/>
        <w:jc w:val="left"/>
      </w:pPr>
      <w:r>
        <w:rPr/>
        <w:t>预计负债 对于某些预计很可能发生亏损的合同，管理层根据预算收入和预算成本，结合累计已确认的收入和累计已发生的成本，</w:t>
      </w:r>
    </w:p>
    <w:p>
      <w:pPr>
        <w:pStyle w:val="BodyText"/>
        <w:spacing w:line="309" w:lineRule="auto" w:before="19"/>
        <w:ind w:right="191"/>
        <w:jc w:val="both"/>
      </w:pPr>
      <w:r>
        <w:rPr/>
        <w:t>计算未来合同亏损对应的预计负债，预计发生亏损的合同，其相关预计负债</w:t>
      </w:r>
      <w:r>
        <w:rPr>
          <w:rFonts w:ascii="Times New Roman" w:hAnsi="Times New Roman" w:cs="Times New Roman" w:eastAsia="Times New Roman" w:hint="default"/>
        </w:rPr>
        <w:t>=</w:t>
      </w:r>
      <w:r>
        <w:rPr/>
        <w:t>预计成本</w:t>
      </w:r>
      <w:r>
        <w:rPr>
          <w:rFonts w:ascii="Times New Roman" w:hAnsi="Times New Roman" w:cs="Times New Roman" w:eastAsia="Times New Roman" w:hint="default"/>
        </w:rPr>
        <w:t>-</w:t>
      </w:r>
      <w:r>
        <w:rPr/>
        <w:t>预计收入</w:t>
      </w:r>
      <w:r>
        <w:rPr>
          <w:spacing w:val="-50"/>
        </w:rPr>
        <w:t> </w:t>
      </w:r>
      <w:r>
        <w:rPr>
          <w:rFonts w:ascii="Times New Roman" w:hAnsi="Times New Roman" w:cs="Times New Roman" w:eastAsia="Times New Roman" w:hint="default"/>
          <w:spacing w:val="-3"/>
        </w:rPr>
        <w:t>-</w:t>
      </w:r>
      <w:r>
        <w:rPr>
          <w:spacing w:val="-3"/>
        </w:rPr>
        <w:t>（累计已发生成本</w:t>
      </w:r>
      <w:r>
        <w:rPr>
          <w:rFonts w:ascii="Times New Roman" w:hAnsi="Times New Roman" w:cs="Times New Roman" w:eastAsia="Times New Roman" w:hint="default"/>
          <w:spacing w:val="-3"/>
        </w:rPr>
        <w:t>-</w:t>
      </w:r>
      <w:r>
        <w:rPr>
          <w:spacing w:val="-3"/>
        </w:rPr>
        <w:t>累计已</w:t>
      </w:r>
      <w:r>
        <w:rPr/>
        <w:t> </w:t>
      </w:r>
      <w:r>
        <w:rPr>
          <w:spacing w:val="-2"/>
        </w:rPr>
        <w:t>确认收入），在预计负债确认过程，需要管理层运用大量的判断来估计预算成本以及预计收入，以决定本期应确认的预计负</w:t>
      </w:r>
      <w:r>
        <w:rPr>
          <w:spacing w:val="-64"/>
        </w:rPr>
        <w:t> </w:t>
      </w:r>
      <w:r>
        <w:rPr>
          <w:spacing w:val="-64"/>
        </w:rPr>
      </w:r>
      <w:r>
        <w:rPr/>
        <w:t>债。</w:t>
      </w:r>
    </w:p>
    <w:p>
      <w:pPr>
        <w:pStyle w:val="BodyText"/>
        <w:spacing w:line="316" w:lineRule="auto" w:before="24"/>
        <w:ind w:left="513" w:right="94"/>
        <w:jc w:val="left"/>
      </w:pPr>
      <w:r>
        <w:rPr/>
        <w:t>可供出售金融资产减值 </w:t>
      </w:r>
      <w:r>
        <w:rPr>
          <w:spacing w:val="-2"/>
        </w:rPr>
        <w:t>公司将某些资产归类为可供出售金融资产，并将其公允价值的变动直接计入其他综合收益。当公允价值下降时，管理层</w:t>
      </w:r>
    </w:p>
    <w:p>
      <w:pPr>
        <w:pStyle w:val="BodyText"/>
        <w:spacing w:line="319" w:lineRule="auto" w:before="19"/>
        <w:ind w:left="513" w:right="4594" w:hanging="361"/>
        <w:jc w:val="left"/>
      </w:pPr>
      <w:r>
        <w:rPr/>
        <w:t>就价值下降作出假设以确定是否存在需在损益中确认其减值损失。 除金融资产之外的非流动资产减值</w:t>
      </w:r>
    </w:p>
    <w:p>
      <w:pPr>
        <w:pStyle w:val="BodyText"/>
        <w:spacing w:line="316" w:lineRule="auto" w:before="17"/>
        <w:ind w:right="185" w:firstLine="360"/>
        <w:jc w:val="both"/>
      </w:pPr>
      <w:r>
        <w:rPr/>
        <w:t>公司于资产负债表日对除金融资产之外的非流动资产判断是否存在可能发生减值的迹象。对使用寿命不确定的无形资</w:t>
      </w:r>
      <w:r>
        <w:rPr>
          <w:spacing w:val="2"/>
        </w:rPr>
        <w:t> </w:t>
      </w:r>
      <w:r>
        <w:rPr>
          <w:spacing w:val="-2"/>
        </w:rPr>
        <w:t>产，除每年进行的减值测试外，当其存在减值迹象时，也进行减值测试。其他除金融资产之外的非流动资产，当存在迹象表</w:t>
      </w:r>
      <w:r>
        <w:rPr>
          <w:spacing w:val="-67"/>
        </w:rPr>
        <w:t> </w:t>
      </w:r>
      <w:r>
        <w:rPr>
          <w:spacing w:val="-67"/>
        </w:rPr>
      </w:r>
      <w:r>
        <w:rPr>
          <w:spacing w:val="-2"/>
        </w:rPr>
        <w:t>明其账面金额不可收回时，进行减值测试。当资产或资产组的账面价值高于可收回金额，即公允价值减去处置费用后的净额</w:t>
      </w:r>
      <w:r>
        <w:rPr>
          <w:spacing w:val="-63"/>
        </w:rPr>
        <w:t> </w:t>
      </w:r>
      <w:r>
        <w:rPr>
          <w:spacing w:val="-63"/>
        </w:rPr>
      </w:r>
      <w:r>
        <w:rPr>
          <w:spacing w:val="-2"/>
        </w:rPr>
        <w:t>和预计未来现金流量的现值中的较高者，表明发生了减值。公允价值减去处置费用后的净额，参考公平交易中类似资产的销</w:t>
      </w:r>
      <w:r>
        <w:rPr>
          <w:spacing w:val="-65"/>
        </w:rPr>
        <w:t> </w:t>
      </w:r>
      <w:r>
        <w:rPr>
          <w:spacing w:val="-65"/>
        </w:rPr>
      </w:r>
      <w:r>
        <w:rPr>
          <w:spacing w:val="-2"/>
        </w:rPr>
        <w:t>售协议价格或可观察到的市场价格，减去可直接归属于该资产处置的增量成本确定。预计未来现金流量现值时，管理层必须</w:t>
      </w:r>
      <w:r>
        <w:rPr>
          <w:spacing w:val="-63"/>
        </w:rPr>
        <w:t> </w:t>
      </w:r>
      <w:r>
        <w:rPr>
          <w:spacing w:val="-63"/>
        </w:rPr>
      </w:r>
      <w:r>
        <w:rPr/>
        <w:t>估计该项资产或资产组的预计未来现金流量，并选择恰当的折现率确定未来现金流量的现值。</w:t>
      </w:r>
    </w:p>
    <w:p>
      <w:pPr>
        <w:spacing w:after="0" w:line="316" w:lineRule="auto"/>
        <w:jc w:val="both"/>
        <w:sectPr>
          <w:pgSz w:w="11910" w:h="16840"/>
          <w:pgMar w:header="880" w:footer="974"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94"/>
        <w:jc w:val="left"/>
        <w:rPr>
          <w:b w:val="0"/>
          <w:bCs w:val="0"/>
        </w:rPr>
      </w:pPr>
      <w:r>
        <w:rPr>
          <w:rFonts w:ascii="Times New Roman" w:hAnsi="Times New Roman" w:cs="Times New Roman" w:eastAsia="Times New Roman" w:hint="default"/>
        </w:rPr>
        <w:t>27</w:t>
      </w:r>
      <w:r>
        <w:rPr/>
        <w:t>、重要会计政策和会计估计变更</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right="94"/>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0"/>
        <w:rPr>
          <w:rFonts w:ascii="宋体" w:hAnsi="宋体" w:cs="宋体" w:eastAsia="宋体" w:hint="default"/>
          <w:b/>
          <w:bCs/>
          <w:sz w:val="18"/>
          <w:szCs w:val="18"/>
        </w:rPr>
      </w:pPr>
    </w:p>
    <w:p>
      <w:pPr>
        <w:spacing w:line="340" w:lineRule="auto" w:before="125"/>
        <w:ind w:left="513" w:right="7284"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资产处置损益列报方式变更</w:t>
      </w:r>
      <w:r>
        <w:rPr>
          <w:rFonts w:ascii="宋体" w:hAnsi="宋体" w:cs="宋体" w:eastAsia="宋体" w:hint="default"/>
          <w:sz w:val="18"/>
          <w:szCs w:val="18"/>
        </w:rPr>
      </w:r>
    </w:p>
    <w:p>
      <w:pPr>
        <w:pStyle w:val="BodyText"/>
        <w:spacing w:line="300" w:lineRule="auto" w:before="1"/>
        <w:ind w:right="190" w:firstLine="360"/>
        <w:jc w:val="both"/>
      </w:pPr>
      <w:r>
        <w:rPr/>
        <w:t>根据《财政部关于修订印发一般企业财务报表格式的通知》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[2017]30</w:t>
      </w:r>
      <w:r>
        <w:rPr/>
        <w:t>号</w:t>
      </w:r>
      <w:r>
        <w:rPr>
          <w:rFonts w:ascii="Times New Roman" w:hAnsi="Times New Roman" w:cs="Times New Roman" w:eastAsia="Times New Roman" w:hint="default"/>
        </w:rPr>
        <w:t>)</w:t>
      </w:r>
      <w:r>
        <w:rPr/>
        <w:t>要求，公司在利润表中的</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项目 之上单独列报</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项目，原在</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的部分非流动资产处置损益，改为在</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中列报；公司相应追溯重述了比较利润表。该会计政策变更对合并及公司净利润和股东权益无影响。</w:t>
      </w:r>
    </w:p>
    <w:p>
      <w:pPr>
        <w:pStyle w:val="BodyText"/>
        <w:spacing w:line="316" w:lineRule="auto" w:before="31"/>
        <w:ind w:left="513" w:right="94"/>
        <w:jc w:val="left"/>
      </w:pPr>
      <w:r>
        <w:rPr>
          <w:rFonts w:ascii="宋体" w:hAnsi="宋体" w:cs="宋体" w:eastAsia="宋体" w:hint="default"/>
          <w:b/>
          <w:bCs/>
        </w:rPr>
        <w:t>政府补助列报方式变更</w:t>
      </w:r>
      <w:r>
        <w:rPr>
          <w:rFonts w:ascii="宋体" w:hAnsi="宋体" w:cs="宋体" w:eastAsia="宋体" w:hint="default"/>
          <w:b/>
          <w:bCs/>
          <w:w w:val="99"/>
        </w:rPr>
        <w:t> </w:t>
      </w:r>
      <w:r>
        <w:rPr>
          <w:spacing w:val="-1"/>
        </w:rPr>
        <w:t>根据《关于印发修订〈企业会计准则第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政府补助〉的通知》</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[2017]15</w:t>
      </w:r>
      <w:r>
        <w:rPr>
          <w:spacing w:val="-1"/>
        </w:rPr>
        <w:t>号</w:t>
      </w:r>
      <w:r>
        <w:rPr>
          <w:rFonts w:ascii="Times New Roman" w:hAnsi="Times New Roman" w:cs="Times New Roman" w:eastAsia="Times New Roman" w:hint="default"/>
          <w:spacing w:val="-1"/>
        </w:rPr>
        <w:t>)</w:t>
      </w:r>
      <w:r>
        <w:rPr>
          <w:spacing w:val="-1"/>
        </w:rPr>
        <w:t>要求，公司在利润表中的</w:t>
      </w:r>
      <w:r>
        <w:rPr>
          <w:rFonts w:ascii="Times New Roman" w:hAnsi="Times New Roman" w:cs="Times New Roman" w:eastAsia="Times New Roman" w:hint="default"/>
          <w:spacing w:val="-1"/>
        </w:rPr>
        <w:t>“</w:t>
      </w:r>
      <w:r>
        <w:rPr>
          <w:spacing w:val="-1"/>
        </w:rPr>
        <w:t>营业利</w:t>
      </w:r>
    </w:p>
    <w:p>
      <w:pPr>
        <w:pStyle w:val="BodyText"/>
        <w:spacing w:line="300" w:lineRule="auto"/>
        <w:ind w:right="94"/>
        <w:jc w:val="left"/>
      </w:pPr>
      <w:r>
        <w:rPr>
          <w:spacing w:val="-1"/>
        </w:rPr>
        <w:t>润</w:t>
      </w:r>
      <w:r>
        <w:rPr>
          <w:rFonts w:ascii="Times New Roman" w:hAnsi="Times New Roman" w:cs="Times New Roman" w:eastAsia="Times New Roman" w:hint="default"/>
          <w:spacing w:val="-1"/>
        </w:rPr>
        <w:t>”</w:t>
      </w:r>
      <w:r>
        <w:rPr>
          <w:spacing w:val="-1"/>
        </w:rPr>
        <w:t>项目之上单独列报</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w:t>
      </w:r>
      <w:r>
        <w:rPr>
          <w:spacing w:val="-1"/>
        </w:rPr>
        <w:t>项目，与企业日常活动相关的政府补助由在</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w:t>
      </w:r>
      <w:r>
        <w:rPr>
          <w:spacing w:val="-1"/>
        </w:rPr>
        <w:t>中列报改为在</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w:t>
      </w:r>
      <w:r>
        <w:rPr>
          <w:spacing w:val="-1"/>
        </w:rPr>
        <w:t>中列报；</w:t>
      </w:r>
      <w:r>
        <w:rPr>
          <w:spacing w:val="-47"/>
        </w:rPr>
        <w:t> </w:t>
      </w:r>
      <w:r>
        <w:rPr>
          <w:spacing w:val="-47"/>
        </w:rPr>
      </w:r>
      <w:r>
        <w:rPr/>
        <w:t>按照该准则的衔接规定，公司对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日存在的政府补助采用未来适用法处理，对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日至该准则施行日</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w:t>
      </w:r>
      <w:r>
        <w:rPr/>
        <w:t>之间新增的政府补助根据本准则进行调整。</w:t>
      </w:r>
      <w:r>
        <w:rPr>
          <w:rFonts w:ascii="Times New Roman" w:hAnsi="Times New Roman" w:cs="Times New Roman" w:eastAsia="Times New Roman" w:hint="default"/>
        </w:rPr>
        <w:t>2017</w:t>
      </w:r>
      <w:r>
        <w:rPr/>
        <w:t>年度和</w:t>
      </w:r>
      <w:r>
        <w:rPr>
          <w:rFonts w:ascii="Times New Roman" w:hAnsi="Times New Roman" w:cs="Times New Roman" w:eastAsia="Times New Roman" w:hint="default"/>
        </w:rPr>
        <w:t>2016</w:t>
      </w:r>
      <w:r>
        <w:rPr/>
        <w:t>年度的</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以及</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项 目列报的内容有所不同，但对</w:t>
      </w:r>
      <w:r>
        <w:rPr>
          <w:rFonts w:ascii="Times New Roman" w:hAnsi="Times New Roman" w:cs="Times New Roman" w:eastAsia="Times New Roman" w:hint="default"/>
        </w:rPr>
        <w:t>2017</w:t>
      </w:r>
      <w:r>
        <w:rPr/>
        <w:t>年度和</w:t>
      </w:r>
      <w:r>
        <w:rPr>
          <w:rFonts w:ascii="Times New Roman" w:hAnsi="Times New Roman" w:cs="Times New Roman" w:eastAsia="Times New Roman" w:hint="default"/>
        </w:rPr>
        <w:t>2016</w:t>
      </w:r>
      <w:r>
        <w:rPr/>
        <w:t>年度合并及公司净利润无影响。</w:t>
      </w:r>
    </w:p>
    <w:p>
      <w:pPr>
        <w:pStyle w:val="BodyText"/>
        <w:spacing w:line="316" w:lineRule="auto" w:before="13"/>
        <w:ind w:left="513" w:right="94"/>
        <w:jc w:val="left"/>
      </w:pPr>
      <w:r>
        <w:rPr>
          <w:rFonts w:ascii="宋体" w:hAnsi="宋体" w:cs="宋体" w:eastAsia="宋体" w:hint="default"/>
          <w:b/>
          <w:bCs/>
        </w:rPr>
        <w:t>终止经营列报方式变更</w:t>
      </w:r>
      <w:r>
        <w:rPr>
          <w:rFonts w:ascii="宋体" w:hAnsi="宋体" w:cs="宋体" w:eastAsia="宋体" w:hint="default"/>
          <w:b/>
          <w:bCs/>
          <w:w w:val="99"/>
        </w:rPr>
        <w:t> </w:t>
      </w:r>
      <w:r>
        <w:rPr/>
        <w:t>根据《关于印发〈企业会计准则第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[2017]13</w:t>
      </w:r>
      <w:r>
        <w:rPr/>
        <w:t>号</w:t>
      </w:r>
      <w:r>
        <w:rPr>
          <w:rFonts w:ascii="Times New Roman" w:hAnsi="Times New Roman" w:cs="Times New Roman" w:eastAsia="Times New Roman" w:hint="default"/>
        </w:rPr>
        <w:t>)</w:t>
      </w:r>
      <w:r>
        <w:rPr/>
        <w:t>要</w:t>
      </w:r>
    </w:p>
    <w:p>
      <w:pPr>
        <w:pStyle w:val="BodyText"/>
        <w:spacing w:line="248" w:lineRule="exact"/>
        <w:ind w:right="0"/>
        <w:jc w:val="left"/>
      </w:pPr>
      <w:r>
        <w:rPr>
          <w:spacing w:val="-2"/>
        </w:rPr>
        <w:t>求，公司在利润表中的</w:t>
      </w:r>
      <w:r>
        <w:rPr>
          <w:rFonts w:ascii="Times New Roman" w:hAnsi="Times New Roman" w:cs="Times New Roman" w:eastAsia="Times New Roman" w:hint="default"/>
          <w:spacing w:val="-2"/>
        </w:rPr>
        <w:t>“</w:t>
      </w:r>
      <w:r>
        <w:rPr>
          <w:spacing w:val="-2"/>
        </w:rPr>
        <w:t>净利润</w:t>
      </w:r>
      <w:r>
        <w:rPr>
          <w:rFonts w:ascii="Times New Roman" w:hAnsi="Times New Roman" w:cs="Times New Roman" w:eastAsia="Times New Roman" w:hint="default"/>
          <w:spacing w:val="-2"/>
        </w:rPr>
        <w:t>”</w:t>
      </w:r>
      <w:r>
        <w:rPr>
          <w:spacing w:val="-2"/>
        </w:rPr>
        <w:t>项目之下新增</w:t>
      </w:r>
      <w:r>
        <w:rPr>
          <w:rFonts w:ascii="Times New Roman" w:hAnsi="Times New Roman" w:cs="Times New Roman" w:eastAsia="Times New Roman" w:hint="default"/>
          <w:spacing w:val="-2"/>
        </w:rPr>
        <w:t>“</w:t>
      </w:r>
      <w:r>
        <w:rPr>
          <w:spacing w:val="-2"/>
        </w:rPr>
        <w:t>持续经营净利润</w:t>
      </w:r>
      <w:r>
        <w:rPr>
          <w:rFonts w:ascii="Times New Roman" w:hAnsi="Times New Roman" w:cs="Times New Roman" w:eastAsia="Times New Roman" w:hint="default"/>
          <w:spacing w:val="-2"/>
        </w:rPr>
        <w:t>”</w:t>
      </w:r>
      <w:r>
        <w:rPr>
          <w:spacing w:val="-2"/>
        </w:rPr>
        <w:t>项目，公司</w:t>
      </w:r>
      <w:r>
        <w:rPr>
          <w:rFonts w:ascii="Times New Roman" w:hAnsi="Times New Roman" w:cs="Times New Roman" w:eastAsia="Times New Roman" w:hint="default"/>
          <w:spacing w:val="-2"/>
        </w:rPr>
        <w:t>2017</w:t>
      </w:r>
      <w:r>
        <w:rPr>
          <w:spacing w:val="-2"/>
        </w:rPr>
        <w:t>年度和</w:t>
      </w:r>
      <w:r>
        <w:rPr>
          <w:rFonts w:ascii="Times New Roman" w:hAnsi="Times New Roman" w:cs="Times New Roman" w:eastAsia="Times New Roman" w:hint="default"/>
          <w:spacing w:val="-2"/>
        </w:rPr>
        <w:t>2016</w:t>
      </w:r>
      <w:r>
        <w:rPr>
          <w:spacing w:val="-2"/>
        </w:rPr>
        <w:t>年度没有</w:t>
      </w:r>
      <w:r>
        <w:rPr>
          <w:rFonts w:ascii="Times New Roman" w:hAnsi="Times New Roman" w:cs="Times New Roman" w:eastAsia="Times New Roman" w:hint="default"/>
          <w:spacing w:val="-2"/>
        </w:rPr>
        <w:t>“</w:t>
      </w:r>
      <w:r>
        <w:rPr>
          <w:spacing w:val="-2"/>
        </w:rPr>
        <w:t>终止经营净利润</w:t>
      </w:r>
      <w:r>
        <w:rPr>
          <w:rFonts w:ascii="Times New Roman" w:hAnsi="Times New Roman" w:cs="Times New Roman" w:eastAsia="Times New Roman" w:hint="default"/>
          <w:spacing w:val="-2"/>
        </w:rPr>
        <w:t>”</w:t>
      </w:r>
      <w:r>
        <w:rPr>
          <w:spacing w:val="-2"/>
        </w:rPr>
        <w:t>项目。</w:t>
      </w:r>
    </w:p>
    <w:p>
      <w:pPr>
        <w:spacing w:line="240" w:lineRule="auto" w:before="0"/>
        <w:rPr>
          <w:rFonts w:ascii="宋体" w:hAnsi="宋体" w:cs="宋体" w:eastAsia="宋体" w:hint="default"/>
          <w:sz w:val="18"/>
          <w:szCs w:val="18"/>
        </w:rPr>
      </w:pPr>
    </w:p>
    <w:p>
      <w:pPr>
        <w:pStyle w:val="Heading4"/>
        <w:spacing w:line="240" w:lineRule="auto" w:before="129"/>
        <w:ind w:right="94"/>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r>
        <w:rPr>
          <w:rFonts w:ascii="Times New Roman" w:hAnsi="Times New Roman" w:cs="Times New Roman" w:eastAsia="Times New Roman" w:hint="default"/>
        </w:rPr>
        <w:t>28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六、税项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4" w:lineRule="auto" w:before="53"/>
              <w:ind w:left="23" w:right="94"/>
              <w:jc w:val="left"/>
              <w:rPr>
                <w:rFonts w:ascii="宋体" w:hAnsi="宋体" w:cs="宋体" w:eastAsia="宋体" w:hint="default"/>
                <w:sz w:val="18"/>
                <w:szCs w:val="18"/>
              </w:rPr>
            </w:pPr>
            <w:r>
              <w:rPr>
                <w:rFonts w:ascii="宋体" w:hAnsi="宋体" w:cs="宋体" w:eastAsia="宋体" w:hint="default"/>
                <w:sz w:val="18"/>
                <w:szCs w:val="18"/>
              </w:rPr>
              <w:t>销售货物或提供应税劳务过程中产生的 增值额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实际缴纳的流转税和当期免抵的增值税 税额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实际缴纳的流转税和当期免抵的增值税 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94"/>
              <w:jc w:val="left"/>
              <w:rPr>
                <w:rFonts w:ascii="宋体" w:hAnsi="宋体" w:cs="宋体" w:eastAsia="宋体" w:hint="default"/>
                <w:sz w:val="18"/>
                <w:szCs w:val="18"/>
              </w:rPr>
            </w:pPr>
            <w:r>
              <w:rPr>
                <w:rFonts w:ascii="宋体" w:hAnsi="宋体" w:cs="宋体" w:eastAsia="宋体" w:hint="default"/>
                <w:sz w:val="18"/>
                <w:szCs w:val="18"/>
              </w:rPr>
              <w:t>实际缴纳的流转税和当期免抵的增值税 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代扣个人所得税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公司支付给个人的所得额，由公司依国</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40"/>
        </w:sectPr>
      </w:pPr>
    </w:p>
    <w:p>
      <w:pPr>
        <w:spacing w:line="240" w:lineRule="auto" w:before="8"/>
        <w:rPr>
          <w:rFonts w:ascii="宋体" w:hAnsi="宋体" w:cs="宋体" w:eastAsia="宋体" w:hint="default"/>
          <w:b/>
          <w:bCs/>
          <w:sz w:val="24"/>
          <w:szCs w:val="24"/>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363"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家规定代扣缴个人所得税。</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234"/>
        <w:jc w:val="left"/>
      </w:pPr>
      <w:r>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华大基因</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武汉医检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武汉生物科技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天津医检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深圳临检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北京吉比爱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北京六合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重庆临检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欧洲医学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22%</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香港医学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美洲科技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适用联邦税税率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及州税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7.45%</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其他国内重要子公司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234" w:hanging="361"/>
        <w:jc w:val="left"/>
      </w:pPr>
      <w:r>
        <w:rPr>
          <w:rFonts w:ascii="宋体" w:hAnsi="宋体" w:cs="宋体" w:eastAsia="宋体" w:hint="default"/>
          <w:b/>
          <w:bCs/>
        </w:rPr>
        <w:t>企业所得税优惠政策</w:t>
      </w:r>
      <w:r>
        <w:rPr>
          <w:rFonts w:ascii="宋体" w:hAnsi="宋体" w:cs="宋体" w:eastAsia="宋体" w:hint="default"/>
          <w:b/>
          <w:bCs/>
          <w:w w:val="99"/>
        </w:rPr>
        <w:t> </w:t>
      </w:r>
      <w:r>
        <w:rPr>
          <w:spacing w:val="-2"/>
        </w:rPr>
        <w:t>根据《中华人民共和国企业所得税法》规定和当地税务主管机关出具的税收优惠事项通知书等文件，以下企业享受企业</w:t>
      </w:r>
    </w:p>
    <w:p>
      <w:pPr>
        <w:pStyle w:val="BodyText"/>
        <w:spacing w:line="240" w:lineRule="auto" w:before="19"/>
        <w:ind w:right="0"/>
        <w:jc w:val="both"/>
      </w:pPr>
      <w:r>
        <w:rPr/>
        <w:t>所得税优惠：</w:t>
      </w:r>
    </w:p>
    <w:p>
      <w:pPr>
        <w:pStyle w:val="BodyText"/>
        <w:spacing w:line="300" w:lineRule="auto" w:before="76"/>
        <w:ind w:left="513" w:right="234" w:firstLine="40"/>
        <w:jc w:val="left"/>
      </w:pPr>
      <w:r>
        <w:rPr/>
        <w:t>（</w:t>
      </w:r>
      <w:r>
        <w:rPr>
          <w:rFonts w:ascii="Times New Roman" w:hAnsi="Times New Roman" w:cs="Times New Roman" w:eastAsia="Times New Roman" w:hint="default"/>
        </w:rPr>
        <w:t>1</w:t>
      </w:r>
      <w:r>
        <w:rPr/>
        <w:t>）华大基因 根据深圳市国家高新技术企业认定管理机构办公室于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日出具的《关于领取深圳市</w:t>
      </w:r>
      <w:r>
        <w:rPr>
          <w:rFonts w:ascii="Times New Roman" w:hAnsi="Times New Roman" w:cs="Times New Roman" w:eastAsia="Times New Roman" w:hint="default"/>
        </w:rPr>
        <w:t>2015</w:t>
      </w:r>
      <w:r>
        <w:rPr/>
        <w:t>年第二批国家高新</w:t>
      </w:r>
    </w:p>
    <w:p>
      <w:pPr>
        <w:pStyle w:val="BodyText"/>
        <w:spacing w:line="240" w:lineRule="auto" w:before="13"/>
        <w:ind w:right="0"/>
        <w:jc w:val="both"/>
      </w:pPr>
      <w:r>
        <w:rPr/>
        <w:t>技术企业和第一批通过复审国家高新技术企业证书的通知》，华大基因被认定为国家高新技术企业。华大基因于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p>
    <w:p>
      <w:pPr>
        <w:pStyle w:val="BodyText"/>
        <w:spacing w:line="240" w:lineRule="auto" w:before="63"/>
        <w:ind w:right="0"/>
        <w:jc w:val="both"/>
      </w:pPr>
      <w:r>
        <w:rPr>
          <w:rFonts w:ascii="Times New Roman" w:hAnsi="Times New Roman" w:cs="Times New Roman" w:eastAsia="Times New Roman" w:hint="default"/>
        </w:rPr>
        <w:t>2</w:t>
      </w:r>
      <w:r>
        <w:rPr/>
        <w:t>日取得编号为</w:t>
      </w:r>
      <w:r>
        <w:rPr>
          <w:rFonts w:ascii="Times New Roman" w:hAnsi="Times New Roman" w:cs="Times New Roman" w:eastAsia="Times New Roman" w:hint="default"/>
        </w:rPr>
        <w:t>GR201544201043</w:t>
      </w:r>
      <w:r>
        <w:rPr/>
        <w:t>的高新技术企业证书，并从</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年享受减按</w:t>
      </w:r>
      <w:r>
        <w:rPr>
          <w:rFonts w:ascii="Times New Roman" w:hAnsi="Times New Roman" w:cs="Times New Roman" w:eastAsia="Times New Roman" w:hint="default"/>
        </w:rPr>
        <w:t>15%</w:t>
      </w:r>
      <w:r>
        <w:rPr/>
        <w:t>的税率征收企业所得税的税收优惠。</w:t>
      </w:r>
    </w:p>
    <w:p>
      <w:pPr>
        <w:pStyle w:val="BodyText"/>
        <w:spacing w:line="300" w:lineRule="auto" w:before="63"/>
        <w:ind w:left="513" w:right="234" w:firstLine="40"/>
        <w:jc w:val="left"/>
      </w:pPr>
      <w:r>
        <w:rPr/>
        <w:t>（</w:t>
      </w:r>
      <w:r>
        <w:rPr>
          <w:rFonts w:ascii="Times New Roman" w:hAnsi="Times New Roman" w:cs="Times New Roman" w:eastAsia="Times New Roman" w:hint="default"/>
        </w:rPr>
        <w:t>2</w:t>
      </w:r>
      <w:r>
        <w:rPr/>
        <w:t>）武汉医检 根据湖北省高新技术企业认定管理委员会办公室于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日出具的《关于公示湖北省</w:t>
      </w:r>
      <w:r>
        <w:rPr>
          <w:rFonts w:ascii="Times New Roman" w:hAnsi="Times New Roman" w:cs="Times New Roman" w:eastAsia="Times New Roman" w:hint="default"/>
        </w:rPr>
        <w:t>2013</w:t>
      </w:r>
      <w:r>
        <w:rPr/>
        <w:t>年第二批拟认定高新</w:t>
      </w:r>
    </w:p>
    <w:p>
      <w:pPr>
        <w:pStyle w:val="BodyText"/>
        <w:spacing w:line="300" w:lineRule="auto" w:before="13"/>
        <w:ind w:right="291"/>
        <w:jc w:val="both"/>
      </w:pPr>
      <w:r>
        <w:rPr>
          <w:spacing w:val="-2"/>
        </w:rPr>
        <w:t>技术企业名单的通知》，武汉华大医学检验所（下称</w:t>
      </w:r>
      <w:r>
        <w:rPr>
          <w:rFonts w:ascii="Times New Roman" w:hAnsi="Times New Roman" w:cs="Times New Roman" w:eastAsia="Times New Roman" w:hint="default"/>
          <w:spacing w:val="-2"/>
        </w:rPr>
        <w:t>“</w:t>
      </w:r>
      <w:r>
        <w:rPr>
          <w:spacing w:val="-2"/>
        </w:rPr>
        <w:t>武汉医检</w:t>
      </w:r>
      <w:r>
        <w:rPr>
          <w:rFonts w:ascii="Times New Roman" w:hAnsi="Times New Roman" w:cs="Times New Roman" w:eastAsia="Times New Roman" w:hint="default"/>
          <w:spacing w:val="-2"/>
        </w:rPr>
        <w:t>”</w:t>
      </w:r>
      <w:r>
        <w:rPr>
          <w:spacing w:val="-2"/>
        </w:rPr>
        <w:t>）被认定为国家高新技术企业。武汉医检于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w:t>
      </w:r>
      <w:r>
        <w:rPr>
          <w:spacing w:val="-41"/>
        </w:rPr>
        <w:t> </w:t>
      </w:r>
      <w:r>
        <w:rPr/>
        <w:t>取得编号为</w:t>
      </w:r>
      <w:r>
        <w:rPr>
          <w:rFonts w:ascii="Times New Roman" w:hAnsi="Times New Roman" w:cs="Times New Roman" w:eastAsia="Times New Roman" w:hint="default"/>
        </w:rPr>
        <w:t>GR201342000280</w:t>
      </w:r>
      <w:r>
        <w:rPr/>
        <w:t>的高新技术企业证书。武汉医检从</w:t>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2015</w:t>
      </w:r>
      <w:r>
        <w:rPr/>
        <w:t>年享受减按</w:t>
      </w:r>
      <w:r>
        <w:rPr>
          <w:rFonts w:ascii="Times New Roman" w:hAnsi="Times New Roman" w:cs="Times New Roman" w:eastAsia="Times New Roman" w:hint="default"/>
        </w:rPr>
        <w:t>15%</w:t>
      </w:r>
      <w:r>
        <w:rPr/>
        <w:t>的税率征收企业所得税的税收</w:t>
      </w:r>
      <w:r>
        <w:rPr>
          <w:spacing w:val="-49"/>
        </w:rPr>
        <w:t> </w:t>
      </w:r>
      <w:r>
        <w:rPr>
          <w:spacing w:val="-49"/>
        </w:rPr>
      </w:r>
      <w:r>
        <w:rPr>
          <w:spacing w:val="-2"/>
        </w:rPr>
        <w:t>优惠。根据湖北省高新技术企业认定管理委员会办公室于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日出具的《关于湖北省</w:t>
      </w:r>
      <w:r>
        <w:rPr>
          <w:rFonts w:ascii="Times New Roman" w:hAnsi="Times New Roman" w:cs="Times New Roman" w:eastAsia="Times New Roman" w:hint="default"/>
          <w:spacing w:val="-2"/>
        </w:rPr>
        <w:t>2016</w:t>
      </w:r>
      <w:r>
        <w:rPr>
          <w:spacing w:val="-2"/>
        </w:rPr>
        <w:t>年第一批拟认定高新技术</w:t>
      </w:r>
      <w:r>
        <w:rPr>
          <w:spacing w:val="-57"/>
        </w:rPr>
        <w:t> </w:t>
      </w:r>
      <w:r>
        <w:rPr>
          <w:spacing w:val="-57"/>
        </w:rPr>
      </w:r>
      <w:r>
        <w:rPr/>
        <w:t>企业名单的通知》，武汉医检被认定为国家高新技术企业。武汉医检于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日取得编号为</w:t>
      </w:r>
      <w:r>
        <w:rPr>
          <w:rFonts w:ascii="Times New Roman" w:hAnsi="Times New Roman" w:cs="Times New Roman" w:eastAsia="Times New Roman" w:hint="default"/>
        </w:rPr>
        <w:t>GR201642000013</w:t>
      </w:r>
      <w:r>
        <w:rPr/>
        <w:t>的高新</w:t>
      </w:r>
      <w:r>
        <w:rPr>
          <w:spacing w:val="-73"/>
        </w:rPr>
        <w:t> </w:t>
      </w:r>
      <w:r>
        <w:rPr>
          <w:spacing w:val="-73"/>
        </w:rPr>
      </w:r>
      <w:r>
        <w:rPr/>
        <w:t>技术企业证书。武汉医检从</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年享受减按</w:t>
      </w:r>
      <w:r>
        <w:rPr>
          <w:rFonts w:ascii="Times New Roman" w:hAnsi="Times New Roman" w:cs="Times New Roman" w:eastAsia="Times New Roman" w:hint="default"/>
        </w:rPr>
        <w:t>15%</w:t>
      </w:r>
      <w:r>
        <w:rPr/>
        <w:t>的税率征收企业所得税的税收优惠。</w:t>
      </w:r>
    </w:p>
    <w:p>
      <w:pPr>
        <w:pStyle w:val="BodyText"/>
        <w:spacing w:line="300" w:lineRule="auto" w:before="13"/>
        <w:ind w:left="513" w:right="234" w:firstLine="40"/>
        <w:jc w:val="left"/>
      </w:pPr>
      <w:r>
        <w:rPr/>
        <w:t>（</w:t>
      </w:r>
      <w:r>
        <w:rPr>
          <w:rFonts w:ascii="Times New Roman" w:hAnsi="Times New Roman" w:cs="Times New Roman" w:eastAsia="Times New Roman" w:hint="default"/>
        </w:rPr>
        <w:t>3</w:t>
      </w:r>
      <w:r>
        <w:rPr/>
        <w:t>）天津华大 天津华大基因科技有限公司（下称</w:t>
      </w:r>
      <w:r>
        <w:rPr>
          <w:rFonts w:ascii="Times New Roman" w:hAnsi="Times New Roman" w:cs="Times New Roman" w:eastAsia="Times New Roman" w:hint="default"/>
        </w:rPr>
        <w:t>“</w:t>
      </w:r>
      <w:r>
        <w:rPr/>
        <w:t>天津华大</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日取得编号为</w:t>
      </w:r>
      <w:r>
        <w:rPr>
          <w:rFonts w:ascii="Times New Roman" w:hAnsi="Times New Roman" w:cs="Times New Roman" w:eastAsia="Times New Roman" w:hint="default"/>
        </w:rPr>
        <w:t>GR201412000218</w:t>
      </w:r>
      <w:r>
        <w:rPr/>
        <w:t>的高新技术企业证书。</w:t>
      </w:r>
    </w:p>
    <w:p>
      <w:pPr>
        <w:pStyle w:val="BodyText"/>
        <w:spacing w:line="240" w:lineRule="auto" w:before="10"/>
        <w:ind w:right="0"/>
        <w:jc w:val="both"/>
      </w:pPr>
      <w:r>
        <w:rPr/>
        <w:t>天津华大从</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年享受减按</w:t>
      </w:r>
      <w:r>
        <w:rPr>
          <w:rFonts w:ascii="Times New Roman" w:hAnsi="Times New Roman" w:cs="Times New Roman" w:eastAsia="Times New Roman" w:hint="default"/>
        </w:rPr>
        <w:t>15%</w:t>
      </w:r>
      <w:r>
        <w:rPr/>
        <w:t>的税率征收企业所得税的税收优惠，</w:t>
      </w:r>
      <w:r>
        <w:rPr>
          <w:rFonts w:ascii="Times New Roman" w:hAnsi="Times New Roman" w:cs="Times New Roman" w:eastAsia="Times New Roman" w:hint="default"/>
        </w:rPr>
        <w:t>2017</w:t>
      </w:r>
      <w:r>
        <w:rPr/>
        <w:t>年按照</w:t>
      </w:r>
      <w:r>
        <w:rPr>
          <w:rFonts w:ascii="Times New Roman" w:hAnsi="Times New Roman" w:cs="Times New Roman" w:eastAsia="Times New Roman" w:hint="default"/>
        </w:rPr>
        <w:t>25%</w:t>
      </w:r>
      <w:r>
        <w:rPr/>
        <w:t>税率征收企业所得税。</w:t>
      </w:r>
    </w:p>
    <w:p>
      <w:pPr>
        <w:pStyle w:val="BodyText"/>
        <w:spacing w:line="300" w:lineRule="auto" w:before="63"/>
        <w:ind w:left="513" w:right="234" w:firstLine="40"/>
        <w:jc w:val="left"/>
      </w:pPr>
      <w:r>
        <w:rPr/>
        <w:t>（</w:t>
      </w:r>
      <w:r>
        <w:rPr>
          <w:rFonts w:ascii="Times New Roman" w:hAnsi="Times New Roman" w:cs="Times New Roman" w:eastAsia="Times New Roman" w:hint="default"/>
        </w:rPr>
        <w:t>4</w:t>
      </w:r>
      <w:r>
        <w:rPr/>
        <w:t>）深圳临检 </w:t>
      </w:r>
      <w:r>
        <w:rPr>
          <w:spacing w:val="-1"/>
        </w:rPr>
        <w:t>根据《国务院关于经济特区和上海浦东新区新设立高新技术企业实行过渡性税收优惠的通知》（国发</w:t>
      </w:r>
      <w:r>
        <w:rPr>
          <w:rFonts w:ascii="Times New Roman" w:hAnsi="Times New Roman" w:cs="Times New Roman" w:eastAsia="Times New Roman" w:hint="default"/>
          <w:spacing w:val="-1"/>
        </w:rPr>
        <w:t>[2007]40</w:t>
      </w:r>
      <w:r>
        <w:rPr>
          <w:spacing w:val="-1"/>
        </w:rPr>
        <w:t>号），深</w:t>
      </w:r>
    </w:p>
    <w:p>
      <w:pPr>
        <w:pStyle w:val="BodyText"/>
        <w:spacing w:line="240" w:lineRule="auto" w:before="13"/>
        <w:ind w:right="0"/>
        <w:jc w:val="both"/>
      </w:pPr>
      <w:r>
        <w:rPr/>
        <w:t>圳华大临床检验中心（下称</w:t>
      </w:r>
      <w:r>
        <w:rPr>
          <w:rFonts w:ascii="Times New Roman" w:hAnsi="Times New Roman" w:cs="Times New Roman" w:eastAsia="Times New Roman" w:hint="default"/>
        </w:rPr>
        <w:t>“</w:t>
      </w:r>
      <w:r>
        <w:rPr/>
        <w:t>深圳临检</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2016</w:t>
      </w:r>
      <w:r>
        <w:rPr/>
        <w:t>年按照特区内新设立国家需要重点扶持的高新技术企业企业所得税两</w:t>
      </w:r>
    </w:p>
    <w:p>
      <w:pPr>
        <w:spacing w:after="0" w:line="240" w:lineRule="auto"/>
        <w:jc w:val="both"/>
        <w:sectPr>
          <w:pgSz w:w="11910" w:h="16840"/>
          <w:pgMar w:header="880" w:footer="974" w:top="1100" w:bottom="1160" w:left="980" w:right="840"/>
        </w:sectPr>
      </w:pPr>
    </w:p>
    <w:p>
      <w:pPr>
        <w:spacing w:line="240" w:lineRule="auto" w:before="0"/>
        <w:rPr>
          <w:rFonts w:ascii="宋体" w:hAnsi="宋体" w:cs="宋体" w:eastAsia="宋体" w:hint="default"/>
          <w:sz w:val="22"/>
          <w:szCs w:val="22"/>
        </w:rPr>
      </w:pPr>
    </w:p>
    <w:p>
      <w:pPr>
        <w:pStyle w:val="BodyText"/>
        <w:spacing w:line="300" w:lineRule="auto" w:before="44"/>
        <w:ind w:right="186"/>
        <w:jc w:val="both"/>
      </w:pPr>
      <w:r>
        <w:rPr/>
        <w:t>免三减半。深圳临检于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日取得编号为</w:t>
      </w:r>
      <w:r>
        <w:rPr>
          <w:rFonts w:ascii="Times New Roman" w:hAnsi="Times New Roman" w:cs="Times New Roman" w:eastAsia="Times New Roman" w:hint="default"/>
        </w:rPr>
        <w:t>GR201444201125</w:t>
      </w:r>
      <w:r>
        <w:rPr/>
        <w:t>的高新技术企业证书</w:t>
      </w:r>
      <w:r>
        <w:rPr>
          <w:rFonts w:ascii="Times New Roman" w:hAnsi="Times New Roman" w:cs="Times New Roman" w:eastAsia="Times New Roman" w:hint="default"/>
        </w:rPr>
        <w:t>,</w:t>
      </w:r>
      <w:r>
        <w:rPr/>
        <w:t>从</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年可享受减按</w:t>
      </w:r>
      <w:r>
        <w:rPr>
          <w:rFonts w:ascii="Times New Roman" w:hAnsi="Times New Roman" w:cs="Times New Roman" w:eastAsia="Times New Roman" w:hint="default"/>
        </w:rPr>
        <w:t>15%</w:t>
      </w:r>
      <w:r>
        <w:rPr>
          <w:rFonts w:ascii="Times New Roman" w:hAnsi="Times New Roman" w:cs="Times New Roman" w:eastAsia="Times New Roman" w:hint="default"/>
          <w:spacing w:val="38"/>
        </w:rPr>
        <w:t> </w:t>
      </w:r>
      <w:r>
        <w:rPr>
          <w:spacing w:val="-2"/>
        </w:rPr>
        <w:t>的税率征收企业所得税的税收优惠。由于深圳临检在</w:t>
      </w:r>
      <w:r>
        <w:rPr>
          <w:rFonts w:ascii="Times New Roman" w:hAnsi="Times New Roman" w:cs="Times New Roman" w:eastAsia="Times New Roman" w:hint="default"/>
          <w:spacing w:val="-2"/>
        </w:rPr>
        <w:t>2014</w:t>
      </w:r>
      <w:r>
        <w:rPr>
          <w:spacing w:val="-2"/>
        </w:rPr>
        <w:t>年取得高新技术企业证书后才申请该税收优惠，故</w:t>
      </w:r>
      <w:r>
        <w:rPr>
          <w:rFonts w:ascii="Times New Roman" w:hAnsi="Times New Roman" w:cs="Times New Roman" w:eastAsia="Times New Roman" w:hint="default"/>
          <w:spacing w:val="-2"/>
        </w:rPr>
        <w:t>2013</w:t>
      </w:r>
      <w:r>
        <w:rPr>
          <w:spacing w:val="-2"/>
        </w:rPr>
        <w:t>年实际已按</w:t>
      </w:r>
      <w:r>
        <w:rPr>
          <w:spacing w:val="-58"/>
        </w:rPr>
        <w:t> </w:t>
      </w:r>
      <w:r>
        <w:rPr>
          <w:spacing w:val="-58"/>
        </w:rPr>
      </w:r>
      <w:r>
        <w:rPr>
          <w:rFonts w:ascii="Times New Roman" w:hAnsi="Times New Roman" w:cs="Times New Roman" w:eastAsia="Times New Roman" w:hint="default"/>
        </w:rPr>
        <w:t>25%</w:t>
      </w:r>
      <w:r>
        <w:rPr/>
        <w:t>征收企业所得税，</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年享受按</w:t>
      </w:r>
      <w:r>
        <w:rPr>
          <w:rFonts w:ascii="Times New Roman" w:hAnsi="Times New Roman" w:cs="Times New Roman" w:eastAsia="Times New Roman" w:hint="default"/>
        </w:rPr>
        <w:t>25%</w:t>
      </w:r>
      <w:r>
        <w:rPr/>
        <w:t>减半征收企业所得税。深圳临检于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日通过重新认定并取得编</w:t>
      </w:r>
      <w:r>
        <w:rPr>
          <w:spacing w:val="-39"/>
        </w:rPr>
        <w:t> </w:t>
      </w:r>
      <w:r>
        <w:rPr>
          <w:spacing w:val="-39"/>
        </w:rPr>
      </w:r>
      <w:r>
        <w:rPr/>
        <w:t>号为</w:t>
      </w:r>
      <w:r>
        <w:rPr>
          <w:rFonts w:ascii="Times New Roman" w:hAnsi="Times New Roman" w:cs="Times New Roman" w:eastAsia="Times New Roman" w:hint="default"/>
        </w:rPr>
        <w:t>GR201744200436</w:t>
      </w:r>
      <w:r>
        <w:rPr/>
        <w:t>的高新技术企业证书，自</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年可享受减按</w:t>
      </w:r>
      <w:r>
        <w:rPr>
          <w:rFonts w:ascii="Times New Roman" w:hAnsi="Times New Roman" w:cs="Times New Roman" w:eastAsia="Times New Roman" w:hint="default"/>
        </w:rPr>
        <w:t>15%</w:t>
      </w:r>
      <w:r>
        <w:rPr/>
        <w:t>的税率征收企业所得税的税收优惠。</w:t>
      </w:r>
    </w:p>
    <w:p>
      <w:pPr>
        <w:pStyle w:val="BodyText"/>
        <w:spacing w:line="300" w:lineRule="auto" w:before="13"/>
        <w:ind w:left="513" w:right="94" w:firstLine="40"/>
        <w:jc w:val="left"/>
      </w:pPr>
      <w:r>
        <w:rPr/>
        <w:t>（</w:t>
      </w:r>
      <w:r>
        <w:rPr>
          <w:rFonts w:ascii="Times New Roman" w:hAnsi="Times New Roman" w:cs="Times New Roman" w:eastAsia="Times New Roman" w:hint="default"/>
        </w:rPr>
        <w:t>5</w:t>
      </w:r>
      <w:r>
        <w:rPr/>
        <w:t>）北京吉比爱 北京华大吉比爱生物技术有限公司（下称</w:t>
      </w:r>
      <w:r>
        <w:rPr>
          <w:rFonts w:ascii="Times New Roman" w:hAnsi="Times New Roman" w:cs="Times New Roman" w:eastAsia="Times New Roman" w:hint="default"/>
        </w:rPr>
        <w:t>“</w:t>
      </w:r>
      <w:r>
        <w:rPr/>
        <w:t>北京吉比爱</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日通过复审并取得编号为</w:t>
      </w:r>
      <w:r>
        <w:rPr>
          <w:rFonts w:ascii="Times New Roman" w:hAnsi="Times New Roman" w:cs="Times New Roman" w:eastAsia="Times New Roman" w:hint="default"/>
        </w:rPr>
        <w:t>GF201211000660</w:t>
      </w:r>
      <w:r>
        <w:rPr/>
        <w:t>的高</w:t>
      </w:r>
    </w:p>
    <w:p>
      <w:pPr>
        <w:pStyle w:val="BodyText"/>
        <w:spacing w:line="300" w:lineRule="auto" w:before="13"/>
        <w:ind w:right="191"/>
        <w:jc w:val="both"/>
      </w:pPr>
      <w:r>
        <w:rPr>
          <w:spacing w:val="-1"/>
        </w:rPr>
        <w:t>新技术企业证书，北京吉比爱从</w:t>
      </w:r>
      <w:r>
        <w:rPr>
          <w:rFonts w:ascii="Times New Roman" w:hAnsi="Times New Roman" w:cs="Times New Roman" w:eastAsia="Times New Roman" w:hint="default"/>
          <w:spacing w:val="-1"/>
        </w:rPr>
        <w:t>2012</w:t>
      </w:r>
      <w:r>
        <w:rPr>
          <w:spacing w:val="-1"/>
        </w:rPr>
        <w:t>年至</w:t>
      </w:r>
      <w:r>
        <w:rPr>
          <w:rFonts w:ascii="Times New Roman" w:hAnsi="Times New Roman" w:cs="Times New Roman" w:eastAsia="Times New Roman" w:hint="default"/>
          <w:spacing w:val="-1"/>
        </w:rPr>
        <w:t>2014</w:t>
      </w:r>
      <w:r>
        <w:rPr>
          <w:spacing w:val="-1"/>
        </w:rPr>
        <w:t>年可享受减按</w:t>
      </w:r>
      <w:r>
        <w:rPr>
          <w:rFonts w:ascii="Times New Roman" w:hAnsi="Times New Roman" w:cs="Times New Roman" w:eastAsia="Times New Roman" w:hint="default"/>
          <w:spacing w:val="-1"/>
        </w:rPr>
        <w:t>15%</w:t>
      </w:r>
      <w:r>
        <w:rPr>
          <w:spacing w:val="-1"/>
        </w:rPr>
        <w:t>的税率征收企业所得税的税收优惠。</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24</w:t>
      </w:r>
      <w:r>
        <w:rPr>
          <w:spacing w:val="-1"/>
        </w:rPr>
        <w:t>日通过复</w:t>
      </w:r>
      <w:r>
        <w:rPr>
          <w:spacing w:val="-87"/>
        </w:rPr>
        <w:t> </w:t>
      </w:r>
      <w:r>
        <w:rPr>
          <w:spacing w:val="-87"/>
        </w:rPr>
      </w:r>
      <w:r>
        <w:rPr/>
        <w:t>审并取得编号为</w:t>
      </w:r>
      <w:r>
        <w:rPr>
          <w:rFonts w:ascii="Times New Roman" w:hAnsi="Times New Roman" w:cs="Times New Roman" w:eastAsia="Times New Roman" w:hint="default"/>
        </w:rPr>
        <w:t>GR201511001947</w:t>
      </w:r>
      <w:r>
        <w:rPr/>
        <w:t>的高新技术企业证书，北京吉比爱从</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年可享受减按</w:t>
      </w:r>
      <w:r>
        <w:rPr>
          <w:rFonts w:ascii="Times New Roman" w:hAnsi="Times New Roman" w:cs="Times New Roman" w:eastAsia="Times New Roman" w:hint="default"/>
        </w:rPr>
        <w:t>15%</w:t>
      </w:r>
      <w:r>
        <w:rPr/>
        <w:t>的税率征收企业所得</w:t>
      </w:r>
      <w:r>
        <w:rPr>
          <w:spacing w:val="-49"/>
        </w:rPr>
        <w:t> </w:t>
      </w:r>
      <w:r>
        <w:rPr>
          <w:spacing w:val="-49"/>
        </w:rPr>
      </w:r>
      <w:r>
        <w:rPr/>
        <w:t>税的税收优惠。</w:t>
      </w:r>
    </w:p>
    <w:p>
      <w:pPr>
        <w:pStyle w:val="BodyText"/>
        <w:spacing w:line="300" w:lineRule="auto" w:before="31"/>
        <w:ind w:left="513" w:right="94" w:firstLine="40"/>
        <w:jc w:val="left"/>
      </w:pPr>
      <w:r>
        <w:rPr/>
        <w:t>（</w:t>
      </w:r>
      <w:r>
        <w:rPr>
          <w:rFonts w:ascii="Times New Roman" w:hAnsi="Times New Roman" w:cs="Times New Roman" w:eastAsia="Times New Roman" w:hint="default"/>
        </w:rPr>
        <w:t>6</w:t>
      </w:r>
      <w:r>
        <w:rPr/>
        <w:t>）北京六合 </w:t>
      </w:r>
      <w:r>
        <w:rPr>
          <w:spacing w:val="-1"/>
        </w:rPr>
        <w:t>北京六合华大科技股份有限公司（下称</w:t>
      </w:r>
      <w:r>
        <w:rPr>
          <w:rFonts w:ascii="Times New Roman" w:hAnsi="Times New Roman" w:cs="Times New Roman" w:eastAsia="Times New Roman" w:hint="default"/>
          <w:spacing w:val="-1"/>
        </w:rPr>
        <w:t>“</w:t>
      </w:r>
      <w:r>
        <w:rPr>
          <w:spacing w:val="-1"/>
        </w:rPr>
        <w:t>北京六合</w:t>
      </w:r>
      <w:r>
        <w:rPr>
          <w:rFonts w:ascii="Times New Roman" w:hAnsi="Times New Roman" w:cs="Times New Roman" w:eastAsia="Times New Roman" w:hint="default"/>
          <w:spacing w:val="-1"/>
        </w:rPr>
        <w:t>”</w:t>
      </w:r>
      <w:r>
        <w:rPr>
          <w:spacing w:val="-1"/>
        </w:rPr>
        <w:t>）于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24</w:t>
      </w:r>
      <w:r>
        <w:rPr>
          <w:spacing w:val="-1"/>
        </w:rPr>
        <w:t>日通过复审并取得编号为</w:t>
      </w:r>
      <w:r>
        <w:rPr>
          <w:rFonts w:ascii="Times New Roman" w:hAnsi="Times New Roman" w:cs="Times New Roman" w:eastAsia="Times New Roman" w:hint="default"/>
          <w:spacing w:val="-1"/>
        </w:rPr>
        <w:t>GF201211000413</w:t>
      </w:r>
      <w:r>
        <w:rPr>
          <w:spacing w:val="-1"/>
        </w:rPr>
        <w:t>的高新技</w:t>
      </w:r>
    </w:p>
    <w:p>
      <w:pPr>
        <w:pStyle w:val="BodyText"/>
        <w:spacing w:line="300" w:lineRule="auto" w:before="13"/>
        <w:ind w:right="191"/>
        <w:jc w:val="both"/>
      </w:pPr>
      <w:r>
        <w:rPr>
          <w:spacing w:val="-1"/>
        </w:rPr>
        <w:t>术企业证书，北京六合从</w:t>
      </w:r>
      <w:r>
        <w:rPr>
          <w:rFonts w:ascii="Times New Roman" w:hAnsi="Times New Roman" w:cs="Times New Roman" w:eastAsia="Times New Roman" w:hint="default"/>
          <w:spacing w:val="-1"/>
        </w:rPr>
        <w:t>2012</w:t>
      </w:r>
      <w:r>
        <w:rPr>
          <w:spacing w:val="-1"/>
        </w:rPr>
        <w:t>年至</w:t>
      </w:r>
      <w:r>
        <w:rPr>
          <w:rFonts w:ascii="Times New Roman" w:hAnsi="Times New Roman" w:cs="Times New Roman" w:eastAsia="Times New Roman" w:hint="default"/>
          <w:spacing w:val="-1"/>
        </w:rPr>
        <w:t>2014</w:t>
      </w:r>
      <w:r>
        <w:rPr>
          <w:spacing w:val="-1"/>
        </w:rPr>
        <w:t>年可享受减按</w:t>
      </w:r>
      <w:r>
        <w:rPr>
          <w:rFonts w:ascii="Times New Roman" w:hAnsi="Times New Roman" w:cs="Times New Roman" w:eastAsia="Times New Roman" w:hint="default"/>
          <w:spacing w:val="-1"/>
        </w:rPr>
        <w:t>15%</w:t>
      </w:r>
      <w:r>
        <w:rPr>
          <w:spacing w:val="-1"/>
        </w:rPr>
        <w:t>的税率征收企业所得税的税收优惠。</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24</w:t>
      </w:r>
      <w:r>
        <w:rPr>
          <w:spacing w:val="-1"/>
        </w:rPr>
        <w:t>日通过复审并取</w:t>
      </w:r>
      <w:r>
        <w:rPr>
          <w:spacing w:val="-86"/>
        </w:rPr>
        <w:t> </w:t>
      </w:r>
      <w:r>
        <w:rPr>
          <w:spacing w:val="-86"/>
        </w:rPr>
      </w:r>
      <w:r>
        <w:rPr/>
        <w:t>得编号为</w:t>
      </w:r>
      <w:r>
        <w:rPr>
          <w:rFonts w:ascii="Times New Roman" w:hAnsi="Times New Roman" w:cs="Times New Roman" w:eastAsia="Times New Roman" w:hint="default"/>
        </w:rPr>
        <w:t>GF201511003323</w:t>
      </w:r>
      <w:r>
        <w:rPr/>
        <w:t>的高新技术企业证书，北京六合从</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年可享受减按</w:t>
      </w:r>
      <w:r>
        <w:rPr>
          <w:rFonts w:ascii="Times New Roman" w:hAnsi="Times New Roman" w:cs="Times New Roman" w:eastAsia="Times New Roman" w:hint="default"/>
        </w:rPr>
        <w:t>15%</w:t>
      </w:r>
      <w:r>
        <w:rPr/>
        <w:t>的税率征收企业所得税的税收</w:t>
      </w:r>
      <w:r>
        <w:rPr>
          <w:spacing w:val="-31"/>
        </w:rPr>
        <w:t> </w:t>
      </w:r>
      <w:r>
        <w:rPr>
          <w:spacing w:val="-31"/>
        </w:rPr>
      </w:r>
      <w:r>
        <w:rPr/>
        <w:t>优惠。</w:t>
      </w:r>
    </w:p>
    <w:p>
      <w:pPr>
        <w:pStyle w:val="BodyText"/>
        <w:spacing w:line="300" w:lineRule="auto" w:before="31"/>
        <w:ind w:left="513" w:right="94" w:firstLine="40"/>
        <w:jc w:val="left"/>
      </w:pPr>
      <w:r>
        <w:rPr/>
        <w:t>（</w:t>
      </w:r>
      <w:r>
        <w:rPr>
          <w:rFonts w:ascii="Times New Roman" w:hAnsi="Times New Roman" w:cs="Times New Roman" w:eastAsia="Times New Roman" w:hint="default"/>
        </w:rPr>
        <w:t>7</w:t>
      </w:r>
      <w:r>
        <w:rPr/>
        <w:t>）华大科技 </w:t>
      </w:r>
      <w:r>
        <w:rPr>
          <w:spacing w:val="-2"/>
        </w:rPr>
        <w:t>根据《中华人民共和国企业所得税》第三十六条规定、深圳市盐田区地方税务局于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日出具的《深圳市盐田</w:t>
      </w:r>
    </w:p>
    <w:p>
      <w:pPr>
        <w:pStyle w:val="BodyText"/>
        <w:spacing w:line="300" w:lineRule="auto" w:before="13"/>
        <w:ind w:right="191"/>
        <w:jc w:val="both"/>
      </w:pPr>
      <w:r>
        <w:rPr>
          <w:spacing w:val="-2"/>
        </w:rPr>
        <w:t>区地方税务局税务事项通知书》（深地税盐备</w:t>
      </w:r>
      <w:r>
        <w:rPr>
          <w:rFonts w:ascii="Times New Roman" w:hAnsi="Times New Roman" w:cs="Times New Roman" w:eastAsia="Times New Roman" w:hint="default"/>
          <w:spacing w:val="-2"/>
        </w:rPr>
        <w:t>[2013]101</w:t>
      </w:r>
      <w:r>
        <w:rPr>
          <w:spacing w:val="-2"/>
        </w:rPr>
        <w:t>号），深圳华大基因科技服务有限公司（下称</w:t>
      </w:r>
      <w:r>
        <w:rPr>
          <w:rFonts w:ascii="Times New Roman" w:hAnsi="Times New Roman" w:cs="Times New Roman" w:eastAsia="Times New Roman" w:hint="default"/>
          <w:spacing w:val="-2"/>
        </w:rPr>
        <w:t>“</w:t>
      </w:r>
      <w:r>
        <w:rPr>
          <w:spacing w:val="-2"/>
        </w:rPr>
        <w:t>华大科技</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2012</w:t>
      </w:r>
      <w:r>
        <w:rPr>
          <w:spacing w:val="-2"/>
        </w:rPr>
        <w:t>年至</w:t>
      </w:r>
      <w:r>
        <w:rPr>
          <w:spacing w:val="-6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3"/>
        </w:rPr>
        <w:t> </w:t>
      </w:r>
      <w:r>
        <w:rPr>
          <w:spacing w:val="14"/>
        </w:rPr>
        <w:t>年可依法享受软件和集成电路企业所得税两免三减半。华大科技于</w:t>
      </w:r>
      <w:r>
        <w:rPr>
          <w:spacing w:val="-61"/>
        </w:rPr>
        <w:t> </w:t>
      </w:r>
      <w:r>
        <w:rPr>
          <w:rFonts w:ascii="Times New Roman" w:hAnsi="Times New Roman" w:cs="Times New Roman" w:eastAsia="Times New Roman" w:hint="default"/>
          <w:spacing w:val="11"/>
        </w:rPr>
        <w:t>2017</w:t>
      </w:r>
      <w:r>
        <w:rPr>
          <w:spacing w:val="11"/>
        </w:rPr>
        <w:t>年</w:t>
      </w:r>
      <w:r>
        <w:rPr>
          <w:rFonts w:ascii="Times New Roman" w:hAnsi="Times New Roman" w:cs="Times New Roman" w:eastAsia="Times New Roman" w:hint="default"/>
          <w:spacing w:val="11"/>
        </w:rPr>
        <w:t>8</w:t>
      </w:r>
      <w:r>
        <w:rPr>
          <w:spacing w:val="11"/>
        </w:rPr>
        <w:t>月</w:t>
      </w:r>
      <w:r>
        <w:rPr>
          <w:rFonts w:ascii="Times New Roman" w:hAnsi="Times New Roman" w:cs="Times New Roman" w:eastAsia="Times New Roman" w:hint="default"/>
          <w:spacing w:val="11"/>
        </w:rPr>
        <w:t>17</w:t>
      </w:r>
      <w:r>
        <w:rPr>
          <w:spacing w:val="11"/>
        </w:rPr>
        <w:t>日通过重新认定并取得编号为</w:t>
      </w:r>
      <w:r>
        <w:rPr>
          <w:spacing w:val="-80"/>
        </w:rPr>
        <w:t> </w:t>
      </w:r>
      <w:r>
        <w:rPr>
          <w:spacing w:val="-80"/>
        </w:rPr>
      </w:r>
      <w:r>
        <w:rPr>
          <w:rFonts w:ascii="Times New Roman" w:hAnsi="Times New Roman" w:cs="Times New Roman" w:eastAsia="Times New Roman" w:hint="default"/>
        </w:rPr>
        <w:t>GR201744200305</w:t>
      </w:r>
      <w:r>
        <w:rPr/>
        <w:t>的高新技术企业证书，华大科技从</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年可享受减按</w:t>
      </w:r>
      <w:r>
        <w:rPr>
          <w:rFonts w:ascii="Times New Roman" w:hAnsi="Times New Roman" w:cs="Times New Roman" w:eastAsia="Times New Roman" w:hint="default"/>
        </w:rPr>
        <w:t>15%</w:t>
      </w:r>
      <w:r>
        <w:rPr/>
        <w:t>的税率征收企业所得税的税收优惠。</w:t>
      </w:r>
    </w:p>
    <w:p>
      <w:pPr>
        <w:pStyle w:val="BodyText"/>
        <w:spacing w:line="240" w:lineRule="auto" w:before="13"/>
        <w:ind w:left="554" w:right="94"/>
        <w:jc w:val="left"/>
      </w:pPr>
      <w:r>
        <w:rPr/>
        <w:t>（</w:t>
      </w:r>
      <w:r>
        <w:rPr>
          <w:rFonts w:ascii="Times New Roman" w:hAnsi="Times New Roman" w:cs="Times New Roman" w:eastAsia="Times New Roman" w:hint="default"/>
        </w:rPr>
        <w:t>8</w:t>
      </w:r>
      <w:r>
        <w:rPr/>
        <w:t>）天津医检</w:t>
      </w:r>
    </w:p>
    <w:p>
      <w:pPr>
        <w:pStyle w:val="BodyText"/>
        <w:spacing w:line="300" w:lineRule="auto" w:before="63"/>
        <w:ind w:right="94" w:firstLine="360"/>
        <w:jc w:val="left"/>
      </w:pPr>
      <w:r>
        <w:rPr>
          <w:spacing w:val="-3"/>
        </w:rPr>
        <w:t>天津华大医学检验所有限公司（下称</w:t>
      </w:r>
      <w:r>
        <w:rPr>
          <w:rFonts w:ascii="Times New Roman" w:hAnsi="Times New Roman" w:cs="Times New Roman" w:eastAsia="Times New Roman" w:hint="default"/>
          <w:spacing w:val="-3"/>
        </w:rPr>
        <w:t>“</w:t>
      </w:r>
      <w:r>
        <w:rPr>
          <w:spacing w:val="-3"/>
        </w:rPr>
        <w:t>天津医检</w:t>
      </w:r>
      <w:r>
        <w:rPr>
          <w:rFonts w:ascii="Times New Roman" w:hAnsi="Times New Roman" w:cs="Times New Roman" w:eastAsia="Times New Roman" w:hint="default"/>
          <w:spacing w:val="-3"/>
        </w:rPr>
        <w:t>”</w:t>
      </w:r>
      <w:r>
        <w:rPr>
          <w:spacing w:val="-3"/>
        </w:rPr>
        <w:t>）于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24</w:t>
      </w:r>
      <w:r>
        <w:rPr>
          <w:spacing w:val="-3"/>
        </w:rPr>
        <w:t>日取得编号为</w:t>
      </w:r>
      <w:r>
        <w:rPr>
          <w:rFonts w:ascii="Times New Roman" w:hAnsi="Times New Roman" w:cs="Times New Roman" w:eastAsia="Times New Roman" w:hint="default"/>
          <w:spacing w:val="-3"/>
        </w:rPr>
        <w:t>GR201612000219</w:t>
      </w:r>
      <w:r>
        <w:rPr>
          <w:spacing w:val="-3"/>
        </w:rPr>
        <w:t>的高新技术企业证书。</w:t>
      </w:r>
      <w:r>
        <w:rPr/>
        <w:t> 天津医检从</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年享受减按</w:t>
      </w:r>
      <w:r>
        <w:rPr>
          <w:rFonts w:ascii="Times New Roman" w:hAnsi="Times New Roman" w:cs="Times New Roman" w:eastAsia="Times New Roman" w:hint="default"/>
        </w:rPr>
        <w:t>15%</w:t>
      </w:r>
      <w:r>
        <w:rPr/>
        <w:t>的税率征收企业所得税的税收优惠。</w:t>
      </w:r>
    </w:p>
    <w:p>
      <w:pPr>
        <w:pStyle w:val="BodyText"/>
        <w:spacing w:line="300" w:lineRule="auto" w:before="13"/>
        <w:ind w:left="513" w:right="94" w:firstLine="40"/>
        <w:jc w:val="left"/>
      </w:pPr>
      <w:r>
        <w:rPr/>
        <w:t>（</w:t>
      </w:r>
      <w:r>
        <w:rPr>
          <w:rFonts w:ascii="Times New Roman" w:hAnsi="Times New Roman" w:cs="Times New Roman" w:eastAsia="Times New Roman" w:hint="default"/>
        </w:rPr>
        <w:t>9</w:t>
      </w:r>
      <w:r>
        <w:rPr/>
        <w:t>）武汉生物科技 根据湖北省高新技术企业认定管理委员会办公室于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日出具的《关于湖北省</w:t>
      </w:r>
      <w:r>
        <w:rPr>
          <w:rFonts w:ascii="Times New Roman" w:hAnsi="Times New Roman" w:cs="Times New Roman" w:eastAsia="Times New Roman" w:hint="default"/>
        </w:rPr>
        <w:t>2016</w:t>
      </w:r>
      <w:r>
        <w:rPr/>
        <w:t>年第一批拟认定高新技术</w:t>
      </w:r>
    </w:p>
    <w:p>
      <w:pPr>
        <w:pStyle w:val="BodyText"/>
        <w:spacing w:line="300" w:lineRule="auto" w:before="13"/>
        <w:ind w:right="193"/>
        <w:jc w:val="both"/>
      </w:pPr>
      <w:r>
        <w:rPr>
          <w:spacing w:val="-3"/>
        </w:rPr>
        <w:t>企业名单的公示》，武汉生物科技被认定为国家高新技术企业。武汉生物科技于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13</w:t>
      </w:r>
      <w:r>
        <w:rPr>
          <w:spacing w:val="-3"/>
        </w:rPr>
        <w:t>日取得编号为</w:t>
      </w:r>
      <w:r>
        <w:rPr>
          <w:rFonts w:ascii="Times New Roman" w:hAnsi="Times New Roman" w:cs="Times New Roman" w:eastAsia="Times New Roman" w:hint="default"/>
          <w:spacing w:val="-3"/>
        </w:rPr>
        <w:t>GR201642001356</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的高新技术企业证书。武汉生物科技从</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年享受减按</w:t>
      </w:r>
      <w:r>
        <w:rPr>
          <w:rFonts w:ascii="Times New Roman" w:hAnsi="Times New Roman" w:cs="Times New Roman" w:eastAsia="Times New Roman" w:hint="default"/>
        </w:rPr>
        <w:t>15%</w:t>
      </w:r>
      <w:r>
        <w:rPr/>
        <w:t>的税率征收企业所得税的税收优惠。</w:t>
      </w:r>
    </w:p>
    <w:p>
      <w:pPr>
        <w:pStyle w:val="BodyText"/>
        <w:spacing w:line="300" w:lineRule="auto" w:before="13"/>
        <w:ind w:left="513" w:right="94" w:firstLine="40"/>
        <w:jc w:val="left"/>
      </w:pPr>
      <w:r>
        <w:rPr/>
        <w:t>（</w:t>
      </w:r>
      <w:r>
        <w:rPr>
          <w:rFonts w:ascii="Times New Roman" w:hAnsi="Times New Roman" w:cs="Times New Roman" w:eastAsia="Times New Roman" w:hint="default"/>
        </w:rPr>
        <w:t>10</w:t>
      </w:r>
      <w:r>
        <w:rPr/>
        <w:t>）重庆医检 </w:t>
      </w:r>
      <w:r>
        <w:rPr>
          <w:spacing w:val="6"/>
        </w:rPr>
        <w:t>根据重庆市渝北区国家税务局于</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26</w:t>
      </w:r>
      <w:r>
        <w:rPr>
          <w:spacing w:val="6"/>
        </w:rPr>
        <w:t>日出具的《重庆市渝北区国家税务局税务事项通知书》（渝北国税通</w:t>
      </w:r>
      <w:r>
        <w:rPr/>
      </w:r>
    </w:p>
    <w:p>
      <w:pPr>
        <w:pStyle w:val="BodyText"/>
        <w:spacing w:line="300" w:lineRule="auto" w:before="13"/>
        <w:ind w:right="191"/>
        <w:jc w:val="both"/>
      </w:pPr>
      <w:r>
        <w:rPr>
          <w:rFonts w:ascii="Times New Roman" w:hAnsi="Times New Roman" w:cs="Times New Roman" w:eastAsia="Times New Roman" w:hint="default"/>
          <w:spacing w:val="-1"/>
        </w:rPr>
        <w:t>[2018]4090</w:t>
      </w:r>
      <w:r>
        <w:rPr>
          <w:spacing w:val="-1"/>
        </w:rPr>
        <w:t>号），重庆华大医学检验所有限公司（以下简称“重庆医检”）符合《财政部、海关总署、国家税务总局关于深</w:t>
      </w:r>
      <w:r>
        <w:rPr>
          <w:spacing w:val="-61"/>
        </w:rPr>
        <w:t> </w:t>
      </w:r>
      <w:r>
        <w:rPr>
          <w:spacing w:val="-61"/>
        </w:rPr>
      </w:r>
      <w:r>
        <w:rPr/>
        <w:t>入实施西部大开发战略有关税收政策问题的通知》财税</w:t>
      </w:r>
      <w:r>
        <w:rPr>
          <w:rFonts w:ascii="Times New Roman" w:hAnsi="Times New Roman" w:cs="Times New Roman" w:eastAsia="Times New Roman" w:hint="default"/>
        </w:rPr>
        <w:t>[2011]58</w:t>
      </w:r>
      <w:r>
        <w:rPr/>
        <w:t>号第二条规定，</w:t>
      </w:r>
      <w:r>
        <w:rPr>
          <w:rFonts w:ascii="Times New Roman" w:hAnsi="Times New Roman" w:cs="Times New Roman" w:eastAsia="Times New Roman" w:hint="default"/>
        </w:rPr>
        <w:t>2017</w:t>
      </w:r>
      <w:r>
        <w:rPr/>
        <w:t>年度可享受减按</w:t>
      </w:r>
      <w:r>
        <w:rPr>
          <w:rFonts w:ascii="Times New Roman" w:hAnsi="Times New Roman" w:cs="Times New Roman" w:eastAsia="Times New Roman" w:hint="default"/>
        </w:rPr>
        <w:t>15%</w:t>
      </w:r>
      <w:r>
        <w:rPr/>
        <w:t>的税率征收企业所</w:t>
      </w:r>
      <w:r>
        <w:rPr>
          <w:spacing w:val="-88"/>
        </w:rPr>
        <w:t> </w:t>
      </w:r>
      <w:r>
        <w:rPr/>
        <w:t>得税的税收优惠。</w:t>
      </w:r>
    </w:p>
    <w:p>
      <w:pPr>
        <w:pStyle w:val="Heading4"/>
        <w:spacing w:line="240" w:lineRule="auto" w:before="31"/>
        <w:ind w:right="0"/>
        <w:jc w:val="both"/>
        <w:rPr>
          <w:b w:val="0"/>
          <w:bCs w:val="0"/>
        </w:rPr>
      </w:pPr>
      <w:r>
        <w:rPr/>
        <w:t>增值税优惠政策</w:t>
      </w:r>
      <w:r>
        <w:rPr>
          <w:b w:val="0"/>
          <w:bCs w:val="0"/>
        </w:rPr>
      </w:r>
    </w:p>
    <w:p>
      <w:pPr>
        <w:pStyle w:val="BodyText"/>
        <w:spacing w:line="300" w:lineRule="auto" w:before="77"/>
        <w:ind w:left="513" w:right="94" w:firstLine="40"/>
        <w:jc w:val="left"/>
      </w:pPr>
      <w:r>
        <w:rPr/>
        <w:t>（</w:t>
      </w:r>
      <w:r>
        <w:rPr>
          <w:rFonts w:ascii="Times New Roman" w:hAnsi="Times New Roman" w:cs="Times New Roman" w:eastAsia="Times New Roman" w:hint="default"/>
        </w:rPr>
        <w:t>1</w:t>
      </w:r>
      <w:r>
        <w:rPr/>
        <w:t>）</w:t>
      </w:r>
      <w:r>
        <w:rPr>
          <w:spacing w:val="-47"/>
        </w:rPr>
        <w:t> </w:t>
      </w:r>
      <w:r>
        <w:rPr/>
        <w:t>华大基因</w:t>
      </w:r>
      <w:r>
        <w:rPr/>
        <w:t> </w:t>
      </w:r>
      <w:r>
        <w:rPr>
          <w:spacing w:val="-2"/>
        </w:rPr>
        <w:t>根据《深圳市国家税务局增值税、消费税税收优惠备案通知书》（深国税盐减免备［</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0368</w:t>
      </w:r>
      <w:r>
        <w:rPr>
          <w:spacing w:val="-2"/>
        </w:rPr>
        <w:t>号），深圳华大基因股</w:t>
      </w:r>
    </w:p>
    <w:p>
      <w:pPr>
        <w:pStyle w:val="BodyText"/>
        <w:spacing w:line="300" w:lineRule="auto" w:before="13"/>
        <w:ind w:right="94"/>
        <w:jc w:val="left"/>
      </w:pPr>
      <w:r>
        <w:rPr/>
        <w:t>份有限公司（以下简称“华大基因”）已按《关于将铁路运输业和邮政业纳入营业税改增值税试点的通知》（财税［</w:t>
      </w:r>
      <w:r>
        <w:rPr>
          <w:rFonts w:ascii="Times New Roman" w:hAnsi="Times New Roman" w:cs="Times New Roman" w:eastAsia="Times New Roman" w:hint="default"/>
        </w:rPr>
        <w:t>2013</w:t>
      </w:r>
      <w:r>
        <w:rPr/>
        <w:t>］</w:t>
      </w:r>
      <w:r>
        <w:rPr>
          <w:spacing w:val="-82"/>
        </w:rPr>
        <w:t> </w:t>
      </w:r>
      <w:r>
        <w:rPr>
          <w:rFonts w:ascii="Times New Roman" w:hAnsi="Times New Roman" w:cs="Times New Roman" w:eastAsia="Times New Roman" w:hint="default"/>
          <w:spacing w:val="-2"/>
        </w:rPr>
        <w:t>106</w:t>
      </w:r>
      <w:r>
        <w:rPr>
          <w:spacing w:val="-2"/>
        </w:rPr>
        <w:t>号）的规定在深圳市盐田区国家税务局作备案登记。该次备案有效期起：</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w:t>
      </w:r>
      <w:r>
        <w:rPr>
          <w:spacing w:val="-2"/>
        </w:rPr>
        <w:t>日，该优惠项目的增值税进项税额</w:t>
      </w:r>
      <w:r>
        <w:rPr>
          <w:spacing w:val="-58"/>
        </w:rPr>
        <w:t> </w:t>
      </w:r>
      <w:r>
        <w:rPr>
          <w:spacing w:val="-58"/>
        </w:rPr>
      </w:r>
      <w:r>
        <w:rPr/>
        <w:t>为单独核算，进项税额核算方式选择后</w:t>
      </w:r>
      <w:r>
        <w:rPr>
          <w:rFonts w:ascii="Times New Roman" w:hAnsi="Times New Roman" w:cs="Times New Roman" w:eastAsia="Times New Roman" w:hint="default"/>
        </w:rPr>
        <w:t>36</w:t>
      </w:r>
      <w:r>
        <w:rPr/>
        <w:t>个月内不得变更。</w:t>
      </w:r>
      <w:r>
        <w:rPr>
          <w:rFonts w:ascii="Times New Roman" w:hAnsi="Times New Roman" w:cs="Times New Roman" w:eastAsia="Times New Roman" w:hint="default"/>
        </w:rPr>
        <w:t>2017</w:t>
      </w:r>
      <w:r>
        <w:rPr/>
        <w:t>年华大基因对该优惠项目核算方式未发生变更。</w:t>
      </w:r>
    </w:p>
    <w:p>
      <w:pPr>
        <w:pStyle w:val="BodyText"/>
        <w:spacing w:line="300" w:lineRule="auto" w:before="13"/>
        <w:ind w:left="513" w:right="94" w:firstLine="40"/>
        <w:jc w:val="left"/>
      </w:pPr>
      <w:r>
        <w:rPr/>
        <w:t>（</w:t>
      </w:r>
      <w:r>
        <w:rPr>
          <w:rFonts w:ascii="Times New Roman" w:hAnsi="Times New Roman" w:cs="Times New Roman" w:eastAsia="Times New Roman" w:hint="default"/>
        </w:rPr>
        <w:t>2</w:t>
      </w:r>
      <w:r>
        <w:rPr/>
        <w:t>）</w:t>
      </w:r>
      <w:r>
        <w:rPr>
          <w:spacing w:val="-47"/>
        </w:rPr>
        <w:t> </w:t>
      </w:r>
      <w:r>
        <w:rPr/>
        <w:t>华大科技</w:t>
      </w:r>
      <w:r>
        <w:rPr/>
        <w:t> </w:t>
      </w:r>
      <w:r>
        <w:rPr>
          <w:spacing w:val="-1"/>
        </w:rPr>
        <w:t>根据《深圳市国家税务局增值税、消费税税收优惠备案通知书》（深国税盐减免备</w:t>
      </w:r>
      <w:r>
        <w:rPr>
          <w:rFonts w:ascii="Times New Roman" w:hAnsi="Times New Roman" w:cs="Times New Roman" w:eastAsia="Times New Roman" w:hint="default"/>
          <w:spacing w:val="-1"/>
        </w:rPr>
        <w:t>[2012]0220</w:t>
      </w:r>
      <w:r>
        <w:rPr>
          <w:spacing w:val="-1"/>
        </w:rPr>
        <w:t>号），深圳华大基因科技</w:t>
      </w:r>
    </w:p>
    <w:p>
      <w:pPr>
        <w:pStyle w:val="BodyText"/>
        <w:spacing w:line="307" w:lineRule="auto" w:before="13"/>
        <w:ind w:right="191"/>
        <w:jc w:val="both"/>
      </w:pPr>
      <w:r>
        <w:rPr>
          <w:spacing w:val="-2"/>
        </w:rPr>
        <w:t>服务有限公司（以下简称‘华大科技“）已按《关于在上海市开展交通运输业和部分现代服务业营业税改征增值税试点的通</w:t>
      </w:r>
      <w:r>
        <w:rPr>
          <w:spacing w:val="-65"/>
        </w:rPr>
        <w:t> </w:t>
      </w:r>
      <w:r>
        <w:rPr>
          <w:spacing w:val="-65"/>
        </w:rPr>
      </w:r>
      <w:r>
        <w:rPr>
          <w:spacing w:val="-1"/>
        </w:rPr>
        <w:t>知》（财税</w:t>
      </w:r>
      <w:r>
        <w:rPr>
          <w:rFonts w:ascii="Times New Roman" w:hAnsi="Times New Roman" w:cs="Times New Roman" w:eastAsia="Times New Roman" w:hint="default"/>
          <w:spacing w:val="-1"/>
        </w:rPr>
        <w:t>[2011]111</w:t>
      </w:r>
      <w:r>
        <w:rPr>
          <w:spacing w:val="-1"/>
        </w:rPr>
        <w:t>号）、《关于在北京等</w:t>
      </w:r>
      <w:r>
        <w:rPr>
          <w:rFonts w:ascii="Times New Roman" w:hAnsi="Times New Roman" w:cs="Times New Roman" w:eastAsia="Times New Roman" w:hint="default"/>
          <w:spacing w:val="-1"/>
        </w:rPr>
        <w:t>8</w:t>
      </w:r>
      <w:r>
        <w:rPr>
          <w:spacing w:val="-1"/>
        </w:rPr>
        <w:t>省市开展交通运输业和部分现代服务业营业税改征增值税试点的通知》（财税</w:t>
      </w:r>
      <w:r>
        <w:rPr>
          <w:spacing w:val="-59"/>
        </w:rPr>
        <w:t> </w:t>
      </w:r>
      <w:r>
        <w:rPr>
          <w:spacing w:val="-59"/>
        </w:rPr>
      </w:r>
      <w:r>
        <w:rPr>
          <w:rFonts w:ascii="Times New Roman" w:hAnsi="Times New Roman" w:cs="Times New Roman" w:eastAsia="Times New Roman" w:hint="default"/>
          <w:spacing w:val="-1"/>
        </w:rPr>
        <w:t>[2012]71</w:t>
      </w:r>
      <w:r>
        <w:rPr>
          <w:spacing w:val="-1"/>
        </w:rPr>
        <w:t>号）的规定，在深圳市盐田区国家税务局作备案登记，该优惠项目的增值税进项税额为单独核算，进项税额核算方</w:t>
      </w:r>
      <w:r>
        <w:rPr>
          <w:spacing w:val="-57"/>
        </w:rPr>
        <w:t> </w:t>
      </w:r>
      <w:r>
        <w:rPr>
          <w:spacing w:val="-57"/>
        </w:rPr>
      </w:r>
      <w:r>
        <w:rPr/>
        <w:t>式选择后</w:t>
      </w:r>
      <w:r>
        <w:rPr>
          <w:rFonts w:ascii="Times New Roman" w:hAnsi="Times New Roman" w:cs="Times New Roman" w:eastAsia="Times New Roman" w:hint="default"/>
        </w:rPr>
        <w:t>36</w:t>
      </w:r>
      <w:r>
        <w:rPr/>
        <w:t>后</w:t>
      </w:r>
      <w:r>
        <w:rPr>
          <w:rFonts w:ascii="Times New Roman" w:hAnsi="Times New Roman" w:cs="Times New Roman" w:eastAsia="Times New Roman" w:hint="default"/>
        </w:rPr>
        <w:t>36</w:t>
      </w:r>
      <w:r>
        <w:rPr/>
        <w:t>个月内不得变更。</w:t>
      </w:r>
      <w:r>
        <w:rPr>
          <w:rFonts w:ascii="Times New Roman" w:hAnsi="Times New Roman" w:cs="Times New Roman" w:eastAsia="Times New Roman" w:hint="default"/>
        </w:rPr>
        <w:t>2017</w:t>
      </w:r>
      <w:r>
        <w:rPr/>
        <w:t>年华大科技对该优惠项目核算方式未发生变更。</w:t>
      </w:r>
    </w:p>
    <w:p>
      <w:pPr>
        <w:pStyle w:val="BodyText"/>
        <w:spacing w:line="240" w:lineRule="auto" w:before="7"/>
        <w:ind w:left="554" w:right="94"/>
        <w:jc w:val="left"/>
      </w:pPr>
      <w:r>
        <w:rPr/>
        <w:t>（</w:t>
      </w:r>
      <w:r>
        <w:rPr>
          <w:rFonts w:ascii="Times New Roman" w:hAnsi="Times New Roman" w:cs="Times New Roman" w:eastAsia="Times New Roman" w:hint="default"/>
        </w:rPr>
        <w:t>3</w:t>
      </w:r>
      <w:r>
        <w:rPr/>
        <w:t>）</w:t>
      </w:r>
      <w:r>
        <w:rPr>
          <w:spacing w:val="-46"/>
        </w:rPr>
        <w:t> </w:t>
      </w:r>
      <w:r>
        <w:rPr/>
        <w:t>深圳临检</w:t>
      </w:r>
    </w:p>
    <w:p>
      <w:pPr>
        <w:spacing w:after="0" w:line="240" w:lineRule="auto"/>
        <w:jc w:val="left"/>
        <w:sectPr>
          <w:pgSz w:w="11910" w:h="16840"/>
          <w:pgMar w:header="880" w:footer="974" w:top="1100" w:bottom="1160" w:left="980" w:right="940"/>
        </w:sectPr>
      </w:pPr>
    </w:p>
    <w:p>
      <w:pPr>
        <w:spacing w:line="240" w:lineRule="auto" w:before="0"/>
        <w:rPr>
          <w:rFonts w:ascii="宋体" w:hAnsi="宋体" w:cs="宋体" w:eastAsia="宋体" w:hint="default"/>
          <w:sz w:val="22"/>
          <w:szCs w:val="22"/>
        </w:rPr>
      </w:pPr>
    </w:p>
    <w:p>
      <w:pPr>
        <w:pStyle w:val="BodyText"/>
        <w:spacing w:line="300" w:lineRule="auto" w:before="44"/>
        <w:ind w:right="149" w:firstLine="360"/>
        <w:jc w:val="both"/>
      </w:pPr>
      <w:r>
        <w:rPr>
          <w:spacing w:val="-1"/>
        </w:rPr>
        <w:t>根据《深圳市国家税务局增值税、消费税税收优惠备案通知书》（深国税盐减免备</w:t>
      </w:r>
      <w:r>
        <w:rPr>
          <w:rFonts w:ascii="Times New Roman" w:hAnsi="Times New Roman" w:cs="Times New Roman" w:eastAsia="Times New Roman" w:hint="default"/>
          <w:spacing w:val="-1"/>
        </w:rPr>
        <w:t>[2016]0067</w:t>
      </w:r>
      <w:r>
        <w:rPr>
          <w:spacing w:val="-1"/>
        </w:rPr>
        <w:t>号），深圳华大临床检验</w:t>
      </w:r>
      <w:r>
        <w:rPr/>
        <w:t> 中心（以下简称“深圳临检“）已按《财政部 国家税务总局关于全面推开营业税改征增值税试点的通知》（财税</w:t>
      </w:r>
      <w:r>
        <w:rPr>
          <w:rFonts w:ascii="Times New Roman" w:hAnsi="Times New Roman" w:cs="Times New Roman" w:eastAsia="Times New Roman" w:hint="default"/>
        </w:rPr>
        <w:t>[2016]</w:t>
      </w:r>
      <w:r>
        <w:rPr>
          <w:rFonts w:ascii="Times New Roman" w:hAnsi="Times New Roman" w:cs="Times New Roman" w:eastAsia="Times New Roman" w:hint="default"/>
          <w:spacing w:val="22"/>
        </w:rPr>
        <w:t> </w:t>
      </w:r>
      <w:r>
        <w:rPr>
          <w:rFonts w:ascii="Times New Roman" w:hAnsi="Times New Roman" w:cs="Times New Roman" w:eastAsia="Times New Roman" w:hint="default"/>
        </w:rPr>
        <w:t>36</w:t>
      </w:r>
      <w:r>
        <w:rPr>
          <w:rFonts w:ascii="Times New Roman" w:hAnsi="Times New Roman" w:cs="Times New Roman" w:eastAsia="Times New Roman" w:hint="default"/>
        </w:rPr>
        <w:t> </w:t>
      </w:r>
      <w:r>
        <w:rPr>
          <w:spacing w:val="-2"/>
        </w:rPr>
        <w:t>号），于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日在深圳市国家税务局作备案登记，深圳临检自</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日起提供的医疗服务免征增值税。该优惠项</w:t>
      </w:r>
      <w:r>
        <w:rPr>
          <w:spacing w:val="-56"/>
        </w:rPr>
        <w:t> </w:t>
      </w:r>
      <w:r>
        <w:rPr>
          <w:spacing w:val="-56"/>
        </w:rPr>
      </w:r>
      <w:r>
        <w:rPr>
          <w:spacing w:val="-2"/>
        </w:rPr>
        <w:t>目的增值税进项税额为单独核算，进项税额核算方式选择后</w:t>
      </w:r>
      <w:r>
        <w:rPr>
          <w:rFonts w:ascii="Times New Roman" w:hAnsi="Times New Roman" w:cs="Times New Roman" w:eastAsia="Times New Roman" w:hint="default"/>
          <w:spacing w:val="-2"/>
        </w:rPr>
        <w:t>36</w:t>
      </w:r>
      <w:r>
        <w:rPr>
          <w:spacing w:val="-2"/>
        </w:rPr>
        <w:t>个月内不得变更。</w:t>
      </w:r>
      <w:r>
        <w:rPr>
          <w:rFonts w:ascii="Times New Roman" w:hAnsi="Times New Roman" w:cs="Times New Roman" w:eastAsia="Times New Roman" w:hint="default"/>
          <w:spacing w:val="-2"/>
        </w:rPr>
        <w:t>2017</w:t>
      </w:r>
      <w:r>
        <w:rPr>
          <w:spacing w:val="-2"/>
        </w:rPr>
        <w:t>年深圳临检对该优惠项目的核算方式未</w:t>
      </w:r>
      <w:r>
        <w:rPr>
          <w:spacing w:val="-63"/>
        </w:rPr>
        <w:t> </w:t>
      </w:r>
      <w:r>
        <w:rPr>
          <w:spacing w:val="-63"/>
        </w:rPr>
      </w:r>
      <w:r>
        <w:rPr/>
        <w:t>发生变更。</w:t>
      </w:r>
    </w:p>
    <w:p>
      <w:pPr>
        <w:pStyle w:val="BodyText"/>
        <w:spacing w:line="240" w:lineRule="auto" w:before="31"/>
        <w:ind w:left="554" w:right="141"/>
        <w:jc w:val="left"/>
      </w:pPr>
      <w:r>
        <w:rPr/>
        <w:t>（</w:t>
      </w:r>
      <w:r>
        <w:rPr>
          <w:rFonts w:ascii="Times New Roman" w:hAnsi="Times New Roman" w:cs="Times New Roman" w:eastAsia="Times New Roman" w:hint="default"/>
        </w:rPr>
        <w:t>4</w:t>
      </w:r>
      <w:r>
        <w:rPr/>
        <w:t>）</w:t>
      </w:r>
      <w:r>
        <w:rPr>
          <w:spacing w:val="-46"/>
        </w:rPr>
        <w:t> </w:t>
      </w:r>
      <w:r>
        <w:rPr/>
        <w:t>广州医检</w:t>
      </w:r>
    </w:p>
    <w:p>
      <w:pPr>
        <w:pStyle w:val="BodyText"/>
        <w:spacing w:line="300" w:lineRule="auto" w:before="63"/>
        <w:ind w:right="148" w:firstLine="360"/>
        <w:jc w:val="both"/>
      </w:pPr>
      <w:r>
        <w:rPr>
          <w:spacing w:val="-3"/>
        </w:rPr>
        <w:t>根据《广州市番禺区国家税务局税务事项通知书》（穗番国税</w:t>
      </w:r>
      <w:r>
        <w:rPr>
          <w:spacing w:val="-32"/>
        </w:rPr>
        <w:t> </w:t>
      </w:r>
      <w:r>
        <w:rPr/>
        <w:t>税通</w:t>
      </w:r>
      <w:r>
        <w:rPr>
          <w:rFonts w:ascii="Times New Roman" w:hAnsi="Times New Roman" w:cs="Times New Roman" w:eastAsia="Times New Roman" w:hint="default"/>
        </w:rPr>
        <w:t>[2016]50681</w:t>
      </w:r>
      <w:r>
        <w:rPr/>
        <w:t>号），广州医检于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日在广州 </w:t>
      </w:r>
      <w:r>
        <w:rPr>
          <w:spacing w:val="-2"/>
        </w:rPr>
        <w:t>市番禺区国家税务局备案登记，广州华大基因医学检验所有限公司（下称</w:t>
      </w:r>
      <w:r>
        <w:rPr>
          <w:rFonts w:ascii="Times New Roman" w:hAnsi="Times New Roman" w:cs="Times New Roman" w:eastAsia="Times New Roman" w:hint="default"/>
          <w:spacing w:val="-2"/>
        </w:rPr>
        <w:t>“</w:t>
      </w:r>
      <w:r>
        <w:rPr>
          <w:spacing w:val="-2"/>
        </w:rPr>
        <w:t>广州医检</w:t>
      </w:r>
      <w:r>
        <w:rPr>
          <w:rFonts w:ascii="Times New Roman" w:hAnsi="Times New Roman" w:cs="Times New Roman" w:eastAsia="Times New Roman" w:hint="default"/>
          <w:spacing w:val="-2"/>
        </w:rPr>
        <w:t>”</w:t>
      </w:r>
      <w:r>
        <w:rPr>
          <w:spacing w:val="-2"/>
        </w:rPr>
        <w:t>）自</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日起提供的医疗服务免</w:t>
      </w:r>
      <w:r>
        <w:rPr>
          <w:spacing w:val="-39"/>
        </w:rPr>
        <w:t> </w:t>
      </w:r>
      <w:r>
        <w:rPr>
          <w:spacing w:val="-39"/>
        </w:rPr>
      </w:r>
      <w:r>
        <w:rPr/>
        <w:t>征增值税。</w:t>
      </w:r>
    </w:p>
    <w:p>
      <w:pPr>
        <w:pStyle w:val="BodyText"/>
        <w:spacing w:line="300" w:lineRule="auto" w:before="31"/>
        <w:ind w:left="513" w:right="141" w:firstLine="40"/>
        <w:jc w:val="left"/>
      </w:pPr>
      <w:r>
        <w:rPr/>
        <w:t>（</w:t>
      </w:r>
      <w:r>
        <w:rPr>
          <w:rFonts w:ascii="Times New Roman" w:hAnsi="Times New Roman" w:cs="Times New Roman" w:eastAsia="Times New Roman" w:hint="default"/>
        </w:rPr>
        <w:t>5</w:t>
      </w:r>
      <w:r>
        <w:rPr/>
        <w:t>）</w:t>
      </w:r>
      <w:r>
        <w:rPr>
          <w:spacing w:val="-47"/>
        </w:rPr>
        <w:t> </w:t>
      </w:r>
      <w:r>
        <w:rPr/>
        <w:t>南京医检</w:t>
      </w:r>
      <w:r>
        <w:rPr/>
        <w:t> </w:t>
      </w:r>
      <w:r>
        <w:rPr>
          <w:spacing w:val="-2"/>
        </w:rPr>
        <w:t>根据南京市建邺区国家税务局</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日出具的纳税人减免税备案登记表，南京华大医学检验所有限公司（下称</w:t>
      </w:r>
      <w:r>
        <w:rPr>
          <w:rFonts w:ascii="Times New Roman" w:hAnsi="Times New Roman" w:cs="Times New Roman" w:eastAsia="Times New Roman" w:hint="default"/>
          <w:spacing w:val="-2"/>
        </w:rPr>
        <w:t>“</w:t>
      </w:r>
      <w:r>
        <w:rPr>
          <w:spacing w:val="-2"/>
        </w:rPr>
        <w:t>南</w:t>
      </w:r>
    </w:p>
    <w:p>
      <w:pPr>
        <w:pStyle w:val="BodyText"/>
        <w:spacing w:line="240" w:lineRule="auto" w:before="13"/>
        <w:ind w:right="141"/>
        <w:jc w:val="left"/>
      </w:pPr>
      <w:r>
        <w:rPr/>
        <w:t>京医检</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日起提供的医疗服务免征增值税。</w:t>
      </w:r>
    </w:p>
    <w:p>
      <w:pPr>
        <w:pStyle w:val="BodyText"/>
        <w:spacing w:line="300" w:lineRule="auto" w:before="63"/>
        <w:ind w:left="513" w:right="143" w:firstLine="40"/>
        <w:jc w:val="left"/>
        <w:rPr>
          <w:rFonts w:ascii="Times New Roman" w:hAnsi="Times New Roman" w:cs="Times New Roman" w:eastAsia="Times New Roman" w:hint="default"/>
        </w:rPr>
      </w:pPr>
      <w:r>
        <w:rPr/>
        <w:t>（</w:t>
      </w:r>
      <w:r>
        <w:rPr>
          <w:rFonts w:ascii="Times New Roman" w:hAnsi="Times New Roman" w:cs="Times New Roman" w:eastAsia="Times New Roman" w:hint="default"/>
        </w:rPr>
        <w:t>6</w:t>
      </w:r>
      <w:r>
        <w:rPr/>
        <w:t>）</w:t>
      </w:r>
      <w:r>
        <w:rPr>
          <w:spacing w:val="-47"/>
        </w:rPr>
        <w:t> </w:t>
      </w:r>
      <w:r>
        <w:rPr/>
        <w:t>天津医检</w:t>
      </w:r>
      <w:r>
        <w:rPr/>
        <w:t> 根据天津市保税区国家税务局分别于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日出具的纳税人减免税备案登记表，天津医检自</w:t>
      </w:r>
      <w:r>
        <w:rPr>
          <w:rFonts w:ascii="Times New Roman" w:hAnsi="Times New Roman" w:cs="Times New Roman" w:eastAsia="Times New Roman" w:hint="default"/>
        </w:rPr>
        <w:t>2016</w:t>
      </w:r>
    </w:p>
    <w:p>
      <w:pPr>
        <w:pStyle w:val="BodyText"/>
        <w:spacing w:line="240" w:lineRule="auto" w:before="13"/>
        <w:ind w:right="141"/>
        <w:jc w:val="left"/>
      </w:pP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日止提供的医疗服务免征增值税。</w:t>
      </w:r>
    </w:p>
    <w:p>
      <w:pPr>
        <w:pStyle w:val="BodyText"/>
        <w:spacing w:line="300" w:lineRule="auto" w:before="63"/>
        <w:ind w:left="513" w:right="143" w:firstLine="40"/>
        <w:jc w:val="left"/>
      </w:pPr>
      <w:r>
        <w:rPr/>
        <w:t>（</w:t>
      </w:r>
      <w:r>
        <w:rPr>
          <w:rFonts w:ascii="Times New Roman" w:hAnsi="Times New Roman" w:cs="Times New Roman" w:eastAsia="Times New Roman" w:hint="default"/>
        </w:rPr>
        <w:t>7</w:t>
      </w:r>
      <w:r>
        <w:rPr/>
        <w:t>）</w:t>
      </w:r>
      <w:r>
        <w:rPr>
          <w:spacing w:val="-47"/>
        </w:rPr>
        <w:t> </w:t>
      </w:r>
      <w:r>
        <w:rPr/>
        <w:t>武汉医检</w:t>
      </w:r>
      <w:r>
        <w:rPr/>
        <w:t> 根据武汉市东湖新技术开发区国家税务局</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日出具的纳税人减免税备案登记表，武汉医检自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w:t>
      </w:r>
    </w:p>
    <w:p>
      <w:pPr>
        <w:pStyle w:val="BodyText"/>
        <w:spacing w:line="240" w:lineRule="auto" w:before="13"/>
        <w:ind w:right="141"/>
        <w:jc w:val="left"/>
      </w:pPr>
      <w:r>
        <w:rPr/>
        <w:t>提供的医疗服务免征增值税。</w:t>
      </w:r>
    </w:p>
    <w:p>
      <w:pPr>
        <w:pStyle w:val="BodyText"/>
        <w:spacing w:line="300" w:lineRule="auto" w:before="76"/>
        <w:ind w:left="513" w:right="141" w:firstLine="40"/>
        <w:jc w:val="left"/>
      </w:pPr>
      <w:r>
        <w:rPr/>
        <w:t>（</w:t>
      </w:r>
      <w:r>
        <w:rPr>
          <w:rFonts w:ascii="Times New Roman" w:hAnsi="Times New Roman" w:cs="Times New Roman" w:eastAsia="Times New Roman" w:hint="default"/>
        </w:rPr>
        <w:t>8</w:t>
      </w:r>
      <w:r>
        <w:rPr/>
        <w:t>）</w:t>
      </w:r>
      <w:r>
        <w:rPr>
          <w:spacing w:val="-47"/>
        </w:rPr>
        <w:t> </w:t>
      </w:r>
      <w:r>
        <w:rPr/>
        <w:t>优康门诊</w:t>
      </w:r>
      <w:r>
        <w:rPr/>
        <w:t> </w:t>
      </w:r>
      <w:r>
        <w:rPr>
          <w:spacing w:val="-1"/>
        </w:rPr>
        <w:t>根据《深圳市国家税务局增值税、消费税税收优惠备案通知书》（深国税盐减免备</w:t>
      </w:r>
      <w:r>
        <w:rPr>
          <w:rFonts w:ascii="Times New Roman" w:hAnsi="Times New Roman" w:cs="Times New Roman" w:eastAsia="Times New Roman" w:hint="default"/>
          <w:spacing w:val="-1"/>
        </w:rPr>
        <w:t>[2016]0068</w:t>
      </w:r>
      <w:r>
        <w:rPr>
          <w:spacing w:val="-1"/>
        </w:rPr>
        <w:t>号），深圳华大优康门诊</w:t>
      </w:r>
    </w:p>
    <w:p>
      <w:pPr>
        <w:pStyle w:val="BodyText"/>
        <w:spacing w:line="300" w:lineRule="auto" w:before="13"/>
        <w:ind w:right="141"/>
        <w:jc w:val="left"/>
      </w:pPr>
      <w:r>
        <w:rPr>
          <w:spacing w:val="-2"/>
        </w:rPr>
        <w:t>部（下称</w:t>
      </w:r>
      <w:r>
        <w:rPr>
          <w:rFonts w:ascii="Times New Roman" w:hAnsi="Times New Roman" w:cs="Times New Roman" w:eastAsia="Times New Roman" w:hint="default"/>
          <w:spacing w:val="-2"/>
        </w:rPr>
        <w:t>“</w:t>
      </w:r>
      <w:r>
        <w:rPr>
          <w:spacing w:val="-2"/>
        </w:rPr>
        <w:t>优康门诊</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日在深圳市国家税务局作备案登记，优康门诊自</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日起申请的医疗卫生机构提</w:t>
      </w:r>
      <w:r>
        <w:rPr>
          <w:spacing w:val="-39"/>
        </w:rPr>
        <w:t> </w:t>
      </w:r>
      <w:r>
        <w:rPr>
          <w:spacing w:val="-39"/>
        </w:rPr>
      </w:r>
      <w:r>
        <w:rPr/>
        <w:t>供的医疗服务免征增值税。</w:t>
      </w:r>
    </w:p>
    <w:p>
      <w:pPr>
        <w:pStyle w:val="BodyText"/>
        <w:spacing w:line="300" w:lineRule="auto" w:before="31"/>
        <w:ind w:left="513" w:right="141"/>
        <w:jc w:val="left"/>
      </w:pPr>
      <w:r>
        <w:rPr>
          <w:rFonts w:ascii="Times New Roman" w:hAnsi="Times New Roman" w:cs="Times New Roman" w:eastAsia="Times New Roman" w:hint="default"/>
        </w:rPr>
        <w:t>(9)</w:t>
      </w:r>
      <w:r>
        <w:rPr/>
        <w:t>长垣医检</w:t>
      </w:r>
      <w:r>
        <w:rPr>
          <w:w w:val="99"/>
        </w:rPr>
        <w:t> </w:t>
      </w:r>
      <w:r>
        <w:rPr>
          <w:spacing w:val="-1"/>
        </w:rPr>
        <w:t>根据《河南省长垣县国家税务局税务事项通知书》（长垣国税税通</w:t>
      </w:r>
      <w:r>
        <w:rPr>
          <w:rFonts w:ascii="Times New Roman" w:hAnsi="Times New Roman" w:cs="Times New Roman" w:eastAsia="Times New Roman" w:hint="default"/>
          <w:spacing w:val="-1"/>
        </w:rPr>
        <w:t>[2017]1288</w:t>
      </w:r>
      <w:r>
        <w:rPr>
          <w:spacing w:val="-1"/>
        </w:rPr>
        <w:t>号），长垣华大医学检验所有限公司（下</w:t>
      </w:r>
    </w:p>
    <w:p>
      <w:pPr>
        <w:pStyle w:val="BodyText"/>
        <w:spacing w:line="300" w:lineRule="auto" w:before="13"/>
        <w:ind w:right="141"/>
        <w:jc w:val="left"/>
      </w:pPr>
      <w:r>
        <w:rPr/>
        <w:t>称</w:t>
      </w:r>
      <w:r>
        <w:rPr>
          <w:rFonts w:ascii="Times New Roman" w:hAnsi="Times New Roman" w:cs="Times New Roman" w:eastAsia="Times New Roman" w:hint="default"/>
        </w:rPr>
        <w:t>“</w:t>
      </w:r>
      <w:r>
        <w:rPr/>
        <w:t>长垣医检</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日在长垣县国家税务局备案登记，长垣医检自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日止提供的医</w:t>
      </w:r>
      <w:r>
        <w:rPr>
          <w:spacing w:val="-71"/>
        </w:rPr>
        <w:t> </w:t>
      </w:r>
      <w:r>
        <w:rPr/>
        <w:t>疗服务免征增值税。</w:t>
      </w:r>
    </w:p>
    <w:p>
      <w:pPr>
        <w:pStyle w:val="BodyText"/>
        <w:spacing w:line="300" w:lineRule="auto" w:before="31"/>
        <w:ind w:left="513" w:right="143" w:firstLine="2"/>
        <w:jc w:val="left"/>
      </w:pPr>
      <w:r>
        <w:rPr/>
        <w:t>（</w:t>
      </w:r>
      <w:r>
        <w:rPr>
          <w:rFonts w:ascii="Times New Roman" w:hAnsi="Times New Roman" w:cs="Times New Roman" w:eastAsia="Times New Roman" w:hint="default"/>
        </w:rPr>
        <w:t>10</w:t>
      </w:r>
      <w:r>
        <w:rPr/>
        <w:t>）北京医检 根据北京市顺义区国家税务局</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日出具的纳税人减免税备案登记表，北京华大医学检验所有限公司自</w:t>
      </w:r>
      <w:r>
        <w:rPr>
          <w:rFonts w:ascii="Times New Roman" w:hAnsi="Times New Roman" w:cs="Times New Roman" w:eastAsia="Times New Roman" w:hint="default"/>
        </w:rPr>
        <w:t>2016</w:t>
      </w:r>
      <w:r>
        <w:rPr/>
        <w:t>年</w:t>
      </w:r>
    </w:p>
    <w:p>
      <w:pPr>
        <w:pStyle w:val="BodyText"/>
        <w:spacing w:line="240" w:lineRule="auto" w:before="13"/>
        <w:ind w:right="141"/>
        <w:jc w:val="left"/>
      </w:pP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日起提供医疗服务免征增值税。</w:t>
      </w:r>
    </w:p>
    <w:p>
      <w:pPr>
        <w:pStyle w:val="BodyText"/>
        <w:spacing w:line="300" w:lineRule="auto" w:before="63"/>
        <w:ind w:left="513" w:right="143" w:firstLine="2"/>
        <w:jc w:val="left"/>
      </w:pPr>
      <w:r>
        <w:rPr/>
        <w:t>（</w:t>
      </w:r>
      <w:r>
        <w:rPr>
          <w:rFonts w:ascii="Times New Roman" w:hAnsi="Times New Roman" w:cs="Times New Roman" w:eastAsia="Times New Roman" w:hint="default"/>
        </w:rPr>
        <w:t>11</w:t>
      </w:r>
      <w:r>
        <w:rPr/>
        <w:t>）重庆医检 根据重庆市渝北区国家税务局</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日出具的纳税人减免税备案登记表，重庆医检自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日起提供的医疗</w:t>
      </w:r>
    </w:p>
    <w:p>
      <w:pPr>
        <w:pStyle w:val="BodyText"/>
        <w:spacing w:line="240" w:lineRule="auto" w:before="13"/>
        <w:ind w:right="141"/>
        <w:jc w:val="left"/>
      </w:pPr>
      <w:r>
        <w:rPr/>
        <w:t>服务免征增值税。</w:t>
      </w:r>
    </w:p>
    <w:p>
      <w:pPr>
        <w:pStyle w:val="BodyText"/>
        <w:spacing w:line="300" w:lineRule="auto" w:before="77"/>
        <w:ind w:left="513" w:right="143" w:firstLine="2"/>
        <w:jc w:val="left"/>
      </w:pPr>
      <w:r>
        <w:rPr/>
        <w:t>（</w:t>
      </w:r>
      <w:r>
        <w:rPr>
          <w:rFonts w:ascii="Times New Roman" w:hAnsi="Times New Roman" w:cs="Times New Roman" w:eastAsia="Times New Roman" w:hint="default"/>
        </w:rPr>
        <w:t>12</w:t>
      </w:r>
      <w:r>
        <w:rPr/>
        <w:t>）安徽医检 根据安徽省太和县国家税务局</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日出具的纳税人减免税备案登记表，安徽华大医学检验所有限公司自</w:t>
      </w:r>
      <w:r>
        <w:rPr>
          <w:rFonts w:ascii="Times New Roman" w:hAnsi="Times New Roman" w:cs="Times New Roman" w:eastAsia="Times New Roman" w:hint="default"/>
        </w:rPr>
        <w:t>2017</w:t>
      </w:r>
      <w:r>
        <w:rPr/>
        <w:t>年</w:t>
      </w:r>
    </w:p>
    <w:p>
      <w:pPr>
        <w:pStyle w:val="BodyText"/>
        <w:spacing w:line="240" w:lineRule="auto" w:before="13"/>
        <w:ind w:right="141"/>
        <w:jc w:val="left"/>
      </w:pP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日止提供医疗服务免征增值税。</w:t>
      </w:r>
    </w:p>
    <w:p>
      <w:pPr>
        <w:pStyle w:val="BodyText"/>
        <w:spacing w:line="300" w:lineRule="auto" w:before="63"/>
        <w:ind w:left="513" w:right="143" w:firstLine="2"/>
        <w:jc w:val="left"/>
      </w:pPr>
      <w:r>
        <w:rPr/>
        <w:t>（</w:t>
      </w:r>
      <w:r>
        <w:rPr>
          <w:rFonts w:ascii="Times New Roman" w:hAnsi="Times New Roman" w:cs="Times New Roman" w:eastAsia="Times New Roman" w:hint="default"/>
        </w:rPr>
        <w:t>13</w:t>
      </w:r>
      <w:r>
        <w:rPr/>
        <w:t>）昆华医检 根据昆明市高新技术产业开发区国家税务局</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日出具的纳税人减免税备案登记表，昆华医检自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p>
    <w:p>
      <w:pPr>
        <w:pStyle w:val="BodyText"/>
        <w:spacing w:line="240" w:lineRule="auto" w:before="13"/>
        <w:ind w:right="141"/>
        <w:jc w:val="left"/>
      </w:pPr>
      <w:r>
        <w:rPr/>
        <w:t>起至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日止提供医疗服务免征增值税。</w:t>
      </w:r>
    </w:p>
    <w:p>
      <w:pPr>
        <w:pStyle w:val="BodyText"/>
        <w:spacing w:line="300" w:lineRule="auto" w:before="63"/>
        <w:ind w:left="513" w:right="143" w:firstLine="2"/>
        <w:jc w:val="left"/>
        <w:rPr>
          <w:rFonts w:ascii="Times New Roman" w:hAnsi="Times New Roman" w:cs="Times New Roman" w:eastAsia="Times New Roman" w:hint="default"/>
        </w:rPr>
      </w:pPr>
      <w:r>
        <w:rPr/>
        <w:t>（</w:t>
      </w:r>
      <w:r>
        <w:rPr>
          <w:rFonts w:ascii="Times New Roman" w:hAnsi="Times New Roman" w:cs="Times New Roman" w:eastAsia="Times New Roman" w:hint="default"/>
        </w:rPr>
        <w:t>14</w:t>
      </w:r>
      <w:r>
        <w:rPr/>
        <w:t>）上海医检 根据上海市浦东新区国家税务局</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日出具的纳税人减免税备案登记表，上海华大医学检验所有限公司自</w:t>
      </w:r>
      <w:r>
        <w:rPr>
          <w:rFonts w:ascii="Times New Roman" w:hAnsi="Times New Roman" w:cs="Times New Roman" w:eastAsia="Times New Roman" w:hint="default"/>
        </w:rPr>
        <w:t>2016</w:t>
      </w:r>
    </w:p>
    <w:p>
      <w:pPr>
        <w:pStyle w:val="BodyText"/>
        <w:spacing w:line="240" w:lineRule="auto" w:before="13"/>
        <w:ind w:right="141"/>
        <w:jc w:val="left"/>
      </w:pP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日止，提供医疗服务免征增值税。</w:t>
      </w:r>
    </w:p>
    <w:p>
      <w:pPr>
        <w:spacing w:after="0" w:line="240" w:lineRule="auto"/>
        <w:jc w:val="left"/>
        <w:sectPr>
          <w:pgSz w:w="11910" w:h="16840"/>
          <w:pgMar w:header="880" w:footer="974"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41"/>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t>无</w:t>
      </w:r>
    </w:p>
    <w:p>
      <w:pPr>
        <w:spacing w:line="240" w:lineRule="auto" w:before="3"/>
        <w:rPr>
          <w:rFonts w:ascii="宋体" w:hAnsi="宋体" w:cs="宋体" w:eastAsia="宋体" w:hint="default"/>
          <w:sz w:val="25"/>
          <w:szCs w:val="25"/>
        </w:rPr>
      </w:pPr>
    </w:p>
    <w:p>
      <w:pPr>
        <w:pStyle w:val="Heading2"/>
        <w:spacing w:line="240" w:lineRule="auto"/>
        <w:ind w:right="141"/>
        <w:jc w:val="left"/>
        <w:rPr>
          <w:b w:val="0"/>
          <w:bCs w:val="0"/>
        </w:rPr>
      </w:pPr>
      <w:r>
        <w:rPr/>
        <w:t>七、合并财务报表项目注释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81,921.04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w w:val="95"/>
                <w:sz w:val="18"/>
              </w:rPr>
              <w:t>93,107.11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935,471,881.54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748,355,317.37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11,091,100.04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194,700.00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946,644,902.62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748,643,124.48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267,807,038.29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176,376,146.20</w:t>
            </w:r>
          </w:p>
        </w:tc>
      </w:tr>
    </w:tbl>
    <w:p>
      <w:pPr>
        <w:pStyle w:val="BodyText"/>
        <w:spacing w:line="240" w:lineRule="auto" w:before="51"/>
        <w:ind w:right="141"/>
        <w:jc w:val="left"/>
      </w:pPr>
      <w:r>
        <w:rPr/>
        <w:t>其他说明</w:t>
      </w:r>
    </w:p>
    <w:p>
      <w:pPr>
        <w:pStyle w:val="BodyText"/>
        <w:spacing w:line="300" w:lineRule="auto" w:before="117"/>
        <w:ind w:right="144" w:firstLine="360"/>
        <w:jc w:val="left"/>
      </w:pPr>
      <w:r>
        <w:rPr/>
        <w:t>其他货币资金包括武汉医检与中国招商银行光谷科技支行签订的履约保函的保证金人民币</w:t>
      </w:r>
      <w:r>
        <w:rPr>
          <w:rFonts w:ascii="Times New Roman" w:hAnsi="Times New Roman" w:cs="Times New Roman" w:eastAsia="Times New Roman" w:hint="default"/>
        </w:rPr>
        <w:t>194,700.00</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5"/>
        </w:rPr>
        <w:t>日：人民币</w:t>
      </w:r>
      <w:r>
        <w:rPr>
          <w:rFonts w:ascii="Times New Roman" w:hAnsi="Times New Roman" w:cs="Times New Roman" w:eastAsia="Times New Roman" w:hint="default"/>
          <w:spacing w:val="-5"/>
        </w:rPr>
        <w:t>194,700.00</w:t>
      </w:r>
      <w:r>
        <w:rPr>
          <w:spacing w:val="-5"/>
        </w:rPr>
        <w:t>元）和</w:t>
      </w:r>
      <w:r>
        <w:rPr>
          <w:rFonts w:ascii="Times New Roman" w:hAnsi="Times New Roman" w:cs="Times New Roman" w:eastAsia="Times New Roman" w:hint="default"/>
          <w:spacing w:val="-5"/>
        </w:rPr>
        <w:t>BGI</w:t>
      </w:r>
      <w:r>
        <w:rPr>
          <w:rFonts w:ascii="Times New Roman" w:hAnsi="Times New Roman" w:cs="Times New Roman" w:eastAsia="Times New Roman" w:hint="default"/>
          <w:spacing w:val="-12"/>
        </w:rPr>
        <w:t> </w:t>
      </w:r>
      <w:r>
        <w:rPr>
          <w:rFonts w:ascii="Times New Roman" w:hAnsi="Times New Roman" w:cs="Times New Roman" w:eastAsia="Times New Roman" w:hint="default"/>
        </w:rPr>
        <w:t>Tech</w:t>
      </w:r>
      <w:r>
        <w:rPr>
          <w:rFonts w:ascii="Times New Roman" w:hAnsi="Times New Roman" w:cs="Times New Roman" w:eastAsia="Times New Roman" w:hint="default"/>
          <w:spacing w:val="-11"/>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13"/>
        </w:rPr>
        <w:t> </w:t>
      </w:r>
      <w:r>
        <w:rPr>
          <w:rFonts w:ascii="Times New Roman" w:hAnsi="Times New Roman" w:cs="Times New Roman" w:eastAsia="Times New Roman" w:hint="default"/>
        </w:rPr>
        <w:t>(HongKong)</w:t>
      </w:r>
      <w:r>
        <w:rPr>
          <w:rFonts w:ascii="Times New Roman" w:hAnsi="Times New Roman" w:cs="Times New Roman" w:eastAsia="Times New Roman" w:hint="default"/>
          <w:spacing w:val="-12"/>
        </w:rPr>
        <w:t> </w:t>
      </w:r>
      <w:r>
        <w:rPr>
          <w:rFonts w:ascii="Times New Roman" w:hAnsi="Times New Roman" w:cs="Times New Roman" w:eastAsia="Times New Roman" w:hint="default"/>
        </w:rPr>
        <w:t>Co.,</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4"/>
        </w:rPr>
        <w:t>LTD</w:t>
      </w:r>
      <w:r>
        <w:rPr>
          <w:spacing w:val="-4"/>
        </w:rPr>
        <w:t>证券账户人民币</w:t>
      </w:r>
      <w:r>
        <w:rPr>
          <w:rFonts w:ascii="Times New Roman" w:hAnsi="Times New Roman" w:cs="Times New Roman" w:eastAsia="Times New Roman" w:hint="default"/>
          <w:spacing w:val="-4"/>
        </w:rPr>
        <w:t>10,896,400.04</w:t>
      </w:r>
      <w:r>
        <w:rPr>
          <w:spacing w:val="-4"/>
        </w:rPr>
        <w:t>元（</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日：无）。</w:t>
      </w:r>
    </w:p>
    <w:p>
      <w:pPr>
        <w:pStyle w:val="BodyText"/>
        <w:spacing w:line="240" w:lineRule="auto" w:before="13"/>
        <w:ind w:left="513" w:right="141"/>
        <w:jc w:val="left"/>
        <w:rPr>
          <w:rFonts w:ascii="Times New Roman" w:hAnsi="Times New Roman" w:cs="Times New Roman" w:eastAsia="Times New Roman" w:hint="default"/>
        </w:rPr>
      </w:pP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日，公司的使用权受到限制的货币资金人民币</w:t>
      </w:r>
      <w:r>
        <w:rPr>
          <w:rFonts w:ascii="Times New Roman" w:hAnsi="Times New Roman" w:cs="Times New Roman" w:eastAsia="Times New Roman" w:hint="default"/>
        </w:rPr>
        <w:t>194,700.00</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spacing w:val="-13"/>
        </w:rPr>
        <w:t> </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194,700.00</w:t>
      </w:r>
    </w:p>
    <w:p>
      <w:pPr>
        <w:pStyle w:val="BodyText"/>
        <w:spacing w:line="240" w:lineRule="auto" w:before="63"/>
        <w:ind w:right="141"/>
        <w:jc w:val="left"/>
      </w:pPr>
      <w:r>
        <w:rPr/>
        <w:t>元）。</w:t>
      </w:r>
    </w:p>
    <w:p>
      <w:pPr>
        <w:pStyle w:val="BodyText"/>
        <w:spacing w:line="300" w:lineRule="auto" w:before="76"/>
        <w:ind w:right="141" w:firstLine="360"/>
        <w:jc w:val="left"/>
      </w:pPr>
      <w:r>
        <w:rPr>
          <w:spacing w:val="-2"/>
        </w:rPr>
        <w:t>银行活期存款按照银行活期存款利率取得利息收入。短期定期存款的存款期分为</w:t>
      </w:r>
      <w:r>
        <w:rPr>
          <w:rFonts w:ascii="Times New Roman" w:hAnsi="Times New Roman" w:cs="Times New Roman" w:eastAsia="Times New Roman" w:hint="default"/>
          <w:spacing w:val="-2"/>
        </w:rPr>
        <w:t>1</w:t>
      </w:r>
      <w:r>
        <w:rPr>
          <w:spacing w:val="-2"/>
        </w:rPr>
        <w:t>个月至</w:t>
      </w:r>
      <w:r>
        <w:rPr>
          <w:rFonts w:ascii="Times New Roman" w:hAnsi="Times New Roman" w:cs="Times New Roman" w:eastAsia="Times New Roman" w:hint="default"/>
          <w:spacing w:val="-2"/>
        </w:rPr>
        <w:t>3</w:t>
      </w:r>
      <w:r>
        <w:rPr>
          <w:spacing w:val="-2"/>
        </w:rPr>
        <w:t>个月不等，依公司的现金需求</w:t>
      </w:r>
      <w:r>
        <w:rPr/>
        <w:t> 而定，并按照相应的银行定期存款利率取得利息收入。</w:t>
      </w:r>
    </w:p>
    <w:p>
      <w:pPr>
        <w:spacing w:line="240" w:lineRule="auto" w:before="7"/>
        <w:rPr>
          <w:rFonts w:ascii="宋体" w:hAnsi="宋体" w:cs="宋体" w:eastAsia="宋体" w:hint="default"/>
          <w:sz w:val="23"/>
          <w:szCs w:val="23"/>
        </w:rPr>
      </w:pPr>
    </w:p>
    <w:p>
      <w:pPr>
        <w:pStyle w:val="Heading3"/>
        <w:spacing w:line="240" w:lineRule="auto"/>
        <w:ind w:right="141"/>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7"/>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542,777.00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16,542,777.00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1,159,442.46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1,159,442.46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0"/>
        <w:rPr>
          <w:rFonts w:ascii="宋体" w:hAnsi="宋体" w:cs="宋体" w:eastAsia="宋体" w:hint="default"/>
          <w:sz w:val="24"/>
          <w:szCs w:val="24"/>
        </w:rPr>
      </w:pPr>
    </w:p>
    <w:p>
      <w:pPr>
        <w:pStyle w:val="Heading3"/>
        <w:spacing w:line="240" w:lineRule="auto"/>
        <w:ind w:left="140" w:right="0"/>
        <w:jc w:val="left"/>
        <w:rPr>
          <w:b w:val="0"/>
          <w:bCs w:val="0"/>
        </w:rPr>
      </w:pPr>
      <w:r>
        <w:rPr/>
        <w:pict>
          <v:group style="position:absolute;margin-left:70.559998pt;margin-top:-.476309pt;width:700.95pt;height:.1pt;mso-position-horizontal-relative:page;mso-position-vertical-relative:paragraph;z-index:2008" coordorigin="1411,-10" coordsize="14019,2">
            <v:shape style="position:absolute;left:1411;top:-10;width:14019;height:2" coordorigin="1411,-10" coordsize="14019,0" path="m1411,-10l15430,-10e" filled="false" stroked="true" strokeweight=".72pt" strokecolor="#000000">
              <v:path arrowok="t"/>
            </v:shape>
            <w10:wrap type="none"/>
          </v:group>
        </w:pict>
      </w:r>
      <w:r>
        <w:rPr>
          <w:rFonts w:ascii="Times New Roman" w:hAnsi="Times New Roman" w:cs="Times New Roman" w:eastAsia="Times New Roman" w:hint="default"/>
        </w:rPr>
        <w:t>3</w:t>
      </w:r>
      <w:r>
        <w:rPr/>
        <w:t>、应收账款</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left="140" w:right="0"/>
        <w:jc w:val="left"/>
        <w:rPr>
          <w:b w:val="0"/>
          <w:bCs w:val="0"/>
        </w:rPr>
      </w:pPr>
      <w:r>
        <w:rPr>
          <w:w w:val="95"/>
        </w:rPr>
        <w:t>（</w:t>
      </w:r>
      <w:r>
        <w:rPr>
          <w:rFonts w:ascii="Times New Roman" w:hAnsi="Times New Roman" w:cs="Times New Roman" w:eastAsia="Times New Roman" w:hint="default"/>
          <w:w w:val="95"/>
        </w:rPr>
        <w:t>1</w:t>
      </w:r>
      <w:r>
        <w:rPr>
          <w:w w:val="95"/>
        </w:rPr>
        <w:t>）应收账款分类披露</w:t>
      </w:r>
      <w:r>
        <w:rPr>
          <w:b w:val="0"/>
          <w:bCs w:val="0"/>
        </w:rPr>
      </w:r>
    </w:p>
    <w:p>
      <w:pPr>
        <w:pStyle w:val="BodyText"/>
        <w:spacing w:line="240" w:lineRule="auto" w:before="17"/>
        <w:ind w:left="140" w:right="0"/>
        <w:jc w:val="left"/>
      </w:pPr>
      <w:r>
        <w:rPr/>
        <w:br w:type="column"/>
      </w:r>
      <w:r>
        <w:rPr/>
        <w:t>深圳华大基因股份有限公司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49"/>
          <w:footerReference w:type="default" r:id="rId50"/>
          <w:pgSz w:w="16840" w:h="11910" w:orient="landscape"/>
          <w:pgMar w:header="0" w:footer="0" w:top="800" w:bottom="280" w:left="1300" w:right="1300"/>
          <w:cols w:num="2" w:equalWidth="0">
            <w:col w:w="2037" w:space="8053"/>
            <w:col w:w="4150"/>
          </w:cols>
        </w:sectPr>
      </w:pPr>
    </w:p>
    <w:p>
      <w:pPr>
        <w:spacing w:line="240" w:lineRule="auto" w:before="4"/>
        <w:rPr>
          <w:rFonts w:ascii="宋体" w:hAnsi="宋体" w:cs="宋体" w:eastAsia="宋体" w:hint="default"/>
          <w:sz w:val="24"/>
          <w:szCs w:val="24"/>
        </w:rPr>
      </w:pPr>
    </w:p>
    <w:p>
      <w:pPr>
        <w:pStyle w:val="BodyText"/>
        <w:spacing w:line="240" w:lineRule="auto" w:before="44"/>
        <w:ind w:left="0" w:right="135"/>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68" w:type="dxa"/>
        <w:tblLayout w:type="fixed"/>
        <w:tblCellMar>
          <w:top w:w="0" w:type="dxa"/>
          <w:left w:w="0" w:type="dxa"/>
          <w:bottom w:w="0" w:type="dxa"/>
          <w:right w:w="0" w:type="dxa"/>
        </w:tblCellMar>
        <w:tblLook w:val="01E0"/>
      </w:tblPr>
      <w:tblGrid>
        <w:gridCol w:w="3836"/>
        <w:gridCol w:w="1181"/>
        <w:gridCol w:w="701"/>
        <w:gridCol w:w="1181"/>
        <w:gridCol w:w="778"/>
        <w:gridCol w:w="1174"/>
        <w:gridCol w:w="1181"/>
        <w:gridCol w:w="701"/>
        <w:gridCol w:w="1092"/>
        <w:gridCol w:w="775"/>
        <w:gridCol w:w="1181"/>
      </w:tblGrid>
      <w:tr>
        <w:trPr>
          <w:trHeight w:val="403" w:hRule="exact"/>
        </w:trPr>
        <w:tc>
          <w:tcPr>
            <w:tcW w:w="3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50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3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类别</w:t>
            </w:r>
          </w:p>
        </w:tc>
        <w:tc>
          <w:tcPr>
            <w:tcW w:w="1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6" w:hRule="exact"/>
        </w:trPr>
        <w:tc>
          <w:tcPr>
            <w:tcW w:w="3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3"/>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174"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18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单项金额重大并单独计提坏账准备的应收账款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51,067,164.68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2" w:right="0"/>
              <w:jc w:val="center"/>
              <w:rPr>
                <w:rFonts w:ascii="Times New Roman" w:hAnsi="Times New Roman" w:cs="Times New Roman" w:eastAsia="Times New Roman" w:hint="default"/>
                <w:sz w:val="18"/>
                <w:szCs w:val="18"/>
              </w:rPr>
            </w:pPr>
            <w:r>
              <w:rPr>
                <w:rFonts w:ascii="Times New Roman"/>
                <w:sz w:val="18"/>
              </w:rPr>
              <w:t>5.46%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28,714,834.21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56.23%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22,352,330.47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35,073,105.32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18,446,704.34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52.60%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16,626,400.98</w:t>
            </w:r>
          </w:p>
        </w:tc>
      </w:tr>
      <w:tr>
        <w:trPr>
          <w:trHeight w:val="403" w:hRule="exact"/>
        </w:trPr>
        <w:tc>
          <w:tcPr>
            <w:tcW w:w="3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按信用风险特征组合计提坏账准备的应收账款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833,030,750.21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center"/>
              <w:rPr>
                <w:rFonts w:ascii="Times New Roman" w:hAnsi="Times New Roman" w:cs="Times New Roman" w:eastAsia="Times New Roman" w:hint="default"/>
                <w:sz w:val="18"/>
                <w:szCs w:val="18"/>
              </w:rPr>
            </w:pPr>
            <w:r>
              <w:rPr>
                <w:rFonts w:ascii="Times New Roman"/>
                <w:sz w:val="18"/>
              </w:rPr>
              <w:t>88.99%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43,819,531.93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5.26%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789,211,218.28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616,331,572.92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89.09%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20,987,353.15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595,344,219.77</w:t>
            </w:r>
          </w:p>
        </w:tc>
      </w:tr>
      <w:tr>
        <w:trPr>
          <w:trHeight w:val="401" w:hRule="exact"/>
        </w:trPr>
        <w:tc>
          <w:tcPr>
            <w:tcW w:w="3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单项金额不重大但单独计提坏账准备的应收账款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51,914,813.39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2" w:right="0"/>
              <w:jc w:val="center"/>
              <w:rPr>
                <w:rFonts w:ascii="Times New Roman" w:hAnsi="Times New Roman" w:cs="Times New Roman" w:eastAsia="Times New Roman" w:hint="default"/>
                <w:sz w:val="18"/>
                <w:szCs w:val="18"/>
              </w:rPr>
            </w:pPr>
            <w:r>
              <w:rPr>
                <w:rFonts w:ascii="Times New Roman"/>
                <w:sz w:val="18"/>
              </w:rPr>
              <w:t>5.55%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51,914,813.39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40,378,867.48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40,063,218.06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99.22%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315,649.42</w:t>
            </w:r>
          </w:p>
        </w:tc>
      </w:tr>
      <w:tr>
        <w:trPr>
          <w:trHeight w:val="403" w:hRule="exact"/>
        </w:trPr>
        <w:tc>
          <w:tcPr>
            <w:tcW w:w="3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936,012,728.28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124,449,179.53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13.30%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811,563,548.75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691,783,545.72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79,497,275.55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11.49%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612,286,270.17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76"/>
        <w:ind w:left="0" w:right="133"/>
        <w:jc w:val="right"/>
        <w:rPr>
          <w:rFonts w:ascii="Times New Roman" w:hAnsi="Times New Roman" w:cs="Times New Roman" w:eastAsia="Times New Roman" w:hint="default"/>
        </w:rPr>
      </w:pPr>
      <w:r>
        <w:rPr>
          <w:rFonts w:ascii="Times New Roman"/>
        </w:rPr>
        <w:t>168</w:t>
      </w:r>
    </w:p>
    <w:p>
      <w:pPr>
        <w:spacing w:after="0" w:line="240" w:lineRule="auto"/>
        <w:jc w:val="right"/>
        <w:rPr>
          <w:rFonts w:ascii="Times New Roman" w:hAnsi="Times New Roman" w:cs="Times New Roman" w:eastAsia="Times New Roman" w:hint="default"/>
        </w:rPr>
        <w:sectPr>
          <w:type w:val="continuous"/>
          <w:pgSz w:w="16840" w:h="11910" w:orient="landscape"/>
          <w:pgMar w:top="1060" w:bottom="1160" w:left="1300" w:right="1300"/>
        </w:sectPr>
      </w:pPr>
    </w:p>
    <w:p>
      <w:pPr>
        <w:spacing w:line="240" w:lineRule="auto" w:before="1"/>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footerReference w:type="default" r:id="rId51"/>
          <w:pgSz w:w="11910" w:h="16840"/>
          <w:pgMar w:footer="974" w:header="0" w:top="1100" w:bottom="1160" w:left="980" w:right="980"/>
          <w:pgNumType w:start="169"/>
        </w:sectPr>
      </w:pPr>
    </w:p>
    <w:p>
      <w:pPr>
        <w:pStyle w:val="BodyText"/>
        <w:spacing w:line="240" w:lineRule="auto" w:before="44"/>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31,931,900.93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9,579,570.46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2,600,405.66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2,600,405.66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1,792,983.87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1,792,983.87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1,650,557.95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1,650,557.95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1,543,660.93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1,543,660.93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1,431,619.27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1,431,619.27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1,104,160.00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1,104,160.00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970,720.00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970,720.00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964,710.00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964,710.00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958,365.06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958,365.06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929,968.25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929,968.25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888,820.49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888,820.49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888,490.57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888,490.57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848,262.30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848,262.30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736,570.00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736,570.00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622,400.00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客户十七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602,669.40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602,669.40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3"/>
              <w:jc w:val="center"/>
              <w:rPr>
                <w:rFonts w:ascii="宋体" w:hAnsi="宋体" w:cs="宋体" w:eastAsia="宋体" w:hint="default"/>
                <w:sz w:val="18"/>
                <w:szCs w:val="18"/>
              </w:rPr>
            </w:pPr>
            <w:r>
              <w:rPr>
                <w:rFonts w:ascii="宋体" w:hAnsi="宋体" w:cs="宋体" w:eastAsia="宋体" w:hint="default"/>
                <w:sz w:val="18"/>
                <w:szCs w:val="18"/>
              </w:rPr>
              <w:t>经过减值测试，预计收</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36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回存在不确定性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客户十八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600,900.00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51,067,164.68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28,714,834.21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4" w:top="1100" w:bottom="1160" w:left="980" w:right="980"/>
        </w:sectPr>
      </w:pPr>
    </w:p>
    <w:p>
      <w:pPr>
        <w:pStyle w:val="BodyText"/>
        <w:spacing w:line="240" w:lineRule="auto" w:before="51"/>
        <w:ind w:right="-20"/>
        <w:jc w:val="left"/>
      </w:pPr>
      <w:r>
        <w:rPr/>
        <w:t>组合中，按账龄分析法计提坏账准备的应收账款：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686,034,337.52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6,860,343.38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77,479,625.93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7,747,962.59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50,381,951.00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10,076,390.20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19,134,835.76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19,134,835.76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833,030,750.21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43,819,531.93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5.26%</w:t>
            </w:r>
          </w:p>
        </w:tc>
      </w:tr>
    </w:tbl>
    <w:p>
      <w:pPr>
        <w:pStyle w:val="BodyText"/>
        <w:spacing w:line="338" w:lineRule="auto" w:before="51"/>
        <w:ind w:right="414"/>
        <w:jc w:val="left"/>
      </w:pPr>
      <w:r>
        <w:rPr/>
        <w:t>确定该组合依据的说明： 对于单项金额重大未单独计提坏账准备及单项金额不重大未单独计提坏账准备的应收账款，公司以账龄作为信用风险特 征，并采用账龄分析法对应收账款计提坏账准备。</w:t>
      </w:r>
    </w:p>
    <w:p>
      <w:pPr>
        <w:pStyle w:val="BodyText"/>
        <w:spacing w:line="240" w:lineRule="auto" w:before="44"/>
        <w:ind w:right="141"/>
        <w:jc w:val="left"/>
      </w:pPr>
      <w:r>
        <w:rPr/>
        <w:t>组合中，采用余额百分比法计提坏账准备的应收账款：</w:t>
      </w:r>
    </w:p>
    <w:p>
      <w:pPr>
        <w:pStyle w:val="BodyText"/>
        <w:spacing w:line="35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无</w:t>
      </w:r>
    </w:p>
    <w:p>
      <w:pPr>
        <w:spacing w:line="240" w:lineRule="auto" w:before="8"/>
        <w:rPr>
          <w:rFonts w:ascii="宋体" w:hAnsi="宋体" w:cs="宋体" w:eastAsia="宋体" w:hint="default"/>
          <w:sz w:val="22"/>
          <w:szCs w:val="22"/>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60" w:bottom="1160" w:left="980" w:right="980"/>
        </w:sectPr>
      </w:pPr>
    </w:p>
    <w:p>
      <w:pPr>
        <w:pStyle w:val="BodyText"/>
        <w:spacing w:line="340" w:lineRule="auto" w:before="44"/>
        <w:ind w:right="-8"/>
        <w:jc w:val="left"/>
      </w:pPr>
      <w:r>
        <w:rPr/>
        <w:t>本期计提坏账准备金额</w:t>
      </w:r>
      <w:r>
        <w:rPr>
          <w:spacing w:val="-47"/>
        </w:rPr>
        <w:t> </w:t>
      </w:r>
      <w:r>
        <w:rPr>
          <w:rFonts w:ascii="Times New Roman" w:hAnsi="Times New Roman" w:cs="Times New Roman" w:eastAsia="Times New Roman" w:hint="default"/>
        </w:rPr>
        <w:t>47,158,982.29</w:t>
      </w:r>
      <w:r>
        <w:rPr>
          <w:rFonts w:ascii="Times New Roman" w:hAnsi="Times New Roman" w:cs="Times New Roman" w:eastAsia="Times New Roman" w:hint="default"/>
          <w:spacing w:val="-1"/>
        </w:rPr>
        <w:t> </w:t>
      </w:r>
      <w:r>
        <w:rPr/>
        <w:t>元；本期收回或转回坏账准备金额</w:t>
      </w:r>
      <w:r>
        <w:rPr>
          <w:spacing w:val="-48"/>
        </w:rPr>
        <w:t> </w:t>
      </w:r>
      <w:r>
        <w:rPr>
          <w:rFonts w:ascii="Times New Roman" w:hAnsi="Times New Roman" w:cs="Times New Roman" w:eastAsia="Times New Roman" w:hint="default"/>
        </w:rPr>
        <w:t>2,173,406.82</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7177" w:space="1652"/>
            <w:col w:w="1121"/>
          </w:cols>
        </w:sectPr>
      </w:pP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1,480,420.00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收到客户回款</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1,480,420.00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right="141"/>
        <w:jc w:val="left"/>
      </w:pPr>
      <w:r>
        <w:rPr/>
        <w:t>无</w:t>
      </w:r>
    </w:p>
    <w:p>
      <w:pPr>
        <w:spacing w:line="240" w:lineRule="auto" w:before="0"/>
        <w:rPr>
          <w:rFonts w:ascii="宋体" w:hAnsi="宋体" w:cs="宋体" w:eastAsia="宋体" w:hint="default"/>
          <w:sz w:val="18"/>
          <w:szCs w:val="18"/>
        </w:rPr>
      </w:pPr>
    </w:p>
    <w:p>
      <w:pPr>
        <w:pStyle w:val="Heading4"/>
        <w:spacing w:line="240" w:lineRule="auto" w:before="143"/>
        <w:ind w:right="141"/>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33,671.49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2"/>
          <w:szCs w:val="22"/>
        </w:rPr>
      </w:pPr>
    </w:p>
    <w:p>
      <w:pPr>
        <w:pStyle w:val="BodyText"/>
        <w:spacing w:line="316" w:lineRule="auto" w:before="44"/>
        <w:ind w:right="7254"/>
        <w:jc w:val="left"/>
      </w:pPr>
      <w:r>
        <w:rPr/>
        <w:t>其中重要的应收账款核销情况： 无</w:t>
      </w:r>
    </w:p>
    <w:p>
      <w:pPr>
        <w:spacing w:line="612" w:lineRule="exact" w:before="42"/>
        <w:ind w:left="152" w:right="5528"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）按欠款方归集的期末余额前五名的应收账款情况</w:t>
      </w:r>
      <w:r>
        <w:rPr>
          <w:rFonts w:ascii="宋体" w:hAnsi="宋体" w:cs="宋体" w:eastAsia="宋体" w:hint="default"/>
          <w:b/>
          <w:bCs/>
          <w:w w:val="99"/>
          <w:sz w:val="18"/>
          <w:szCs w:val="18"/>
        </w:rPr>
        <w:t> </w:t>
      </w:r>
      <w:r>
        <w:rPr>
          <w:rFonts w:ascii="宋体" w:hAnsi="宋体" w:cs="宋体" w:eastAsia="宋体" w:hint="default"/>
          <w:sz w:val="18"/>
          <w:szCs w:val="18"/>
        </w:rPr>
        <w:t>公司是否需要遵守特殊行业的披露要求</w:t>
      </w:r>
    </w:p>
    <w:p>
      <w:pPr>
        <w:pStyle w:val="BodyText"/>
        <w:spacing w:line="360" w:lineRule="auto" w:before="17"/>
        <w:ind w:right="8874"/>
        <w:jc w:val="left"/>
      </w:pPr>
      <w:r>
        <w:rPr/>
        <w:t>是 医疗器械业</w:t>
      </w:r>
    </w:p>
    <w:tbl>
      <w:tblPr>
        <w:tblW w:w="0" w:type="auto"/>
        <w:jc w:val="left"/>
        <w:tblInd w:w="164" w:type="dxa"/>
        <w:tblLayout w:type="fixed"/>
        <w:tblCellMar>
          <w:top w:w="0" w:type="dxa"/>
          <w:left w:w="0" w:type="dxa"/>
          <w:bottom w:w="0" w:type="dxa"/>
          <w:right w:w="0" w:type="dxa"/>
        </w:tblCellMar>
        <w:tblLook w:val="01E0"/>
      </w:tblPr>
      <w:tblGrid>
        <w:gridCol w:w="1642"/>
        <w:gridCol w:w="1642"/>
        <w:gridCol w:w="1642"/>
        <w:gridCol w:w="1642"/>
        <w:gridCol w:w="2614"/>
      </w:tblGrid>
      <w:tr>
        <w:trPr>
          <w:trHeight w:val="778"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hAnsi="宋体" w:cs="宋体" w:eastAsia="宋体" w:hint="default"/>
                <w:sz w:val="18"/>
                <w:szCs w:val="18"/>
              </w:rPr>
              <w:t>金额</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1"/>
              <w:ind w:left="365" w:right="360"/>
              <w:jc w:val="left"/>
              <w:rPr>
                <w:rFonts w:ascii="宋体" w:hAnsi="宋体" w:cs="宋体" w:eastAsia="宋体" w:hint="default"/>
                <w:sz w:val="18"/>
                <w:szCs w:val="18"/>
              </w:rPr>
            </w:pPr>
            <w:r>
              <w:rPr>
                <w:rFonts w:ascii="宋体" w:hAnsi="宋体" w:cs="宋体" w:eastAsia="宋体" w:hint="default"/>
                <w:sz w:val="18"/>
                <w:szCs w:val="18"/>
              </w:rPr>
              <w:t>占应收账款 总额的比例</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坏账准备金额</w:t>
            </w:r>
          </w:p>
        </w:tc>
      </w:tr>
      <w:tr>
        <w:trPr>
          <w:trHeight w:val="428"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542"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32,962,766.30</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sz w:val="18"/>
              </w:rPr>
              <w:t>3.52%</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spacing w:val="-1"/>
                <w:sz w:val="18"/>
              </w:rPr>
              <w:t>977,222.50</w:t>
            </w:r>
          </w:p>
        </w:tc>
      </w:tr>
      <w:tr>
        <w:trPr>
          <w:trHeight w:val="427"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56"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31,931,900.93</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3.41%</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9,579,570.46</w:t>
            </w:r>
          </w:p>
        </w:tc>
      </w:tr>
      <w:tr>
        <w:trPr>
          <w:trHeight w:val="427"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56"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28,049,021.00</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3.00%</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1,076,713.73</w:t>
            </w:r>
          </w:p>
        </w:tc>
      </w:tr>
      <w:tr>
        <w:trPr>
          <w:trHeight w:val="427"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5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27,469,234.57</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2.93%</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274,692.35</w:t>
            </w:r>
          </w:p>
        </w:tc>
      </w:tr>
      <w:tr>
        <w:trPr>
          <w:trHeight w:val="427"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56"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24,749,295.00</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2.64%</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247,492.95</w:t>
            </w:r>
          </w:p>
        </w:tc>
      </w:tr>
    </w:tbl>
    <w:p>
      <w:pPr>
        <w:spacing w:line="240" w:lineRule="auto" w:before="10"/>
        <w:rPr>
          <w:rFonts w:ascii="宋体" w:hAnsi="宋体" w:cs="宋体" w:eastAsia="宋体" w:hint="default"/>
          <w:sz w:val="21"/>
          <w:szCs w:val="21"/>
        </w:rPr>
      </w:pPr>
    </w:p>
    <w:p>
      <w:pPr>
        <w:pStyle w:val="Heading4"/>
        <w:spacing w:line="588" w:lineRule="auto"/>
        <w:ind w:right="6251"/>
        <w:jc w:val="left"/>
        <w:rPr>
          <w:rFonts w:ascii="宋体" w:hAnsi="宋体" w:cs="宋体" w:eastAsia="宋体" w:hint="default"/>
          <w:b w:val="0"/>
          <w:bCs w:val="0"/>
        </w:rPr>
      </w:pPr>
      <w:r>
        <w:rPr/>
        <w:t>（</w:t>
      </w:r>
      <w:r>
        <w:rPr>
          <w:rFonts w:ascii="Times New Roman" w:hAnsi="Times New Roman" w:cs="Times New Roman" w:eastAsia="Times New Roman" w:hint="default"/>
        </w:rPr>
        <w:t>5</w:t>
      </w:r>
      <w:r>
        <w:rPr/>
        <w:t>）因金融资产转移而终止确认的应收账款</w:t>
      </w:r>
      <w:r>
        <w:rPr>
          <w:w w:val="99"/>
        </w:rPr>
        <w:t> </w:t>
      </w:r>
      <w:r>
        <w:rPr>
          <w:rFonts w:ascii="宋体" w:hAnsi="宋体" w:cs="宋体" w:eastAsia="宋体" w:hint="default"/>
          <w:b w:val="0"/>
          <w:bCs w:val="0"/>
        </w:rPr>
        <w:t>无</w:t>
      </w:r>
    </w:p>
    <w:p>
      <w:pPr>
        <w:pStyle w:val="Heading4"/>
        <w:spacing w:line="590" w:lineRule="auto" w:before="118"/>
        <w:ind w:right="5528"/>
        <w:jc w:val="left"/>
        <w:rPr>
          <w:rFonts w:ascii="宋体" w:hAnsi="宋体" w:cs="宋体" w:eastAsia="宋体" w:hint="default"/>
          <w:b w:val="0"/>
          <w:bCs w:val="0"/>
        </w:rPr>
      </w:pPr>
      <w:r>
        <w:rPr/>
        <w:t>（</w:t>
      </w:r>
      <w:r>
        <w:rPr>
          <w:rFonts w:ascii="Times New Roman" w:hAnsi="Times New Roman" w:cs="Times New Roman" w:eastAsia="Times New Roman" w:hint="default"/>
        </w:rPr>
        <w:t>6</w:t>
      </w:r>
      <w:r>
        <w:rPr/>
        <w:t>）转移应收账款且继续涉入形成的资产、负债金额</w:t>
      </w:r>
      <w:r>
        <w:rPr>
          <w:w w:val="99"/>
        </w:rPr>
        <w:t> </w:t>
      </w:r>
      <w:r>
        <w:rPr>
          <w:rFonts w:ascii="宋体" w:hAnsi="宋体" w:cs="宋体" w:eastAsia="宋体" w:hint="default"/>
          <w:b w:val="0"/>
          <w:bCs w:val="0"/>
        </w:rPr>
        <w:t>无</w:t>
      </w:r>
    </w:p>
    <w:p>
      <w:pPr>
        <w:pStyle w:val="Heading3"/>
        <w:spacing w:line="240" w:lineRule="auto" w:before="90"/>
        <w:ind w:right="141"/>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6"/>
        <w:gridCol w:w="1916"/>
        <w:gridCol w:w="1913"/>
        <w:gridCol w:w="1916"/>
      </w:tblGrid>
      <w:tr>
        <w:trPr>
          <w:trHeight w:val="401"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47,410,365.24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30,154,027.55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8" w:right="0"/>
              <w:jc w:val="lef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47,410,365.24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30,154,027.55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4916"/>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4"/>
        <w:rPr>
          <w:rFonts w:ascii="宋体" w:hAnsi="宋体" w:cs="宋体" w:eastAsia="宋体" w:hint="default"/>
          <w:sz w:val="23"/>
          <w:szCs w:val="23"/>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7"/>
          <w:szCs w:val="27"/>
        </w:rPr>
      </w:pPr>
    </w:p>
    <w:tbl>
      <w:tblPr>
        <w:tblW w:w="0" w:type="auto"/>
        <w:jc w:val="left"/>
        <w:tblInd w:w="164" w:type="dxa"/>
        <w:tblLayout w:type="fixed"/>
        <w:tblCellMar>
          <w:top w:w="0" w:type="dxa"/>
          <w:left w:w="0" w:type="dxa"/>
          <w:bottom w:w="0" w:type="dxa"/>
          <w:right w:w="0" w:type="dxa"/>
        </w:tblCellMar>
        <w:tblLook w:val="01E0"/>
      </w:tblPr>
      <w:tblGrid>
        <w:gridCol w:w="3188"/>
        <w:gridCol w:w="3190"/>
        <w:gridCol w:w="3193"/>
      </w:tblGrid>
      <w:tr>
        <w:trPr>
          <w:trHeight w:val="423"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688" w:right="0"/>
              <w:jc w:val="left"/>
              <w:rPr>
                <w:rFonts w:ascii="宋体" w:hAnsi="宋体" w:cs="宋体" w:eastAsia="宋体" w:hint="default"/>
                <w:sz w:val="18"/>
                <w:szCs w:val="18"/>
              </w:rPr>
            </w:pPr>
            <w:r>
              <w:rPr>
                <w:rFonts w:ascii="宋体" w:hAnsi="宋体" w:cs="宋体" w:eastAsia="宋体" w:hint="default"/>
                <w:sz w:val="18"/>
                <w:szCs w:val="18"/>
              </w:rPr>
              <w:t>占预付账款总额的比例</w:t>
            </w: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spacing w:val="-1"/>
                <w:sz w:val="18"/>
              </w:rPr>
              <w:t>9,572,432.16</w:t>
            </w:r>
          </w:p>
        </w:tc>
        <w:tc>
          <w:tcPr>
            <w:tcW w:w="319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z w:val="18"/>
              </w:rPr>
              <w:t>20.19%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4" w:type="dxa"/>
        <w:tblLayout w:type="fixed"/>
        <w:tblCellMar>
          <w:top w:w="0" w:type="dxa"/>
          <w:left w:w="0" w:type="dxa"/>
          <w:bottom w:w="0" w:type="dxa"/>
          <w:right w:w="0" w:type="dxa"/>
        </w:tblCellMar>
        <w:tblLook w:val="01E0"/>
      </w:tblPr>
      <w:tblGrid>
        <w:gridCol w:w="3188"/>
        <w:gridCol w:w="3190"/>
        <w:gridCol w:w="3193"/>
      </w:tblGrid>
      <w:tr>
        <w:trPr>
          <w:trHeight w:val="428"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3,888,306.48</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8.20%</w:t>
            </w: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3,809,200.90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8.03%</w:t>
            </w: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2,774,213.49</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5.85%</w:t>
            </w: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2,526,594.51</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5.33%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80"/>
        </w:sectPr>
      </w:pPr>
    </w:p>
    <w:p>
      <w:pPr>
        <w:spacing w:line="240" w:lineRule="auto" w:before="4"/>
        <w:rPr>
          <w:rFonts w:ascii="Times New Roman" w:hAnsi="Times New Roman" w:cs="Times New Roman" w:eastAsia="Times New Roman" w:hint="default"/>
          <w:sz w:val="27"/>
          <w:szCs w:val="27"/>
        </w:rPr>
      </w:pPr>
    </w:p>
    <w:p>
      <w:pPr>
        <w:pStyle w:val="Heading3"/>
        <w:spacing w:line="240" w:lineRule="auto"/>
        <w:ind w:left="140" w:right="-20"/>
        <w:jc w:val="left"/>
        <w:rPr>
          <w:b w:val="0"/>
          <w:bCs w:val="0"/>
        </w:rPr>
      </w:pPr>
      <w:r>
        <w:rPr/>
        <w:pict>
          <v:group style="position:absolute;margin-left:70.559998pt;margin-top:-.476309pt;width:700.95pt;height:.1pt;mso-position-horizontal-relative:page;mso-position-vertical-relative:paragraph;z-index:2032" coordorigin="1411,-10" coordsize="14019,2">
            <v:shape style="position:absolute;left:1411;top:-10;width:14019;height:2" coordorigin="1411,-10" coordsize="14019,0" path="m1411,-10l15430,-10e" filled="false" stroked="true" strokeweight=".72pt" strokecolor="#000000">
              <v:path arrowok="t"/>
            </v:shape>
            <w10:wrap type="none"/>
          </v:group>
        </w:pict>
      </w:r>
      <w:r>
        <w:rPr>
          <w:rFonts w:ascii="Times New Roman" w:hAnsi="Times New Roman" w:cs="Times New Roman" w:eastAsia="Times New Roman" w:hint="default"/>
        </w:rPr>
        <w:t>5</w:t>
      </w:r>
      <w:r>
        <w:rPr/>
        <w:t>、其他应收款</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left="140" w:right="-2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pStyle w:val="BodyText"/>
        <w:spacing w:line="240" w:lineRule="auto" w:before="17"/>
        <w:ind w:left="140" w:right="0"/>
        <w:jc w:val="left"/>
      </w:pPr>
      <w:r>
        <w:rPr/>
        <w:br w:type="column"/>
      </w:r>
      <w:r>
        <w:rPr/>
        <w:t>深圳华大基因股份有限公司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52"/>
          <w:footerReference w:type="default" r:id="rId53"/>
          <w:pgSz w:w="16840" w:h="11910" w:orient="landscape"/>
          <w:pgMar w:header="0" w:footer="0" w:top="800" w:bottom="280" w:left="1300" w:right="1300"/>
          <w:cols w:num="2" w:equalWidth="0">
            <w:col w:w="2219" w:space="7871"/>
            <w:col w:w="4150"/>
          </w:cols>
        </w:sectPr>
      </w:pPr>
    </w:p>
    <w:p>
      <w:pPr>
        <w:spacing w:line="240" w:lineRule="auto" w:before="4"/>
        <w:rPr>
          <w:rFonts w:ascii="宋体" w:hAnsi="宋体" w:cs="宋体" w:eastAsia="宋体" w:hint="default"/>
          <w:sz w:val="24"/>
          <w:szCs w:val="24"/>
        </w:rPr>
      </w:pPr>
    </w:p>
    <w:p>
      <w:pPr>
        <w:pStyle w:val="BodyText"/>
        <w:spacing w:line="240" w:lineRule="auto" w:before="44"/>
        <w:ind w:left="0" w:right="135"/>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68" w:type="dxa"/>
        <w:tblLayout w:type="fixed"/>
        <w:tblCellMar>
          <w:top w:w="0" w:type="dxa"/>
          <w:left w:w="0" w:type="dxa"/>
          <w:bottom w:w="0" w:type="dxa"/>
          <w:right w:w="0" w:type="dxa"/>
        </w:tblCellMar>
        <w:tblLook w:val="01E0"/>
      </w:tblPr>
      <w:tblGrid>
        <w:gridCol w:w="3401"/>
        <w:gridCol w:w="1707"/>
        <w:gridCol w:w="701"/>
        <w:gridCol w:w="775"/>
        <w:gridCol w:w="776"/>
        <w:gridCol w:w="1092"/>
        <w:gridCol w:w="1085"/>
        <w:gridCol w:w="701"/>
        <w:gridCol w:w="866"/>
        <w:gridCol w:w="775"/>
        <w:gridCol w:w="1085"/>
      </w:tblGrid>
      <w:tr>
        <w:trPr>
          <w:trHeight w:val="403" w:hRule="exact"/>
        </w:trPr>
        <w:tc>
          <w:tcPr>
            <w:tcW w:w="340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1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4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4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6" w:hRule="exact"/>
        </w:trPr>
        <w:tc>
          <w:tcPr>
            <w:tcW w:w="34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08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 w:right="22"/>
              <w:jc w:val="left"/>
              <w:rPr>
                <w:rFonts w:ascii="宋体" w:hAnsi="宋体" w:cs="宋体" w:eastAsia="宋体" w:hint="default"/>
                <w:sz w:val="18"/>
                <w:szCs w:val="18"/>
              </w:rPr>
            </w:pPr>
            <w:r>
              <w:rPr>
                <w:rFonts w:ascii="宋体" w:hAnsi="宋体" w:cs="宋体" w:eastAsia="宋体" w:hint="default"/>
                <w:spacing w:val="5"/>
                <w:sz w:val="18"/>
                <w:szCs w:val="18"/>
              </w:rPr>
              <w:t>单项金额重大并单独计提坏账准备的其他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应收款</w:t>
            </w:r>
          </w:p>
        </w:tc>
        <w:tc>
          <w:tcPr>
            <w:tcW w:w="17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3,999,880.00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26.81%</w:t>
            </w: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3,999,880.00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3,403,656.13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28.45%</w:t>
            </w:r>
          </w:p>
        </w:tc>
        <w:tc>
          <w:tcPr>
            <w:tcW w:w="8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3,403,656.13</w:t>
            </w:r>
          </w:p>
        </w:tc>
      </w:tr>
      <w:tr>
        <w:trPr>
          <w:trHeight w:val="715" w:hRule="exact"/>
        </w:trPr>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 w:right="22"/>
              <w:jc w:val="left"/>
              <w:rPr>
                <w:rFonts w:ascii="宋体" w:hAnsi="宋体" w:cs="宋体" w:eastAsia="宋体" w:hint="default"/>
                <w:sz w:val="18"/>
                <w:szCs w:val="18"/>
              </w:rPr>
            </w:pPr>
            <w:r>
              <w:rPr>
                <w:rFonts w:ascii="宋体" w:hAnsi="宋体" w:cs="宋体" w:eastAsia="宋体" w:hint="default"/>
                <w:spacing w:val="5"/>
                <w:sz w:val="18"/>
                <w:szCs w:val="18"/>
              </w:rPr>
              <w:t>按信用风险特征组合计提坏账准备的其他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应收款</w:t>
            </w:r>
          </w:p>
        </w:tc>
        <w:tc>
          <w:tcPr>
            <w:tcW w:w="17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2,382,899.06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15.97%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51,887.77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2,331,011.29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1,747,237.95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14.61%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196,390.43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11.24%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1,550,847.52</w:t>
            </w:r>
          </w:p>
        </w:tc>
      </w:tr>
      <w:tr>
        <w:trPr>
          <w:trHeight w:val="713" w:hRule="exact"/>
        </w:trPr>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 w:right="22"/>
              <w:jc w:val="left"/>
              <w:rPr>
                <w:rFonts w:ascii="宋体" w:hAnsi="宋体" w:cs="宋体" w:eastAsia="宋体" w:hint="default"/>
                <w:sz w:val="18"/>
                <w:szCs w:val="18"/>
              </w:rPr>
            </w:pPr>
            <w:r>
              <w:rPr>
                <w:rFonts w:ascii="宋体" w:hAnsi="宋体" w:cs="宋体" w:eastAsia="宋体" w:hint="default"/>
                <w:spacing w:val="5"/>
                <w:sz w:val="18"/>
                <w:szCs w:val="18"/>
              </w:rPr>
              <w:t>单项金额不重大但单独计提坏账准备的其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他应收款</w:t>
            </w:r>
          </w:p>
        </w:tc>
        <w:tc>
          <w:tcPr>
            <w:tcW w:w="17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8,538,502.87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57.22%</w:t>
            </w: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8,538,502.87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6,811,892.23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56.94%</w:t>
            </w:r>
          </w:p>
        </w:tc>
        <w:tc>
          <w:tcPr>
            <w:tcW w:w="8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6,811,892.23</w:t>
            </w:r>
          </w:p>
        </w:tc>
      </w:tr>
      <w:tr>
        <w:trPr>
          <w:trHeight w:val="404" w:hRule="exact"/>
        </w:trPr>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14,921,281.93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51,887.77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14,869,394.16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11,962,786.31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196,390.43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11,766,395.88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before="76"/>
        <w:ind w:left="0" w:right="133"/>
        <w:jc w:val="right"/>
        <w:rPr>
          <w:rFonts w:ascii="Times New Roman" w:hAnsi="Times New Roman" w:cs="Times New Roman" w:eastAsia="Times New Roman" w:hint="default"/>
        </w:rPr>
      </w:pPr>
      <w:r>
        <w:rPr>
          <w:rFonts w:ascii="Times New Roman"/>
        </w:rPr>
        <w:t>173</w:t>
      </w:r>
    </w:p>
    <w:p>
      <w:pPr>
        <w:spacing w:after="0" w:line="240" w:lineRule="auto"/>
        <w:jc w:val="right"/>
        <w:rPr>
          <w:rFonts w:ascii="Times New Roman" w:hAnsi="Times New Roman" w:cs="Times New Roman" w:eastAsia="Times New Roman" w:hint="default"/>
        </w:rPr>
        <w:sectPr>
          <w:type w:val="continuous"/>
          <w:pgSz w:w="16840" w:h="11910" w:orient="landscape"/>
          <w:pgMar w:top="1060" w:bottom="1160" w:left="1300" w:right="1300"/>
        </w:sectPr>
      </w:pPr>
    </w:p>
    <w:p>
      <w:pPr>
        <w:spacing w:line="240" w:lineRule="auto" w:before="1"/>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footerReference w:type="default" r:id="rId54"/>
          <w:pgSz w:w="11910" w:h="16840"/>
          <w:pgMar w:footer="974" w:header="0" w:top="1100" w:bottom="1160" w:left="980" w:right="980"/>
          <w:pgNumType w:start="174"/>
        </w:sectPr>
      </w:pPr>
    </w:p>
    <w:p>
      <w:pPr>
        <w:pStyle w:val="BodyText"/>
        <w:spacing w:line="240" w:lineRule="auto" w:before="44"/>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6"/>
        <w:gridCol w:w="1916"/>
        <w:gridCol w:w="1913"/>
        <w:gridCol w:w="1916"/>
      </w:tblGrid>
      <w:tr>
        <w:trPr>
          <w:trHeight w:val="402"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1,599,880.00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经过减值测试，预计可 以收回</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80"/>
              <w:jc w:val="left"/>
              <w:rPr>
                <w:rFonts w:ascii="宋体" w:hAnsi="宋体" w:cs="宋体" w:eastAsia="宋体" w:hint="default"/>
                <w:sz w:val="18"/>
                <w:szCs w:val="18"/>
              </w:rPr>
            </w:pPr>
            <w:r>
              <w:rPr>
                <w:rFonts w:ascii="宋体" w:hAnsi="宋体" w:cs="宋体" w:eastAsia="宋体" w:hint="default"/>
                <w:sz w:val="18"/>
                <w:szCs w:val="18"/>
              </w:rPr>
              <w:t>经过减值测试，预计可 以收回</w:t>
            </w:r>
          </w:p>
        </w:tc>
      </w:tr>
      <w:tr>
        <w:trPr>
          <w:trHeight w:val="71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80"/>
              <w:jc w:val="left"/>
              <w:rPr>
                <w:rFonts w:ascii="宋体" w:hAnsi="宋体" w:cs="宋体" w:eastAsia="宋体" w:hint="default"/>
                <w:sz w:val="18"/>
                <w:szCs w:val="18"/>
              </w:rPr>
            </w:pPr>
            <w:r>
              <w:rPr>
                <w:rFonts w:ascii="宋体" w:hAnsi="宋体" w:cs="宋体" w:eastAsia="宋体" w:hint="default"/>
                <w:sz w:val="18"/>
                <w:szCs w:val="18"/>
              </w:rPr>
              <w:t>经过减值测试，预计可 以收回</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80"/>
              <w:jc w:val="left"/>
              <w:rPr>
                <w:rFonts w:ascii="宋体" w:hAnsi="宋体" w:cs="宋体" w:eastAsia="宋体" w:hint="default"/>
                <w:sz w:val="18"/>
                <w:szCs w:val="18"/>
              </w:rPr>
            </w:pPr>
            <w:r>
              <w:rPr>
                <w:rFonts w:ascii="宋体" w:hAnsi="宋体" w:cs="宋体" w:eastAsia="宋体" w:hint="default"/>
                <w:sz w:val="18"/>
                <w:szCs w:val="18"/>
              </w:rPr>
              <w:t>经过减值测试，预计可 以收回</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3,999,880.00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51"/>
        <w:ind w:right="-20"/>
        <w:jc w:val="left"/>
      </w:pPr>
      <w:r>
        <w:rPr/>
        <w:t>组合中，按账龄分析法计提坏账准备的其他应收款：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2,102,320.79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21,023.21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272,126.35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27,212.63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2,451.92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2,451.92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2,382,899.06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51,887.77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2.18%</w:t>
            </w:r>
          </w:p>
        </w:tc>
      </w:tr>
    </w:tbl>
    <w:p>
      <w:pPr>
        <w:pStyle w:val="BodyText"/>
        <w:spacing w:line="338" w:lineRule="auto" w:before="51"/>
        <w:ind w:right="234"/>
        <w:jc w:val="left"/>
      </w:pPr>
      <w:r>
        <w:rPr/>
        <w:t>确定该组合依据的说明： 对于单项金额重大未单独计提坏账准备及单项金额不重大未单独计提坏账准备的其他应收款，公司以账龄作为信用风险特 征，并采用账龄分析法对其他应收款计提坏账准备。</w:t>
      </w:r>
    </w:p>
    <w:p>
      <w:pPr>
        <w:pStyle w:val="BodyText"/>
        <w:spacing w:line="240" w:lineRule="auto" w:before="43"/>
        <w:ind w:right="141"/>
        <w:jc w:val="left"/>
      </w:pPr>
      <w:r>
        <w:rPr/>
        <w:t>组合中，采用余额百分比法计提坏账准备的其他应收款：</w:t>
      </w:r>
    </w:p>
    <w:p>
      <w:pPr>
        <w:pStyle w:val="BodyText"/>
        <w:spacing w:line="340" w:lineRule="auto" w:before="11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4"/>
        <w:spacing w:line="240" w:lineRule="auto" w:before="129"/>
        <w:ind w:right="14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60" w:bottom="1160" w:left="980" w:right="980"/>
        </w:sectPr>
      </w:pPr>
    </w:p>
    <w:p>
      <w:pPr>
        <w:pStyle w:val="BodyText"/>
        <w:spacing w:line="340" w:lineRule="auto" w:before="44"/>
        <w:ind w:right="-9"/>
        <w:jc w:val="left"/>
      </w:pPr>
      <w:r>
        <w:rPr/>
        <w:t>本期计提坏账准备金额</w:t>
      </w:r>
      <w:r>
        <w:rPr>
          <w:spacing w:val="-47"/>
        </w:rPr>
        <w:t> </w:t>
      </w:r>
      <w:r>
        <w:rPr>
          <w:rFonts w:ascii="Times New Roman" w:hAnsi="Times New Roman" w:cs="Times New Roman" w:eastAsia="Times New Roman" w:hint="default"/>
        </w:rPr>
        <w:t>43,683.10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188,185.76</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728" w:space="2101"/>
            <w:col w:w="1121"/>
          </w:cols>
        </w:sectPr>
      </w:pPr>
    </w:p>
    <w:p>
      <w:pPr>
        <w:spacing w:line="240" w:lineRule="auto" w:before="0"/>
        <w:rPr>
          <w:rFonts w:ascii="宋体" w:hAnsi="宋体" w:cs="宋体" w:eastAsia="宋体" w:hint="default"/>
          <w:sz w:val="22"/>
          <w:szCs w:val="22"/>
        </w:rPr>
      </w:pPr>
    </w:p>
    <w:p>
      <w:pPr>
        <w:pStyle w:val="BodyText"/>
        <w:spacing w:line="240" w:lineRule="auto" w:before="44"/>
        <w:ind w:right="141"/>
        <w:jc w:val="left"/>
      </w:pPr>
      <w:r>
        <w:rPr/>
        <w:t>无</w:t>
      </w:r>
    </w:p>
    <w:p>
      <w:pPr>
        <w:spacing w:line="240" w:lineRule="auto" w:before="0"/>
        <w:rPr>
          <w:rFonts w:ascii="宋体" w:hAnsi="宋体" w:cs="宋体" w:eastAsia="宋体" w:hint="default"/>
          <w:sz w:val="18"/>
          <w:szCs w:val="18"/>
        </w:rPr>
      </w:pPr>
    </w:p>
    <w:p>
      <w:pPr>
        <w:pStyle w:val="Heading4"/>
        <w:spacing w:line="240" w:lineRule="auto" w:before="143"/>
        <w:ind w:right="141"/>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12,760,284.96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8,703,668.48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员工借款、备用金等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1,228,983.04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1,511,879.88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932,013.93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1,747,237.95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14,921,281.93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11,962,786.31</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7"/>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4"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1,599,880.00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10.73%</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6.70%</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技术服务风险金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5.36%</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4.02%</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租赁押金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563,915.74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3.78%</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4,563,795.74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30.59%</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0"/>
          <w:szCs w:val="20"/>
        </w:rPr>
      </w:pPr>
    </w:p>
    <w:p>
      <w:pPr>
        <w:pStyle w:val="Heading4"/>
        <w:spacing w:line="588" w:lineRule="auto"/>
        <w:ind w:right="7335"/>
        <w:jc w:val="left"/>
        <w:rPr>
          <w:rFonts w:ascii="宋体" w:hAnsi="宋体" w:cs="宋体" w:eastAsia="宋体" w:hint="default"/>
          <w:b w:val="0"/>
          <w:bCs w:val="0"/>
        </w:rPr>
      </w:pPr>
      <w:r>
        <w:rPr/>
        <w:t>（</w:t>
      </w:r>
      <w:r>
        <w:rPr>
          <w:rFonts w:ascii="Times New Roman" w:hAnsi="Times New Roman" w:cs="Times New Roman" w:eastAsia="Times New Roman" w:hint="default"/>
        </w:rPr>
        <w:t>5</w:t>
      </w:r>
      <w:r>
        <w:rPr/>
        <w:t>）涉及政府补助的应收款项</w:t>
      </w:r>
      <w:r>
        <w:rPr>
          <w:w w:val="99"/>
        </w:rPr>
        <w:t> </w:t>
      </w:r>
      <w:r>
        <w:rPr>
          <w:rFonts w:ascii="宋体" w:hAnsi="宋体" w:cs="宋体" w:eastAsia="宋体" w:hint="default"/>
          <w:b w:val="0"/>
          <w:bCs w:val="0"/>
        </w:rPr>
        <w:t>无</w:t>
      </w:r>
    </w:p>
    <w:p>
      <w:pPr>
        <w:pStyle w:val="Heading4"/>
        <w:spacing w:line="590" w:lineRule="auto" w:before="118"/>
        <w:ind w:right="6070"/>
        <w:jc w:val="left"/>
        <w:rPr>
          <w:rFonts w:ascii="宋体" w:hAnsi="宋体" w:cs="宋体" w:eastAsia="宋体" w:hint="default"/>
          <w:b w:val="0"/>
          <w:bCs w:val="0"/>
        </w:rPr>
      </w:pPr>
      <w:r>
        <w:rPr/>
        <w:t>（</w:t>
      </w:r>
      <w:r>
        <w:rPr>
          <w:rFonts w:ascii="Times New Roman" w:hAnsi="Times New Roman" w:cs="Times New Roman" w:eastAsia="Times New Roman" w:hint="default"/>
        </w:rPr>
        <w:t>6</w:t>
      </w:r>
      <w:r>
        <w:rPr/>
        <w:t>）因金融资产转移而终止确认的其他应收款</w:t>
      </w:r>
      <w:r>
        <w:rPr>
          <w:w w:val="99"/>
        </w:rPr>
        <w:t> </w:t>
      </w:r>
      <w:r>
        <w:rPr>
          <w:rFonts w:ascii="宋体" w:hAnsi="宋体" w:cs="宋体" w:eastAsia="宋体" w:hint="default"/>
          <w:b w:val="0"/>
          <w:bCs w:val="0"/>
        </w:rPr>
        <w:t>无</w:t>
      </w:r>
    </w:p>
    <w:p>
      <w:pPr>
        <w:pStyle w:val="Heading4"/>
        <w:spacing w:line="588" w:lineRule="auto" w:before="116"/>
        <w:ind w:right="5347"/>
        <w:jc w:val="left"/>
        <w:rPr>
          <w:rFonts w:ascii="宋体" w:hAnsi="宋体" w:cs="宋体" w:eastAsia="宋体" w:hint="default"/>
          <w:b w:val="0"/>
          <w:bCs w:val="0"/>
        </w:rPr>
      </w:pPr>
      <w:r>
        <w:rPr/>
        <w:t>（</w:t>
      </w:r>
      <w:r>
        <w:rPr>
          <w:rFonts w:ascii="Times New Roman" w:hAnsi="Times New Roman" w:cs="Times New Roman" w:eastAsia="Times New Roman" w:hint="default"/>
        </w:rPr>
        <w:t>7</w:t>
      </w:r>
      <w:r>
        <w:rPr/>
        <w:t>）转移其他应收款且继续涉入形成的资产、负债金额</w:t>
      </w:r>
      <w:r>
        <w:rPr>
          <w:w w:val="99"/>
        </w:rPr>
        <w:t> </w:t>
      </w:r>
      <w:r>
        <w:rPr>
          <w:rFonts w:ascii="宋体" w:hAnsi="宋体" w:cs="宋体" w:eastAsia="宋体" w:hint="default"/>
          <w:b w:val="0"/>
          <w:bCs w:val="0"/>
        </w:rPr>
        <w:t>无</w:t>
      </w:r>
    </w:p>
    <w:p>
      <w:pPr>
        <w:pStyle w:val="Heading3"/>
        <w:spacing w:line="240" w:lineRule="auto" w:before="92"/>
        <w:ind w:right="141"/>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534"/>
        <w:jc w:val="left"/>
      </w:pPr>
      <w:r>
        <w:rPr/>
        <w:t>公司是否需要遵守房地产行业的披露要求 否</w:t>
      </w:r>
    </w:p>
    <w:p>
      <w:pPr>
        <w:spacing w:after="0" w:line="360" w:lineRule="auto"/>
        <w:jc w:val="left"/>
        <w:sectPr>
          <w:pgSz w:w="11910" w:h="16840"/>
          <w:pgMar w:header="0" w:footer="974" w:top="1100" w:bottom="1160" w:left="980" w:right="980"/>
        </w:sectPr>
      </w:pPr>
    </w:p>
    <w:p>
      <w:pPr>
        <w:spacing w:line="240" w:lineRule="auto" w:before="3"/>
        <w:rPr>
          <w:rFonts w:ascii="宋体" w:hAnsi="宋体" w:cs="宋体" w:eastAsia="宋体" w:hint="default"/>
          <w:sz w:val="22"/>
          <w:szCs w:val="22"/>
        </w:rPr>
      </w:pPr>
    </w:p>
    <w:p>
      <w:pPr>
        <w:pStyle w:val="Heading4"/>
        <w:spacing w:line="240" w:lineRule="auto"/>
        <w:ind w:right="141"/>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93,394,487.61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93,394,487.61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1" w:right="0"/>
              <w:jc w:val="left"/>
              <w:rPr>
                <w:rFonts w:ascii="Times New Roman" w:hAnsi="Times New Roman" w:cs="Times New Roman" w:eastAsia="Times New Roman" w:hint="default"/>
                <w:sz w:val="18"/>
                <w:szCs w:val="18"/>
              </w:rPr>
            </w:pPr>
            <w:r>
              <w:rPr>
                <w:rFonts w:ascii="Times New Roman"/>
                <w:sz w:val="18"/>
              </w:rPr>
              <w:t>65,111,980.29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65,111,980.29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26,191,723.71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26,191,723.71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1,081,900.88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1,081,900.88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18,010,084.05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18,010,084.05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7,400,176.42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7,400,176.42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985,860.13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985,860.13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138,582,155.50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138,582,155.50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9" w:right="0"/>
              <w:jc w:val="left"/>
              <w:rPr>
                <w:rFonts w:ascii="Times New Roman" w:hAnsi="Times New Roman" w:cs="Times New Roman" w:eastAsia="Times New Roman" w:hint="default"/>
                <w:sz w:val="18"/>
                <w:szCs w:val="18"/>
              </w:rPr>
            </w:pPr>
            <w:r>
              <w:rPr>
                <w:rFonts w:ascii="Times New Roman"/>
                <w:sz w:val="18"/>
              </w:rPr>
              <w:t>73,594,057.59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73,594,057.59</w:t>
            </w:r>
          </w:p>
        </w:tc>
      </w:tr>
    </w:tbl>
    <w:p>
      <w:pPr>
        <w:pStyle w:val="BodyText"/>
        <w:spacing w:line="338" w:lineRule="auto" w:before="51"/>
        <w:ind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3"/>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39"/>
        <w:ind w:right="7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2"/>
        <w:rPr>
          <w:rFonts w:ascii="宋体" w:hAnsi="宋体" w:cs="宋体" w:eastAsia="宋体" w:hint="default"/>
          <w:sz w:val="23"/>
          <w:szCs w:val="23"/>
        </w:rPr>
      </w:pPr>
    </w:p>
    <w:p>
      <w:pPr>
        <w:pStyle w:val="Heading4"/>
        <w:spacing w:line="588" w:lineRule="auto" w:before="0"/>
        <w:ind w:right="8238"/>
        <w:jc w:val="left"/>
        <w:rPr>
          <w:rFonts w:ascii="宋体" w:hAnsi="宋体" w:cs="宋体" w:eastAsia="宋体" w:hint="default"/>
          <w:b w:val="0"/>
          <w:bCs w:val="0"/>
        </w:rPr>
      </w:pPr>
      <w:r>
        <w:rPr/>
        <w:t>（</w:t>
      </w:r>
      <w:r>
        <w:rPr>
          <w:rFonts w:ascii="Times New Roman" w:hAnsi="Times New Roman" w:cs="Times New Roman" w:eastAsia="Times New Roman" w:hint="default"/>
        </w:rPr>
        <w:t>2</w:t>
      </w:r>
      <w:r>
        <w:rPr/>
        <w:t>）存货跌价准备</w:t>
      </w:r>
      <w:r>
        <w:rPr>
          <w:w w:val="99"/>
        </w:rPr>
        <w:t> </w:t>
      </w:r>
      <w:r>
        <w:rPr>
          <w:rFonts w:ascii="宋体" w:hAnsi="宋体" w:cs="宋体" w:eastAsia="宋体" w:hint="default"/>
          <w:b w:val="0"/>
          <w:bCs w:val="0"/>
        </w:rPr>
        <w:t>无</w:t>
      </w:r>
    </w:p>
    <w:p>
      <w:pPr>
        <w:pStyle w:val="Heading4"/>
        <w:spacing w:line="590" w:lineRule="auto" w:before="118"/>
        <w:ind w:right="5708"/>
        <w:jc w:val="left"/>
        <w:rPr>
          <w:rFonts w:ascii="宋体" w:hAnsi="宋体" w:cs="宋体" w:eastAsia="宋体" w:hint="default"/>
          <w:b w:val="0"/>
          <w:bCs w:val="0"/>
        </w:rPr>
      </w:pPr>
      <w:r>
        <w:rPr/>
        <w:t>（</w:t>
      </w:r>
      <w:r>
        <w:rPr>
          <w:rFonts w:ascii="Times New Roman" w:hAnsi="Times New Roman" w:cs="Times New Roman" w:eastAsia="Times New Roman" w:hint="default"/>
        </w:rPr>
        <w:t>3</w:t>
      </w:r>
      <w:r>
        <w:rPr/>
        <w:t>）存货期末余额含有借款费用资本化金额的说明</w:t>
      </w:r>
      <w:r>
        <w:rPr>
          <w:w w:val="99"/>
        </w:rPr>
        <w:t> </w:t>
      </w:r>
      <w:r>
        <w:rPr>
          <w:rFonts w:ascii="宋体" w:hAnsi="宋体" w:cs="宋体" w:eastAsia="宋体" w:hint="default"/>
          <w:b w:val="0"/>
          <w:bCs w:val="0"/>
        </w:rPr>
        <w:t>无</w:t>
      </w:r>
    </w:p>
    <w:p>
      <w:pPr>
        <w:pStyle w:val="Heading4"/>
        <w:spacing w:line="588" w:lineRule="auto" w:before="116"/>
        <w:ind w:right="5889"/>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）期末建造合同形成的已完工未结算资产情况</w:t>
      </w:r>
      <w:r>
        <w:rPr>
          <w:w w:val="99"/>
        </w:rPr>
        <w:t> </w:t>
      </w:r>
      <w:r>
        <w:rPr>
          <w:rFonts w:ascii="宋体" w:hAnsi="宋体" w:cs="宋体" w:eastAsia="宋体" w:hint="default"/>
          <w:b w:val="0"/>
          <w:bCs w:val="0"/>
        </w:rPr>
        <w:t>无</w:t>
      </w:r>
    </w:p>
    <w:p>
      <w:pPr>
        <w:pStyle w:val="Heading3"/>
        <w:spacing w:line="240" w:lineRule="auto" w:before="93"/>
        <w:ind w:right="141"/>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3,423,363.28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2,463,534.86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23,381,340.87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17,310,825.68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12,555,329.18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10,932,459.95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预缴所得税额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23,681,539.79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23,885,575.86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一年内到期的银行理财产品及利息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1,755,610,330.49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1,608,872,231.50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受限资产（注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28,750,480.00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62,433,000.00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9,057,196.00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1,856,459,579.61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98" w:right="0"/>
              <w:jc w:val="left"/>
              <w:rPr>
                <w:rFonts w:ascii="Times New Roman" w:hAnsi="Times New Roman" w:cs="Times New Roman" w:eastAsia="Times New Roman" w:hint="default"/>
                <w:sz w:val="18"/>
                <w:szCs w:val="18"/>
              </w:rPr>
            </w:pPr>
            <w:r>
              <w:rPr>
                <w:rFonts w:ascii="Times New Roman"/>
                <w:sz w:val="18"/>
              </w:rPr>
              <w:t>1,725,897,627.85</w:t>
            </w:r>
          </w:p>
        </w:tc>
      </w:tr>
    </w:tbl>
    <w:p>
      <w:pPr>
        <w:pStyle w:val="BodyText"/>
        <w:spacing w:line="240" w:lineRule="auto" w:before="51"/>
        <w:ind w:right="0"/>
        <w:jc w:val="both"/>
      </w:pPr>
      <w:r>
        <w:rPr/>
        <w:t>其他说明：</w:t>
      </w:r>
    </w:p>
    <w:p>
      <w:pPr>
        <w:pStyle w:val="BodyText"/>
        <w:spacing w:line="300" w:lineRule="auto" w:before="115"/>
        <w:ind w:right="146"/>
        <w:jc w:val="both"/>
      </w:pPr>
      <w:r>
        <w:rPr/>
        <w:t>注</w:t>
      </w:r>
      <w:r>
        <w:rPr>
          <w:rFonts w:ascii="Times New Roman" w:hAnsi="Times New Roman" w:cs="Times New Roman" w:eastAsia="Times New Roman" w:hint="default"/>
        </w:rPr>
        <w:t>1</w:t>
      </w:r>
      <w:r>
        <w:rPr/>
        <w:t>：受限资产为华大科技预付</w:t>
      </w:r>
      <w:r>
        <w:rPr>
          <w:rFonts w:ascii="Times New Roman" w:hAnsi="Times New Roman" w:cs="Times New Roman" w:eastAsia="Times New Roman" w:hint="default"/>
        </w:rPr>
        <w:t>Complete Genomics,</w:t>
      </w:r>
      <w:r>
        <w:rPr>
          <w:rFonts w:ascii="Times New Roman" w:hAnsi="Times New Roman" w:cs="Times New Roman" w:eastAsia="Times New Roman" w:hint="default"/>
          <w:spacing w:val="30"/>
        </w:rPr>
        <w:t> </w:t>
      </w:r>
      <w:r>
        <w:rPr>
          <w:rFonts w:ascii="Times New Roman" w:hAnsi="Times New Roman" w:cs="Times New Roman" w:eastAsia="Times New Roman" w:hint="default"/>
        </w:rPr>
        <w:t>Inc</w:t>
      </w:r>
      <w:r>
        <w:rPr/>
        <w:t>公司的设备购买款，按照国家外汇管总局（以下简称</w:t>
      </w:r>
      <w:r>
        <w:rPr>
          <w:rFonts w:ascii="Times New Roman" w:hAnsi="Times New Roman" w:cs="Times New Roman" w:eastAsia="Times New Roman" w:hint="default"/>
        </w:rPr>
        <w:t>“</w:t>
      </w:r>
      <w:r>
        <w:rPr/>
        <w:t>外汇管理局</w:t>
      </w:r>
      <w:r>
        <w:rPr>
          <w:rFonts w:ascii="Times New Roman" w:hAnsi="Times New Roman" w:cs="Times New Roman" w:eastAsia="Times New Roman" w:hint="default"/>
        </w:rPr>
        <w:t>”</w:t>
      </w:r>
      <w:r>
        <w:rPr/>
        <w:t>） </w:t>
      </w:r>
      <w:r>
        <w:rPr>
          <w:spacing w:val="-2"/>
        </w:rPr>
        <w:t>规定，接受境外资产流入需提交相关资料至外汇管理局，由于华大科技尚未提交完整的资料至外汇管理局，于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9"/>
        </w:rPr>
        <w:t> </w:t>
      </w:r>
      <w:r>
        <w:rPr/>
        <w:t>日和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日尚无法结汇至华大科技，该资金被暂时冻结。华大科技已分别于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月收到该两笔款</w:t>
      </w:r>
      <w:r>
        <w:rPr>
          <w:spacing w:val="-6"/>
        </w:rPr>
        <w:t> </w:t>
      </w:r>
      <w:r>
        <w:rPr>
          <w:spacing w:val="-6"/>
        </w:rPr>
      </w:r>
      <w:r>
        <w:rPr/>
        <w:t>项。</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8</w:t>
      </w:r>
      <w:r>
        <w:rPr/>
        <w:t>、可供出售金融资产</w:t>
      </w:r>
      <w:r>
        <w:rPr>
          <w:b w:val="0"/>
          <w:bCs w:val="0"/>
        </w:rPr>
      </w:r>
    </w:p>
    <w:p>
      <w:pPr>
        <w:spacing w:line="240" w:lineRule="auto" w:before="10"/>
        <w:rPr>
          <w:rFonts w:ascii="宋体" w:hAnsi="宋体" w:cs="宋体" w:eastAsia="宋体" w:hint="default"/>
          <w:b/>
          <w:bCs/>
          <w:sz w:val="26"/>
          <w:szCs w:val="26"/>
        </w:rPr>
      </w:pPr>
    </w:p>
    <w:p>
      <w:pPr>
        <w:pStyle w:val="Heading4"/>
        <w:spacing w:line="240" w:lineRule="auto" w:before="0"/>
        <w:ind w:right="0"/>
        <w:jc w:val="both"/>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000"/>
        <w:gridCol w:w="1196"/>
        <w:gridCol w:w="1195"/>
        <w:gridCol w:w="1198"/>
        <w:gridCol w:w="1248"/>
        <w:gridCol w:w="1366"/>
        <w:gridCol w:w="1368"/>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206,391,334.95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206,391,334.95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86,489,269.00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86,489,269.00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74,818,425.48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74,818,425.48</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131,572,909.47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131,572,909.47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86,489,269.00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86,489,269.00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206,391,334.95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206,391,334.95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86,489,269.00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86,489,269.00</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85"/>
        <w:gridCol w:w="2504"/>
        <w:gridCol w:w="2506"/>
        <w:gridCol w:w="2504"/>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8"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8"/>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34,244,071.46</w:t>
            </w:r>
          </w:p>
        </w:tc>
        <w:tc>
          <w:tcPr>
            <w:tcW w:w="2506"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34,244,071.46</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74,818,425.48</w:t>
            </w:r>
          </w:p>
        </w:tc>
        <w:tc>
          <w:tcPr>
            <w:tcW w:w="2506"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74,818,425.48</w:t>
            </w: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40,574,354.02</w:t>
            </w:r>
          </w:p>
        </w:tc>
        <w:tc>
          <w:tcPr>
            <w:tcW w:w="2506"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40,574,354.02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80"/>
        </w:sectPr>
      </w:pPr>
    </w:p>
    <w:p>
      <w:pPr>
        <w:pStyle w:val="BodyText"/>
        <w:spacing w:line="240" w:lineRule="auto" w:before="17"/>
        <w:ind w:left="0" w:right="133"/>
        <w:jc w:val="right"/>
      </w:pPr>
      <w:r>
        <w:rPr/>
        <w:t>深圳华大基因股份有限公司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p>
      <w:pPr>
        <w:spacing w:line="240" w:lineRule="auto" w:before="4"/>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22"/>
        <w:ind w:left="140" w:right="7418"/>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35"/>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2936"/>
        <w:gridCol w:w="1093"/>
        <w:gridCol w:w="1090"/>
        <w:gridCol w:w="778"/>
        <w:gridCol w:w="1181"/>
        <w:gridCol w:w="415"/>
        <w:gridCol w:w="775"/>
        <w:gridCol w:w="778"/>
        <w:gridCol w:w="415"/>
        <w:gridCol w:w="1856"/>
        <w:gridCol w:w="1138"/>
      </w:tblGrid>
      <w:tr>
        <w:trPr>
          <w:trHeight w:val="401" w:hRule="exact"/>
        </w:trPr>
        <w:tc>
          <w:tcPr>
            <w:tcW w:w="2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414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8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在被投资单位持股比例</w:t>
            </w:r>
          </w:p>
        </w:tc>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403" w:hRule="exact"/>
        </w:trPr>
        <w:tc>
          <w:tcPr>
            <w:tcW w:w="2936" w:type="dxa"/>
            <w:vMerge/>
            <w:tcBorders>
              <w:left w:val="single" w:sz="4" w:space="0" w:color="000000"/>
              <w:bottom w:val="single" w:sz="4" w:space="0" w:color="000000"/>
              <w:right w:val="single" w:sz="4" w:space="0" w:color="000000"/>
            </w:tcBorders>
            <w:shd w:val="clear" w:color="auto" w:fill="D2D2D2"/>
          </w:tcPr>
          <w:p>
            <w:pP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期末</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1856"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北京吉因加科技有限公司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78,000,000.00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78,000,000.00</w:t>
            </w:r>
          </w:p>
        </w:tc>
        <w:tc>
          <w:tcPr>
            <w:tcW w:w="41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4.94%</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苏州工业园区薄荷创业投资企业合伙</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8,489,269.00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11,975,000.00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20,464,269.00</w:t>
            </w:r>
          </w:p>
        </w:tc>
        <w:tc>
          <w:tcPr>
            <w:tcW w:w="41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14.90%</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北京量化健康科技有限公司</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6" w:right="0"/>
              <w:jc w:val="center"/>
              <w:rPr>
                <w:rFonts w:ascii="Times New Roman" w:hAnsi="Times New Roman" w:cs="Times New Roman" w:eastAsia="Times New Roman" w:hint="default"/>
                <w:sz w:val="18"/>
                <w:szCs w:val="18"/>
              </w:rPr>
            </w:pPr>
            <w:r>
              <w:rPr>
                <w:rFonts w:ascii="Times New Roman"/>
                <w:sz w:val="18"/>
              </w:rPr>
              <w:t>5,000,000.00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41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3.34%</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辽宁何氏眼科医院股份有限公司</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20,000,000.00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41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0.91%</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Congenica Limited</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8,108,640.47</w:t>
            </w: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8,108,640.47</w:t>
            </w:r>
          </w:p>
        </w:tc>
        <w:tc>
          <w:tcPr>
            <w:tcW w:w="41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4.36%</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86,489,269.00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45,083,640.47</w:t>
            </w: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131,572,909.47</w:t>
            </w:r>
          </w:p>
        </w:tc>
        <w:tc>
          <w:tcPr>
            <w:tcW w:w="41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1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76"/>
        <w:ind w:left="0" w:right="133"/>
        <w:jc w:val="right"/>
        <w:rPr>
          <w:rFonts w:ascii="Times New Roman" w:hAnsi="Times New Roman" w:cs="Times New Roman" w:eastAsia="Times New Roman" w:hint="default"/>
        </w:rPr>
      </w:pPr>
      <w:r>
        <w:rPr>
          <w:rFonts w:ascii="Times New Roman"/>
        </w:rPr>
        <w:t>178</w:t>
      </w:r>
    </w:p>
    <w:p>
      <w:pPr>
        <w:spacing w:after="0" w:line="240" w:lineRule="auto"/>
        <w:jc w:val="right"/>
        <w:rPr>
          <w:rFonts w:ascii="Times New Roman" w:hAnsi="Times New Roman" w:cs="Times New Roman" w:eastAsia="Times New Roman" w:hint="default"/>
        </w:rPr>
        <w:sectPr>
          <w:headerReference w:type="default" r:id="rId55"/>
          <w:footerReference w:type="default" r:id="rId56"/>
          <w:pgSz w:w="16840" w:h="11910" w:orient="landscape"/>
          <w:pgMar w:header="0" w:footer="0" w:top="800" w:bottom="280" w:left="1300" w:right="1300"/>
        </w:sectPr>
      </w:pPr>
    </w:p>
    <w:p>
      <w:pPr>
        <w:spacing w:line="240" w:lineRule="auto" w:before="3"/>
        <w:rPr>
          <w:rFonts w:ascii="Times New Roman" w:hAnsi="Times New Roman" w:cs="Times New Roman" w:eastAsia="Times New Roman" w:hint="default"/>
          <w:sz w:val="25"/>
          <w:szCs w:val="25"/>
        </w:rPr>
      </w:pPr>
    </w:p>
    <w:p>
      <w:pPr>
        <w:pStyle w:val="Heading4"/>
        <w:spacing w:line="590" w:lineRule="auto"/>
        <w:ind w:right="5889"/>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）报告期内可供出售金融资产减值的变动情况</w:t>
      </w:r>
      <w:r>
        <w:rPr>
          <w:w w:val="99"/>
        </w:rPr>
        <w:t> </w:t>
      </w:r>
      <w:r>
        <w:rPr>
          <w:rFonts w:ascii="宋体" w:hAnsi="宋体" w:cs="宋体" w:eastAsia="宋体" w:hint="default"/>
          <w:b w:val="0"/>
          <w:bCs w:val="0"/>
        </w:rPr>
        <w:t>无</w:t>
      </w:r>
    </w:p>
    <w:p>
      <w:pPr>
        <w:pStyle w:val="Heading4"/>
        <w:spacing w:line="240" w:lineRule="auto" w:before="113"/>
        <w:ind w:right="141"/>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0"/>
        <w:rPr>
          <w:rFonts w:ascii="宋体" w:hAnsi="宋体" w:cs="宋体" w:eastAsia="宋体" w:hint="default"/>
          <w:b/>
          <w:bCs/>
          <w:sz w:val="18"/>
          <w:szCs w:val="18"/>
        </w:rPr>
      </w:pPr>
    </w:p>
    <w:p>
      <w:pPr>
        <w:spacing w:line="360" w:lineRule="auto" w:before="127"/>
        <w:ind w:left="152" w:right="8870" w:firstLine="0"/>
        <w:jc w:val="left"/>
        <w:rPr>
          <w:rFonts w:ascii="宋体" w:hAnsi="宋体" w:cs="宋体" w:eastAsia="宋体" w:hint="default"/>
          <w:sz w:val="18"/>
          <w:szCs w:val="18"/>
        </w:rPr>
      </w:pPr>
      <w:r>
        <w:rPr>
          <w:rFonts w:ascii="宋体" w:hAnsi="宋体" w:cs="宋体" w:eastAsia="宋体" w:hint="default"/>
          <w:sz w:val="18"/>
          <w:szCs w:val="18"/>
        </w:rPr>
        <w:t>无 </w:t>
      </w:r>
      <w:r>
        <w:rPr>
          <w:rFonts w:ascii="宋体" w:hAnsi="宋体" w:cs="宋体" w:eastAsia="宋体" w:hint="default"/>
          <w:b/>
          <w:bCs/>
          <w:sz w:val="18"/>
          <w:szCs w:val="18"/>
        </w:rPr>
        <w:t>其他说明：</w:t>
      </w:r>
      <w:r>
        <w:rPr>
          <w:rFonts w:ascii="宋体" w:hAnsi="宋体" w:cs="宋体" w:eastAsia="宋体" w:hint="default"/>
          <w:sz w:val="18"/>
          <w:szCs w:val="18"/>
        </w:rPr>
      </w:r>
    </w:p>
    <w:p>
      <w:pPr>
        <w:pStyle w:val="BodyText"/>
        <w:spacing w:line="240" w:lineRule="auto" w:before="25"/>
        <w:ind w:left="0" w:right="151"/>
        <w:jc w:val="right"/>
        <w:rPr>
          <w:rFonts w:ascii="Times New Roman" w:hAnsi="Times New Roman" w:cs="Times New Roman" w:eastAsia="Times New Roman" w:hint="default"/>
        </w:rPr>
      </w:pPr>
      <w:r>
        <w:rPr/>
        <w:t>注</w:t>
      </w:r>
      <w:r>
        <w:rPr>
          <w:rFonts w:ascii="Times New Roman" w:hAnsi="Times New Roman" w:cs="Times New Roman" w:eastAsia="Times New Roman" w:hint="default"/>
        </w:rPr>
        <w:t>1</w:t>
      </w:r>
      <w:r>
        <w:rPr/>
        <w:t>：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日与</w:t>
      </w:r>
      <w:r>
        <w:rPr>
          <w:rFonts w:ascii="Times New Roman" w:hAnsi="Times New Roman" w:cs="Times New Roman" w:eastAsia="Times New Roman" w:hint="default"/>
        </w:rPr>
        <w:t>Congenica</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4"/>
        </w:rPr>
        <w:t>Limited</w:t>
      </w:r>
      <w:r>
        <w:rPr>
          <w:spacing w:val="-4"/>
        </w:rPr>
        <w:t>签订《认购协议》，公司以英镑</w:t>
      </w:r>
      <w:r>
        <w:rPr>
          <w:rFonts w:ascii="Times New Roman" w:hAnsi="Times New Roman" w:cs="Times New Roman" w:eastAsia="Times New Roman" w:hint="default"/>
          <w:spacing w:val="-4"/>
        </w:rPr>
        <w:t>1,000,000.00</w:t>
      </w:r>
      <w:r>
        <w:rPr>
          <w:spacing w:val="-4"/>
        </w:rPr>
        <w:t>元（折合人民币</w:t>
      </w:r>
      <w:r>
        <w:rPr>
          <w:rFonts w:ascii="Times New Roman" w:hAnsi="Times New Roman" w:cs="Times New Roman" w:eastAsia="Times New Roman" w:hint="default"/>
          <w:spacing w:val="-4"/>
        </w:rPr>
        <w:t>8,108,640.47</w:t>
      </w:r>
    </w:p>
    <w:p>
      <w:pPr>
        <w:pStyle w:val="BodyText"/>
        <w:spacing w:line="240" w:lineRule="auto" w:before="63"/>
        <w:ind w:right="141"/>
        <w:jc w:val="left"/>
      </w:pPr>
      <w:r>
        <w:rPr/>
        <w:t>元）取得</w:t>
      </w:r>
      <w:r>
        <w:rPr>
          <w:rFonts w:ascii="Times New Roman" w:hAnsi="Times New Roman" w:cs="Times New Roman" w:eastAsia="Times New Roman" w:hint="default"/>
        </w:rPr>
        <w:t>Congenica Limited</w:t>
      </w:r>
      <w:r>
        <w:rPr>
          <w:rFonts w:ascii="Times New Roman" w:hAnsi="Times New Roman" w:cs="Times New Roman" w:eastAsia="Times New Roman" w:hint="default"/>
          <w:spacing w:val="-10"/>
        </w:rPr>
        <w:t> </w:t>
      </w:r>
      <w:r>
        <w:rPr>
          <w:rFonts w:ascii="Times New Roman" w:hAnsi="Times New Roman" w:cs="Times New Roman" w:eastAsia="Times New Roman" w:hint="default"/>
        </w:rPr>
        <w:t>959,140.00</w:t>
      </w:r>
      <w:r>
        <w:rPr/>
        <w:t>股</w:t>
      </w:r>
      <w:r>
        <w:rPr>
          <w:rFonts w:ascii="Times New Roman" w:hAnsi="Times New Roman" w:cs="Times New Roman" w:eastAsia="Times New Roman" w:hint="default"/>
        </w:rPr>
        <w:t>A</w:t>
      </w:r>
      <w:r>
        <w:rPr/>
        <w:t>类普通股。</w:t>
      </w:r>
    </w:p>
    <w:p>
      <w:pPr>
        <w:spacing w:line="240" w:lineRule="auto" w:before="0"/>
        <w:rPr>
          <w:rFonts w:ascii="宋体" w:hAnsi="宋体" w:cs="宋体" w:eastAsia="宋体" w:hint="default"/>
          <w:sz w:val="26"/>
          <w:szCs w:val="26"/>
        </w:rPr>
      </w:pPr>
    </w:p>
    <w:p>
      <w:pPr>
        <w:pStyle w:val="Heading3"/>
        <w:spacing w:line="240" w:lineRule="auto"/>
        <w:ind w:right="141"/>
        <w:jc w:val="left"/>
        <w:rPr>
          <w:b w:val="0"/>
          <w:bCs w:val="0"/>
        </w:rPr>
      </w:pPr>
      <w:r>
        <w:rPr>
          <w:rFonts w:ascii="Times New Roman" w:hAnsi="Times New Roman" w:cs="Times New Roman" w:eastAsia="Times New Roman" w:hint="default"/>
        </w:rPr>
        <w:t>9</w:t>
      </w:r>
      <w:r>
        <w:rPr/>
        <w:t>、长期应收款</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402"/>
        <w:gridCol w:w="1169"/>
        <w:gridCol w:w="1167"/>
        <w:gridCol w:w="1166"/>
        <w:gridCol w:w="1167"/>
        <w:gridCol w:w="1169"/>
        <w:gridCol w:w="1165"/>
        <w:gridCol w:w="1166"/>
      </w:tblGrid>
      <w:tr>
        <w:trPr>
          <w:trHeight w:val="403" w:hRule="exact"/>
        </w:trPr>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2" w:type="dxa"/>
            <w:vMerge/>
            <w:tcBorders>
              <w:left w:val="single" w:sz="4" w:space="0" w:color="000000"/>
              <w:bottom w:val="single" w:sz="4" w:space="0" w:color="000000"/>
              <w:right w:val="single" w:sz="4" w:space="0" w:color="000000"/>
            </w:tcBorders>
            <w:shd w:val="clear" w:color="auto" w:fill="D2D2D2"/>
          </w:tcPr>
          <w:p>
            <w:pP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2,240,346.27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2,240,346.27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24%</w:t>
            </w:r>
          </w:p>
        </w:tc>
      </w:tr>
      <w:tr>
        <w:trPr>
          <w:trHeight w:val="401"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2,240,346.27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2,240,346.27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left="0" w:right="148"/>
        <w:jc w:val="right"/>
        <w:rPr>
          <w:rFonts w:ascii="Times New Roman" w:hAnsi="Times New Roman" w:cs="Times New Roman" w:eastAsia="Times New Roman" w:hint="default"/>
        </w:rPr>
      </w:pPr>
      <w:r>
        <w:rPr>
          <w:rFonts w:ascii="Times New Roman"/>
        </w:rPr>
        <w:t>179</w:t>
      </w:r>
    </w:p>
    <w:p>
      <w:pPr>
        <w:spacing w:after="0" w:line="240" w:lineRule="auto"/>
        <w:jc w:val="right"/>
        <w:rPr>
          <w:rFonts w:ascii="Times New Roman" w:hAnsi="Times New Roman" w:cs="Times New Roman" w:eastAsia="Times New Roman" w:hint="default"/>
        </w:rPr>
        <w:sectPr>
          <w:headerReference w:type="default" r:id="rId57"/>
          <w:footerReference w:type="default" r:id="rId58"/>
          <w:pgSz w:w="11910" w:h="16840"/>
          <w:pgMar w:header="880" w:footer="0" w:top="1100" w:bottom="280" w:left="980" w:right="980"/>
        </w:sectPr>
      </w:pPr>
    </w:p>
    <w:p>
      <w:pPr>
        <w:spacing w:line="240" w:lineRule="auto" w:before="4"/>
        <w:rPr>
          <w:rFonts w:ascii="Times New Roman" w:hAnsi="Times New Roman" w:cs="Times New Roman" w:eastAsia="Times New Roman" w:hint="default"/>
          <w:sz w:val="27"/>
          <w:szCs w:val="27"/>
        </w:rPr>
      </w:pPr>
    </w:p>
    <w:p>
      <w:pPr>
        <w:pStyle w:val="Heading3"/>
        <w:spacing w:line="240" w:lineRule="auto"/>
        <w:ind w:left="140" w:right="-10"/>
        <w:jc w:val="left"/>
        <w:rPr>
          <w:b w:val="0"/>
          <w:bCs w:val="0"/>
        </w:rPr>
      </w:pPr>
      <w:r>
        <w:rPr/>
        <w:pict>
          <v:group style="position:absolute;margin-left:70.559998pt;margin-top:-.476309pt;width:700.95pt;height:.1pt;mso-position-horizontal-relative:page;mso-position-vertical-relative:paragraph;z-index:2080" coordorigin="1411,-10" coordsize="14019,2">
            <v:shape style="position:absolute;left:1411;top:-10;width:14019;height:2" coordorigin="1411,-10" coordsize="14019,0" path="m1411,-10l15430,-10e" filled="false" stroked="true" strokeweight=".72pt" strokecolor="#000000">
              <v:path arrowok="t"/>
            </v:shape>
            <w10:wrap type="none"/>
          </v:group>
        </w:pict>
      </w:r>
      <w:r>
        <w:rPr>
          <w:rFonts w:ascii="Times New Roman" w:hAnsi="Times New Roman" w:cs="Times New Roman" w:eastAsia="Times New Roman" w:hint="default"/>
          <w:spacing w:val="-1"/>
        </w:rPr>
        <w:t>10</w:t>
      </w:r>
      <w:r>
        <w:rPr>
          <w:spacing w:val="-1"/>
        </w:rPr>
        <w:t>、长期股权投资</w:t>
      </w:r>
      <w:r>
        <w:rPr>
          <w:b w:val="0"/>
          <w:bCs w:val="0"/>
          <w:spacing w:val="-1"/>
        </w:rPr>
      </w:r>
    </w:p>
    <w:p>
      <w:pPr>
        <w:pStyle w:val="BodyText"/>
        <w:spacing w:line="240" w:lineRule="auto" w:before="17"/>
        <w:ind w:left="140" w:right="0"/>
        <w:jc w:val="left"/>
      </w:pPr>
      <w:r>
        <w:rPr/>
        <w:br w:type="column"/>
      </w:r>
      <w:r>
        <w:rPr/>
        <w:t>深圳华大基因股份有限公司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59"/>
          <w:footerReference w:type="default" r:id="rId60"/>
          <w:pgSz w:w="16840" w:h="11910" w:orient="landscape"/>
          <w:pgMar w:header="0" w:footer="0" w:top="800" w:bottom="280" w:left="1300" w:right="1300"/>
          <w:cols w:num="2" w:equalWidth="0">
            <w:col w:w="1828" w:space="8261"/>
            <w:col w:w="4151"/>
          </w:cols>
        </w:sectPr>
      </w:pPr>
    </w:p>
    <w:p>
      <w:pPr>
        <w:spacing w:line="240" w:lineRule="auto" w:before="1"/>
        <w:rPr>
          <w:rFonts w:ascii="宋体" w:hAnsi="宋体" w:cs="宋体" w:eastAsia="宋体" w:hint="default"/>
          <w:sz w:val="23"/>
          <w:szCs w:val="23"/>
        </w:rPr>
      </w:pPr>
    </w:p>
    <w:p>
      <w:pPr>
        <w:pStyle w:val="BodyText"/>
        <w:spacing w:line="240" w:lineRule="auto" w:before="44"/>
        <w:ind w:left="0" w:right="135"/>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2086"/>
        <w:gridCol w:w="1090"/>
        <w:gridCol w:w="663"/>
        <w:gridCol w:w="665"/>
        <w:gridCol w:w="1819"/>
        <w:gridCol w:w="1344"/>
        <w:gridCol w:w="948"/>
        <w:gridCol w:w="1659"/>
        <w:gridCol w:w="946"/>
        <w:gridCol w:w="379"/>
        <w:gridCol w:w="1090"/>
        <w:gridCol w:w="1234"/>
      </w:tblGrid>
      <w:tr>
        <w:trPr>
          <w:trHeight w:val="401" w:hRule="exact"/>
        </w:trPr>
        <w:tc>
          <w:tcPr>
            <w:tcW w:w="20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42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432" w:right="7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5" w:hRule="exact"/>
        </w:trPr>
        <w:tc>
          <w:tcPr>
            <w:tcW w:w="2086"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53"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55"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2" w:right="95" w:hanging="629"/>
              <w:jc w:val="left"/>
              <w:rPr>
                <w:rFonts w:ascii="宋体" w:hAnsi="宋体" w:cs="宋体" w:eastAsia="宋体" w:hint="default"/>
                <w:sz w:val="18"/>
                <w:szCs w:val="18"/>
              </w:rPr>
            </w:pPr>
            <w:r>
              <w:rPr>
                <w:rFonts w:ascii="宋体" w:hAnsi="宋体" w:cs="宋体" w:eastAsia="宋体" w:hint="default"/>
                <w:sz w:val="18"/>
                <w:szCs w:val="18"/>
              </w:rPr>
              <w:t>权益法下确认的投资 损益</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6" w:right="36" w:hanging="541"/>
              <w:jc w:val="left"/>
              <w:rPr>
                <w:rFonts w:ascii="宋体" w:hAnsi="宋体" w:cs="宋体" w:eastAsia="宋体" w:hint="default"/>
                <w:sz w:val="18"/>
                <w:szCs w:val="18"/>
              </w:rPr>
            </w:pPr>
            <w:r>
              <w:rPr>
                <w:rFonts w:ascii="宋体" w:hAnsi="宋体" w:cs="宋体" w:eastAsia="宋体" w:hint="default"/>
                <w:sz w:val="18"/>
                <w:szCs w:val="18"/>
              </w:rPr>
              <w:t>其他综合收益调 整</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7" w:right="108"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1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52" w:right="104" w:hanging="449"/>
              <w:jc w:val="left"/>
              <w:rPr>
                <w:rFonts w:ascii="宋体" w:hAnsi="宋体" w:cs="宋体" w:eastAsia="宋体" w:hint="default"/>
                <w:sz w:val="18"/>
                <w:szCs w:val="18"/>
              </w:rPr>
            </w:pPr>
            <w:r>
              <w:rPr>
                <w:rFonts w:ascii="宋体" w:hAnsi="宋体" w:cs="宋体" w:eastAsia="宋体" w:hint="default"/>
                <w:sz w:val="18"/>
                <w:szCs w:val="18"/>
              </w:rPr>
              <w:t>宣告发放现金股利 或利润</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8"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5"/>
              <w:jc w:val="left"/>
              <w:rPr>
                <w:rFonts w:ascii="宋体" w:hAnsi="宋体" w:cs="宋体" w:eastAsia="宋体" w:hint="default"/>
                <w:sz w:val="18"/>
                <w:szCs w:val="18"/>
              </w:rPr>
            </w:pPr>
            <w:r>
              <w:rPr>
                <w:rFonts w:ascii="宋体" w:hAnsi="宋体" w:cs="宋体" w:eastAsia="宋体" w:hint="default"/>
                <w:sz w:val="18"/>
                <w:szCs w:val="18"/>
              </w:rPr>
              <w:t>其 他</w:t>
            </w:r>
          </w:p>
        </w:tc>
        <w:tc>
          <w:tcPr>
            <w:tcW w:w="1090" w:type="dxa"/>
            <w:vMerge/>
            <w:tcBorders>
              <w:left w:val="single" w:sz="4" w:space="0" w:color="000000"/>
              <w:bottom w:val="single" w:sz="4" w:space="0" w:color="000000"/>
              <w:right w:val="single" w:sz="4" w:space="0" w:color="000000"/>
            </w:tcBorders>
            <w:shd w:val="clear" w:color="auto" w:fill="D2D2D2"/>
          </w:tcPr>
          <w:p>
            <w:pPr/>
          </w:p>
        </w:tc>
        <w:tc>
          <w:tcPr>
            <w:tcW w:w="123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92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1392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苏州泓迅生物科技股份有 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12,156,914.99</w:t>
            </w: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-1,237,740.74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-26,261.68</w:t>
            </w:r>
          </w:p>
        </w:tc>
        <w:tc>
          <w:tcPr>
            <w:tcW w:w="94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10,892,912.57</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深圳市同并相联科技有限 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1,539,114.82</w:t>
            </w: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-1,074,033.71</w:t>
            </w:r>
          </w:p>
        </w:tc>
        <w:tc>
          <w:tcPr>
            <w:tcW w:w="1344"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465,081.11</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13,696,029.81</w:t>
            </w: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-2,311,774.45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-26,261.68</w:t>
            </w:r>
          </w:p>
        </w:tc>
        <w:tc>
          <w:tcPr>
            <w:tcW w:w="94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11,357,993.68</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13,696,029.81</w:t>
            </w: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-2,311,774.45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-26,261.68</w:t>
            </w:r>
          </w:p>
        </w:tc>
        <w:tc>
          <w:tcPr>
            <w:tcW w:w="94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11,357,993.68</w:t>
            </w:r>
          </w:p>
        </w:tc>
        <w:tc>
          <w:tcPr>
            <w:tcW w:w="12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76"/>
        <w:ind w:left="0" w:right="133"/>
        <w:jc w:val="right"/>
        <w:rPr>
          <w:rFonts w:ascii="Times New Roman" w:hAnsi="Times New Roman" w:cs="Times New Roman" w:eastAsia="Times New Roman" w:hint="default"/>
        </w:rPr>
      </w:pPr>
      <w:r>
        <w:rPr>
          <w:rFonts w:ascii="Times New Roman"/>
        </w:rPr>
        <w:t>180</w:t>
      </w:r>
    </w:p>
    <w:p>
      <w:pPr>
        <w:spacing w:after="0" w:line="240" w:lineRule="auto"/>
        <w:jc w:val="right"/>
        <w:rPr>
          <w:rFonts w:ascii="Times New Roman" w:hAnsi="Times New Roman" w:cs="Times New Roman" w:eastAsia="Times New Roman" w:hint="default"/>
        </w:rPr>
        <w:sectPr>
          <w:type w:val="continuous"/>
          <w:pgSz w:w="16840" w:h="11910" w:orient="landscape"/>
          <w:pgMar w:top="1060" w:bottom="1160" w:left="1300" w:right="130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6"/>
        <w:ind w:right="141"/>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326,513,299.58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338,750,108.08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7,200,580.09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63,105,361.01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735,569,348.76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232,771,236.29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822,144.16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45,984,757.47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279,578,137.92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108,123,285.84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822,144.16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45,981,466.87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154,926,896.87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124,647,950.45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3,290.60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124,651,241.05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9,513,140.96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5,696,817.96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15,209,958.92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9,513,140.96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5,696,817.96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15,209,958.92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4" w:right="161"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外币报表折 算差额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-7,618,223.50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-2,868,934.26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-3,808.66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-2,909,620.90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-13,400,587.32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318,895,076.08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559,139,269.15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8,018,915.59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100,483,679.62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986,536,940.44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13,205,469.98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124,322,910.34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4,976,733.06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39,054,120.21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181,559,233.59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10,330,562.84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64,102,716.07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916,300.75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19,689,753.75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95,039,333.41</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10,330,562.84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64,102,716.07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916,300.75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19,689,753.75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95,039,333.41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6,927,411.47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4,378,302.85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11,305,714.32</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6,927,411.47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4,378,302.85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11,305,714.32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4" w:right="69" w:firstLine="27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外币报表折算 差额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-340,369.25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-1,252,008.90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-2,221.72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-1,862,784.30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-3,457,384.17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23,195,663.57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180,246,206.04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5,890,812.09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52,502,786.81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261,835,468.51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1"/>
          <w:pgSz w:w="11910" w:h="16840"/>
          <w:pgMar w:footer="974" w:header="0" w:top="1100" w:bottom="1160" w:left="980" w:right="980"/>
          <w:pgNumType w:start="181"/>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295,699,412.51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378,893,063.11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2,128,103.50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47,980,892.81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724,701,471.93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313,307,829.60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214,427,197.74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2,223,847.03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24,051,240.80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554,010,115.17</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79"/>
        <w:gridCol w:w="4789"/>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68,439,537.52</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24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668"/>
        <w:gridCol w:w="1275"/>
        <w:gridCol w:w="1159"/>
        <w:gridCol w:w="1368"/>
        <w:gridCol w:w="1584"/>
        <w:gridCol w:w="1150"/>
        <w:gridCol w:w="1368"/>
      </w:tblGrid>
      <w:tr>
        <w:trPr>
          <w:trHeight w:val="401" w:hRule="exact"/>
        </w:trPr>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68"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32"/>
              <w:jc w:val="both"/>
              <w:rPr>
                <w:rFonts w:ascii="宋体" w:hAnsi="宋体" w:cs="宋体" w:eastAsia="宋体" w:hint="default"/>
                <w:sz w:val="18"/>
                <w:szCs w:val="18"/>
              </w:rPr>
            </w:pPr>
            <w:r>
              <w:rPr>
                <w:rFonts w:ascii="宋体" w:hAnsi="宋体" w:cs="宋体" w:eastAsia="宋体" w:hint="default"/>
                <w:sz w:val="18"/>
                <w:szCs w:val="18"/>
              </w:rPr>
              <w:t>北京华大吉比爱生 物技术有限公司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办 公室改造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582,000.00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582,000.00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32"/>
              <w:jc w:val="both"/>
              <w:rPr>
                <w:rFonts w:ascii="宋体" w:hAnsi="宋体" w:cs="宋体" w:eastAsia="宋体" w:hint="default"/>
                <w:sz w:val="18"/>
                <w:szCs w:val="18"/>
              </w:rPr>
            </w:pPr>
            <w:r>
              <w:rPr>
                <w:rFonts w:ascii="宋体" w:hAnsi="宋体" w:cs="宋体" w:eastAsia="宋体" w:hint="default"/>
                <w:sz w:val="18"/>
                <w:szCs w:val="18"/>
              </w:rPr>
              <w:t>华大生物科技（武 汉）有限公司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阳性 对照室改造</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388,664.40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388,664.40</w:t>
            </w:r>
          </w:p>
        </w:tc>
      </w:tr>
      <w:tr>
        <w:trPr>
          <w:trHeight w:val="102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32"/>
              <w:jc w:val="both"/>
              <w:rPr>
                <w:rFonts w:ascii="宋体" w:hAnsi="宋体" w:cs="宋体" w:eastAsia="宋体" w:hint="default"/>
                <w:sz w:val="18"/>
                <w:szCs w:val="18"/>
              </w:rPr>
            </w:pPr>
            <w:r>
              <w:rPr>
                <w:rFonts w:ascii="宋体" w:hAnsi="宋体" w:cs="宋体" w:eastAsia="宋体" w:hint="default"/>
                <w:sz w:val="18"/>
                <w:szCs w:val="18"/>
              </w:rPr>
              <w:t>云南华大昆华医学 检验所有限公司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实 验室装修工程</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2,223,104.80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2,223,104.80</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14,155,276.69</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14,155,276.69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17,929.23</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17,929.23</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14,737,276.69</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14,737,276.69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2,629,698.43</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2,629,698.43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80"/>
        </w:sectPr>
      </w:pPr>
    </w:p>
    <w:p>
      <w:pPr>
        <w:spacing w:line="240" w:lineRule="auto" w:before="8"/>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22"/>
        <w:ind w:left="140" w:right="7418"/>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35"/>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2271"/>
        <w:gridCol w:w="1184"/>
        <w:gridCol w:w="1001"/>
        <w:gridCol w:w="1181"/>
        <w:gridCol w:w="1424"/>
        <w:gridCol w:w="1236"/>
        <w:gridCol w:w="1090"/>
        <w:gridCol w:w="1179"/>
        <w:gridCol w:w="430"/>
        <w:gridCol w:w="751"/>
        <w:gridCol w:w="1061"/>
        <w:gridCol w:w="687"/>
        <w:gridCol w:w="430"/>
      </w:tblGrid>
      <w:tr>
        <w:trPr>
          <w:trHeight w:val="1025"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6"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4" w:right="77" w:hanging="360"/>
              <w:jc w:val="left"/>
              <w:rPr>
                <w:rFonts w:ascii="宋体" w:hAnsi="宋体" w:cs="宋体" w:eastAsia="宋体" w:hint="default"/>
                <w:sz w:val="18"/>
                <w:szCs w:val="18"/>
              </w:rPr>
            </w:pPr>
            <w:r>
              <w:rPr>
                <w:rFonts w:ascii="宋体" w:hAnsi="宋体" w:cs="宋体" w:eastAsia="宋体" w:hint="default"/>
                <w:sz w:val="18"/>
                <w:szCs w:val="18"/>
              </w:rPr>
              <w:t>本期转入固定资 产金额</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1" w:right="72" w:hanging="360"/>
              <w:jc w:val="left"/>
              <w:rPr>
                <w:rFonts w:ascii="宋体" w:hAnsi="宋体" w:cs="宋体" w:eastAsia="宋体" w:hint="default"/>
                <w:sz w:val="18"/>
                <w:szCs w:val="18"/>
              </w:rPr>
            </w:pPr>
            <w:r>
              <w:rPr>
                <w:rFonts w:ascii="宋体" w:hAnsi="宋体" w:cs="宋体" w:eastAsia="宋体" w:hint="default"/>
                <w:sz w:val="18"/>
                <w:szCs w:val="18"/>
              </w:rPr>
              <w:t>本期其他减少 金额</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工程累计投入 占预算比例</w:t>
            </w:r>
          </w:p>
        </w:tc>
        <w:tc>
          <w:tcPr>
            <w:tcW w:w="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9"/>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98"/>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4" w:right="74"/>
              <w:jc w:val="center"/>
              <w:rPr>
                <w:rFonts w:ascii="宋体" w:hAnsi="宋体" w:cs="宋体" w:eastAsia="宋体" w:hint="default"/>
                <w:sz w:val="18"/>
                <w:szCs w:val="18"/>
              </w:rPr>
            </w:pPr>
            <w:r>
              <w:rPr>
                <w:rFonts w:ascii="宋体" w:hAnsi="宋体" w:cs="宋体" w:eastAsia="宋体" w:hint="default"/>
                <w:sz w:val="18"/>
                <w:szCs w:val="18"/>
              </w:rPr>
              <w:t>其中：本期 利息资本化 金额</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7" w:right="6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9"/>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71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7"/>
              <w:jc w:val="left"/>
              <w:rPr>
                <w:rFonts w:ascii="宋体" w:hAnsi="宋体" w:cs="宋体" w:eastAsia="宋体" w:hint="default"/>
                <w:sz w:val="18"/>
                <w:szCs w:val="18"/>
              </w:rPr>
            </w:pPr>
            <w:r>
              <w:rPr>
                <w:rFonts w:ascii="宋体" w:hAnsi="宋体" w:cs="宋体" w:eastAsia="宋体" w:hint="default"/>
                <w:sz w:val="18"/>
                <w:szCs w:val="18"/>
              </w:rPr>
              <w:t>华大生物科技（武汉）有限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阳性对照室改造</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388,664.40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388,664.40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结束</w:t>
            </w:r>
          </w:p>
        </w:tc>
        <w:tc>
          <w:tcPr>
            <w:tcW w:w="7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7"/>
              <w:jc w:val="left"/>
              <w:rPr>
                <w:rFonts w:ascii="宋体" w:hAnsi="宋体" w:cs="宋体" w:eastAsia="宋体" w:hint="default"/>
                <w:sz w:val="18"/>
                <w:szCs w:val="18"/>
              </w:rPr>
            </w:pPr>
            <w:r>
              <w:rPr>
                <w:rFonts w:ascii="宋体" w:hAnsi="宋体" w:cs="宋体" w:eastAsia="宋体" w:hint="default"/>
                <w:sz w:val="18"/>
                <w:szCs w:val="18"/>
              </w:rPr>
              <w:t>华大生物科技（武汉）有限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冷库建造</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2,085,926.00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1,875,606.50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1,875,606.50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结束</w:t>
            </w:r>
          </w:p>
        </w:tc>
        <w:tc>
          <w:tcPr>
            <w:tcW w:w="7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7"/>
              <w:jc w:val="left"/>
              <w:rPr>
                <w:rFonts w:ascii="宋体" w:hAnsi="宋体" w:cs="宋体" w:eastAsia="宋体" w:hint="default"/>
                <w:sz w:val="18"/>
                <w:szCs w:val="18"/>
              </w:rPr>
            </w:pPr>
            <w:r>
              <w:rPr>
                <w:rFonts w:ascii="宋体" w:hAnsi="宋体" w:cs="宋体" w:eastAsia="宋体" w:hint="default"/>
                <w:sz w:val="18"/>
                <w:szCs w:val="18"/>
              </w:rPr>
              <w:t>武汉华大医学检验所有限公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消防改造工程</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1,177,965.82</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730,057.27</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730,057.27</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结束</w:t>
            </w:r>
          </w:p>
        </w:tc>
        <w:tc>
          <w:tcPr>
            <w:tcW w:w="7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7"/>
              <w:jc w:val="left"/>
              <w:rPr>
                <w:rFonts w:ascii="宋体" w:hAnsi="宋体" w:cs="宋体" w:eastAsia="宋体" w:hint="default"/>
                <w:sz w:val="18"/>
                <w:szCs w:val="18"/>
              </w:rPr>
            </w:pPr>
            <w:r>
              <w:rPr>
                <w:rFonts w:ascii="宋体" w:hAnsi="宋体" w:cs="宋体" w:eastAsia="宋体" w:hint="default"/>
                <w:sz w:val="18"/>
                <w:szCs w:val="18"/>
              </w:rPr>
              <w:t>武汉华大医学检验所有限公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漏水整改工程</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967,513.38</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805,898.84</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805,898.84</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结束</w:t>
            </w:r>
          </w:p>
        </w:tc>
        <w:tc>
          <w:tcPr>
            <w:tcW w:w="7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 w:right="77"/>
              <w:jc w:val="left"/>
              <w:rPr>
                <w:rFonts w:ascii="宋体" w:hAnsi="宋体" w:cs="宋体" w:eastAsia="宋体" w:hint="default"/>
                <w:sz w:val="18"/>
                <w:szCs w:val="18"/>
              </w:rPr>
            </w:pPr>
            <w:r>
              <w:rPr>
                <w:rFonts w:ascii="宋体" w:hAnsi="宋体" w:cs="宋体" w:eastAsia="宋体" w:hint="default"/>
                <w:sz w:val="18"/>
                <w:szCs w:val="18"/>
              </w:rPr>
              <w:t>武汉华大医学检验所有限公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污水处理工程</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802,913.68</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542,640.50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542,640.50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结束</w:t>
            </w:r>
          </w:p>
        </w:tc>
        <w:tc>
          <w:tcPr>
            <w:tcW w:w="7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7"/>
              <w:jc w:val="left"/>
              <w:rPr>
                <w:rFonts w:ascii="宋体" w:hAnsi="宋体" w:cs="宋体" w:eastAsia="宋体" w:hint="default"/>
                <w:sz w:val="18"/>
                <w:szCs w:val="18"/>
              </w:rPr>
            </w:pPr>
            <w:r>
              <w:rPr>
                <w:rFonts w:ascii="宋体" w:hAnsi="宋体" w:cs="宋体" w:eastAsia="宋体" w:hint="default"/>
                <w:sz w:val="18"/>
                <w:szCs w:val="18"/>
              </w:rPr>
              <w:t>武汉华大医学检验所有限公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七氟丙烷充装工程</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209,250.00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197,405.66</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197,405.66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结束</w:t>
            </w:r>
          </w:p>
        </w:tc>
        <w:tc>
          <w:tcPr>
            <w:tcW w:w="7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7"/>
              <w:jc w:val="left"/>
              <w:rPr>
                <w:rFonts w:ascii="宋体" w:hAnsi="宋体" w:cs="宋体" w:eastAsia="宋体" w:hint="default"/>
                <w:sz w:val="18"/>
                <w:szCs w:val="18"/>
              </w:rPr>
            </w:pPr>
            <w:r>
              <w:rPr>
                <w:rFonts w:ascii="宋体" w:hAnsi="宋体" w:cs="宋体" w:eastAsia="宋体" w:hint="default"/>
                <w:sz w:val="18"/>
                <w:szCs w:val="18"/>
              </w:rPr>
              <w:t>云南华大昆华医学检验所有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实验室装修工程</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2,223,104.80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1,875,611.30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4,098,716.10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结束</w:t>
            </w:r>
          </w:p>
        </w:tc>
        <w:tc>
          <w:tcPr>
            <w:tcW w:w="7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1" w:right="77"/>
              <w:jc w:val="left"/>
              <w:rPr>
                <w:rFonts w:ascii="宋体" w:hAnsi="宋体" w:cs="宋体" w:eastAsia="宋体" w:hint="default"/>
                <w:sz w:val="18"/>
                <w:szCs w:val="18"/>
              </w:rPr>
            </w:pPr>
            <w:r>
              <w:rPr>
                <w:rFonts w:ascii="宋体" w:hAnsi="宋体" w:cs="宋体" w:eastAsia="宋体" w:hint="default"/>
                <w:sz w:val="18"/>
                <w:szCs w:val="18"/>
              </w:rPr>
              <w:t>北京华大吉比爱生物技术有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体外诊断试剂厂房 改造工程</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5,810,000.00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5,355,781.00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5,355,781.00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center"/>
              <w:rPr>
                <w:rFonts w:ascii="宋体" w:hAnsi="宋体" w:cs="宋体" w:eastAsia="宋体" w:hint="default"/>
                <w:sz w:val="18"/>
                <w:szCs w:val="18"/>
              </w:rPr>
            </w:pPr>
            <w:r>
              <w:rPr>
                <w:rFonts w:ascii="宋体" w:hAnsi="宋体" w:cs="宋体" w:eastAsia="宋体" w:hint="default"/>
                <w:sz w:val="18"/>
                <w:szCs w:val="18"/>
              </w:rPr>
              <w:t>结束</w:t>
            </w:r>
          </w:p>
        </w:tc>
        <w:tc>
          <w:tcPr>
            <w:tcW w:w="7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7"/>
              <w:jc w:val="left"/>
              <w:rPr>
                <w:rFonts w:ascii="宋体" w:hAnsi="宋体" w:cs="宋体" w:eastAsia="宋体" w:hint="default"/>
                <w:sz w:val="18"/>
                <w:szCs w:val="18"/>
              </w:rPr>
            </w:pPr>
            <w:r>
              <w:rPr>
                <w:rFonts w:ascii="宋体" w:hAnsi="宋体" w:cs="宋体" w:eastAsia="宋体" w:hint="default"/>
                <w:sz w:val="18"/>
                <w:szCs w:val="18"/>
              </w:rPr>
              <w:t>北京华大吉比爱生物技术有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办公室改造</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2,415,780.00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1,720,242.16</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1,138,242.16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582,000.00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71.00%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工程 中期</w:t>
            </w:r>
          </w:p>
        </w:tc>
        <w:tc>
          <w:tcPr>
            <w:tcW w:w="7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自建固定资产</w:t>
            </w:r>
            <w:r>
              <w:rPr>
                <w:rFonts w:ascii="Times New Roman" w:hAnsi="Times New Roman" w:cs="Times New Roman" w:eastAsia="Times New Roman" w:hint="default"/>
                <w:sz w:val="18"/>
                <w:szCs w:val="18"/>
              </w:rPr>
              <w:t>-BGISEQ-500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124,610,222.16</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124,610,222.16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124,610,222.16</w:t>
            </w:r>
          </w:p>
        </w:tc>
        <w:tc>
          <w:tcPr>
            <w:tcW w:w="123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结束</w:t>
            </w:r>
          </w:p>
        </w:tc>
        <w:tc>
          <w:tcPr>
            <w:tcW w:w="7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17,929.23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14,237,825.81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41,018.89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59,459.46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14,155,276.69</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
              <w:jc w:val="center"/>
              <w:rPr>
                <w:rFonts w:ascii="宋体" w:hAnsi="宋体" w:cs="宋体" w:eastAsia="宋体" w:hint="default"/>
                <w:sz w:val="18"/>
                <w:szCs w:val="18"/>
              </w:rPr>
            </w:pPr>
            <w:r>
              <w:rPr>
                <w:rFonts w:ascii="宋体" w:hAnsi="宋体" w:cs="宋体" w:eastAsia="宋体" w:hint="default"/>
                <w:sz w:val="18"/>
                <w:szCs w:val="18"/>
              </w:rPr>
              <w:t>工程</w:t>
            </w:r>
          </w:p>
        </w:tc>
        <w:tc>
          <w:tcPr>
            <w:tcW w:w="7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center"/>
        <w:rPr>
          <w:rFonts w:ascii="宋体" w:hAnsi="宋体" w:cs="宋体" w:eastAsia="宋体" w:hint="default"/>
          <w:sz w:val="18"/>
          <w:szCs w:val="18"/>
        </w:rPr>
        <w:sectPr>
          <w:headerReference w:type="default" r:id="rId62"/>
          <w:footerReference w:type="default" r:id="rId63"/>
          <w:pgSz w:w="16840" w:h="11910" w:orient="landscape"/>
          <w:pgMar w:header="870" w:footer="975" w:top="1060" w:bottom="1160" w:left="1300" w:right="1300"/>
          <w:pgNumType w:start="183"/>
        </w:sectPr>
      </w:pPr>
    </w:p>
    <w:p>
      <w:pPr>
        <w:spacing w:line="240" w:lineRule="auto" w:before="11"/>
        <w:rPr>
          <w:rFonts w:ascii="Times New Roman" w:hAnsi="Times New Roman" w:cs="Times New Roman" w:eastAsia="Times New Roman"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271"/>
        <w:gridCol w:w="1184"/>
        <w:gridCol w:w="1001"/>
        <w:gridCol w:w="1181"/>
        <w:gridCol w:w="1424"/>
        <w:gridCol w:w="1236"/>
        <w:gridCol w:w="1090"/>
        <w:gridCol w:w="1179"/>
        <w:gridCol w:w="430"/>
        <w:gridCol w:w="751"/>
        <w:gridCol w:w="1061"/>
        <w:gridCol w:w="687"/>
        <w:gridCol w:w="430"/>
      </w:tblGrid>
      <w:tr>
        <w:trPr>
          <w:trHeight w:val="377" w:hRule="exact"/>
        </w:trPr>
        <w:tc>
          <w:tcPr>
            <w:tcW w:w="2271" w:type="dxa"/>
            <w:tcBorders>
              <w:top w:val="single" w:sz="15" w:space="0" w:color="000000"/>
              <w:left w:val="single" w:sz="4" w:space="0" w:color="000000"/>
              <w:bottom w:val="single" w:sz="4" w:space="0" w:color="000000"/>
              <w:right w:val="single" w:sz="4" w:space="0" w:color="000000"/>
            </w:tcBorders>
          </w:tcPr>
          <w:p>
            <w:pPr/>
          </w:p>
        </w:tc>
        <w:tc>
          <w:tcPr>
            <w:tcW w:w="1184"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424" w:type="dxa"/>
            <w:tcBorders>
              <w:top w:val="single" w:sz="15" w:space="0" w:color="000000"/>
              <w:left w:val="single" w:sz="4" w:space="0" w:color="000000"/>
              <w:bottom w:val="single" w:sz="4" w:space="0" w:color="000000"/>
              <w:right w:val="single" w:sz="4" w:space="0" w:color="000000"/>
            </w:tcBorders>
          </w:tcPr>
          <w:p>
            <w:pPr/>
          </w:p>
        </w:tc>
        <w:tc>
          <w:tcPr>
            <w:tcW w:w="1236"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179" w:type="dxa"/>
            <w:tcBorders>
              <w:top w:val="single" w:sz="15" w:space="0" w:color="000000"/>
              <w:left w:val="single" w:sz="4" w:space="0" w:color="000000"/>
              <w:bottom w:val="single" w:sz="4" w:space="0" w:color="000000"/>
              <w:right w:val="single" w:sz="4" w:space="0" w:color="000000"/>
            </w:tcBorders>
          </w:tcPr>
          <w:p>
            <w:pPr/>
          </w:p>
        </w:tc>
        <w:tc>
          <w:tcPr>
            <w:tcW w:w="4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11"/>
              <w:jc w:val="center"/>
              <w:rPr>
                <w:rFonts w:ascii="宋体" w:hAnsi="宋体" w:cs="宋体" w:eastAsia="宋体" w:hint="default"/>
                <w:sz w:val="18"/>
                <w:szCs w:val="18"/>
              </w:rPr>
            </w:pPr>
            <w:r>
              <w:rPr>
                <w:rFonts w:ascii="宋体" w:hAnsi="宋体" w:cs="宋体" w:eastAsia="宋体" w:hint="default"/>
                <w:sz w:val="18"/>
                <w:szCs w:val="18"/>
              </w:rPr>
              <w:t>中期</w:t>
            </w:r>
          </w:p>
        </w:tc>
        <w:tc>
          <w:tcPr>
            <w:tcW w:w="751" w:type="dxa"/>
            <w:tcBorders>
              <w:top w:val="single" w:sz="15" w:space="0" w:color="000000"/>
              <w:left w:val="single" w:sz="4" w:space="0" w:color="000000"/>
              <w:bottom w:val="single" w:sz="4" w:space="0" w:color="000000"/>
              <w:right w:val="single" w:sz="4" w:space="0" w:color="000000"/>
            </w:tcBorders>
          </w:tcPr>
          <w:p>
            <w:pPr/>
          </w:p>
        </w:tc>
        <w:tc>
          <w:tcPr>
            <w:tcW w:w="1061" w:type="dxa"/>
            <w:tcBorders>
              <w:top w:val="single" w:sz="15" w:space="0" w:color="000000"/>
              <w:left w:val="single" w:sz="4" w:space="0" w:color="000000"/>
              <w:bottom w:val="single" w:sz="4" w:space="0" w:color="000000"/>
              <w:right w:val="single" w:sz="4" w:space="0" w:color="000000"/>
            </w:tcBorders>
          </w:tcPr>
          <w:p>
            <w:pPr/>
          </w:p>
        </w:tc>
        <w:tc>
          <w:tcPr>
            <w:tcW w:w="687" w:type="dxa"/>
            <w:tcBorders>
              <w:top w:val="single" w:sz="15" w:space="0" w:color="000000"/>
              <w:left w:val="single" w:sz="4" w:space="0" w:color="000000"/>
              <w:bottom w:val="single" w:sz="4" w:space="0" w:color="000000"/>
              <w:right w:val="single" w:sz="4" w:space="0" w:color="000000"/>
            </w:tcBorders>
          </w:tcPr>
          <w:p>
            <w:pPr/>
          </w:p>
        </w:tc>
        <w:tc>
          <w:tcPr>
            <w:tcW w:w="430"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144,499,571.04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2,629,698.43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151,951,291.20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4" w:right="0"/>
              <w:jc w:val="left"/>
              <w:rPr>
                <w:rFonts w:ascii="Times New Roman" w:hAnsi="Times New Roman" w:cs="Times New Roman" w:eastAsia="Times New Roman" w:hint="default"/>
                <w:sz w:val="18"/>
                <w:szCs w:val="18"/>
              </w:rPr>
            </w:pPr>
            <w:r>
              <w:rPr>
                <w:rFonts w:ascii="Times New Roman"/>
                <w:sz w:val="18"/>
              </w:rPr>
              <w:t>124,651,241.05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7" w:right="0"/>
              <w:jc w:val="left"/>
              <w:rPr>
                <w:rFonts w:ascii="Times New Roman" w:hAnsi="Times New Roman" w:cs="Times New Roman" w:eastAsia="Times New Roman" w:hint="default"/>
                <w:sz w:val="18"/>
                <w:szCs w:val="18"/>
              </w:rPr>
            </w:pPr>
            <w:r>
              <w:rPr>
                <w:rFonts w:ascii="Times New Roman"/>
                <w:sz w:val="18"/>
              </w:rPr>
              <w:t>15,192,471.89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14,737,276.69</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70" w:footer="975" w:top="1060" w:bottom="1160" w:left="1360" w:right="1320"/>
        </w:sectPr>
      </w:pPr>
    </w:p>
    <w:p>
      <w:pPr>
        <w:spacing w:line="240" w:lineRule="auto" w:before="3"/>
        <w:rPr>
          <w:rFonts w:ascii="Times New Roman" w:hAnsi="Times New Roman" w:cs="Times New Roman" w:eastAsia="Times New Roman" w:hint="default"/>
          <w:sz w:val="25"/>
          <w:szCs w:val="25"/>
        </w:rPr>
      </w:pPr>
    </w:p>
    <w:p>
      <w:pPr>
        <w:pStyle w:val="Heading4"/>
        <w:spacing w:line="590" w:lineRule="auto"/>
        <w:ind w:right="6793"/>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）本期计提在建工程减值准备情况</w:t>
      </w:r>
      <w:r>
        <w:rPr>
          <w:w w:val="99"/>
        </w:rPr>
        <w:t> </w:t>
      </w:r>
      <w:r>
        <w:rPr>
          <w:rFonts w:ascii="宋体" w:hAnsi="宋体" w:cs="宋体" w:eastAsia="宋体" w:hint="default"/>
          <w:b w:val="0"/>
          <w:bCs w:val="0"/>
        </w:rPr>
        <w:t>无</w:t>
      </w:r>
    </w:p>
    <w:p>
      <w:pPr>
        <w:pStyle w:val="Heading3"/>
        <w:spacing w:line="240" w:lineRule="auto" w:before="90"/>
        <w:ind w:right="141"/>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7"/>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right="141"/>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1"/>
        <w:ind w:right="1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14,902,401.95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3,071,718.06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225,324,120.01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6,415,619.70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6,415,619.70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6,415,619.70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6,415,619.70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14,902,401.95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9,487,337.76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231,739,739.71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49,179,167.53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3,722,846.38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756,428.56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53,658,442.47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15,950,000.28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1,490,240.09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498,261.58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17,938,501.95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15,950,000.28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1,490,240.09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498,261.58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17,938,501.95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65,129,167.81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5,213,086.47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1,254,690.14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71,596,944.42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4"/>
          <w:footerReference w:type="default" r:id="rId65"/>
          <w:pgSz w:w="11910" w:h="16840"/>
          <w:pgMar w:header="880" w:footer="974" w:top="1100" w:bottom="1160" w:left="980" w:right="980"/>
          <w:pgNumType w:start="185"/>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142,220,832.19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9,689,315.48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8,232,647.62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160,142,795.29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158,170,832.47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11,179,555.57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2,315,289.50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171,665,677.54</w:t>
            </w:r>
          </w:p>
        </w:tc>
      </w:tr>
    </w:tbl>
    <w:p>
      <w:pPr>
        <w:pStyle w:val="BodyText"/>
        <w:spacing w:line="240" w:lineRule="auto" w:before="51"/>
        <w:ind w:right="141"/>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3.67%</w:t>
      </w:r>
      <w:r>
        <w:rPr/>
        <w:t>。</w:t>
      </w:r>
    </w:p>
    <w:p>
      <w:pPr>
        <w:spacing w:line="240" w:lineRule="auto" w:before="10"/>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14</w:t>
      </w:r>
      <w:r>
        <w:rPr/>
        <w:t>、开发支出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064"/>
        <w:gridCol w:w="1063"/>
        <w:gridCol w:w="3188"/>
        <w:gridCol w:w="3190"/>
        <w:gridCol w:w="1063"/>
      </w:tblGrid>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05"/>
              <w:jc w:val="center"/>
              <w:rPr>
                <w:rFonts w:ascii="宋体" w:hAnsi="宋体" w:cs="宋体" w:eastAsia="宋体" w:hint="default"/>
                <w:sz w:val="18"/>
                <w:szCs w:val="18"/>
              </w:rPr>
            </w:pPr>
            <w:r>
              <w:rPr>
                <w:rFonts w:ascii="宋体" w:hAnsi="宋体" w:cs="宋体" w:eastAsia="宋体" w:hint="default"/>
                <w:sz w:val="18"/>
                <w:szCs w:val="18"/>
              </w:rPr>
              <w:t>非专利技术</w:t>
            </w:r>
          </w:p>
        </w:tc>
        <w:tc>
          <w:tcPr>
            <w:tcW w:w="106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174,314,115.65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174,314,115.65</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174,314,115.65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174,314,115.65</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74,141,474.97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22,142,905.64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22,314,781.52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73,969,599.09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74,141,474.97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22,142,905.64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22,314,781.52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73,969,599.09</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1"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121,047,645.77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21,703,901.09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75,572,728.99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14,737,283.38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1,288,713.33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199,324.32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1,173,191.10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180,403.21</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69,533,460.03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13,878,520.84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50,229,839.85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10,028,501.07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34,725,962.62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7,254,396.33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37,580,151.28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7,682,524.62</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4,672,755.85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723,382.89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10,153,951.96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1,777,200.60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未确认收入的政府补助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26,590,749.91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5,070,559.66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15,688,687.46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2,391,822.33</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9,765,703.03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1,655,274.46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257,859,287.51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48,830,085.13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200,164,253.67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38,453,009.67</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2"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40,574,354.02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6,694,768.41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固定资产加速折旧</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14,164,010.65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2,977,433.42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18,789,324.09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3,282,174.85</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54,738,364.67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9,672,201.83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18,789,324.09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3,282,174.85</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48,830,085.13</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38,453,009.67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9,672,201.83</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3,282,174.85</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85,439,503.22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79,084,959.98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3,453,421.53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4,120,936.99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未确认收入的政府补助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4,123,284.33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17,666,666.63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93,016,209.08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100,872,563.60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3"/>
        <w:rPr>
          <w:rFonts w:ascii="宋体" w:hAnsi="宋体" w:cs="宋体" w:eastAsia="宋体" w:hint="default"/>
          <w:sz w:val="22"/>
          <w:szCs w:val="22"/>
        </w:rPr>
      </w:pPr>
    </w:p>
    <w:p>
      <w:pPr>
        <w:pStyle w:val="Heading4"/>
        <w:spacing w:line="240" w:lineRule="auto"/>
        <w:ind w:right="141"/>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1,884,323.66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119,860.29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119,930.40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35,378,840.78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35,378,840.78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3,664,153.84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6,327,511.72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10,095,884.61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21,146,775.86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22,160,636.87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14,020,126.83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14,227,577.56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85,439,503.22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79,084,959.98</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17</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24,328,791.19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74,444,777.64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13,040,730.42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10,078,674.10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2,144,000.00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37,369,521.61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86,667,451.74</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18</w:t>
      </w:r>
      <w:r>
        <w:rPr/>
        <w:t>、短期借款</w:t>
      </w:r>
      <w:r>
        <w:rPr>
          <w:b w:val="0"/>
          <w:bCs w:val="0"/>
        </w:rPr>
      </w:r>
    </w:p>
    <w:p>
      <w:pPr>
        <w:spacing w:line="240" w:lineRule="auto" w:before="7"/>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3,000,000.00</w:t>
            </w:r>
          </w:p>
        </w:tc>
      </w:tr>
    </w:tbl>
    <w:p>
      <w:pPr>
        <w:pStyle w:val="BodyText"/>
        <w:spacing w:line="240" w:lineRule="auto" w:before="51"/>
        <w:ind w:right="141"/>
        <w:jc w:val="left"/>
      </w:pPr>
      <w:r>
        <w:rPr/>
        <w:t>短期借款分类的说明：</w:t>
      </w:r>
    </w:p>
    <w:p>
      <w:pPr>
        <w:pStyle w:val="BodyText"/>
        <w:spacing w:line="300" w:lineRule="auto" w:before="115"/>
        <w:ind w:right="189"/>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日保证借款人民币</w:t>
      </w:r>
      <w:r>
        <w:rPr>
          <w:rFonts w:ascii="Times New Roman" w:hAnsi="Times New Roman" w:cs="Times New Roman" w:eastAsia="Times New Roman" w:hint="default"/>
        </w:rPr>
        <w:t>8,000,000.00</w:t>
      </w:r>
      <w:r>
        <w:rPr/>
        <w:t>元由子公司北京吉比爱股东方健秋女士、总经理张国成及其配偶俞延萍提 供担保。</w:t>
      </w:r>
    </w:p>
    <w:p>
      <w:pPr>
        <w:spacing w:line="240" w:lineRule="auto" w:before="7"/>
        <w:rPr>
          <w:rFonts w:ascii="宋体" w:hAnsi="宋体" w:cs="宋体" w:eastAsia="宋体" w:hint="default"/>
          <w:sz w:val="23"/>
          <w:szCs w:val="23"/>
        </w:rPr>
      </w:pPr>
    </w:p>
    <w:p>
      <w:pPr>
        <w:pStyle w:val="Heading3"/>
        <w:spacing w:line="240" w:lineRule="auto"/>
        <w:ind w:right="141"/>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0" w:right="151"/>
        <w:jc w:val="right"/>
      </w:pPr>
      <w:r>
        <w:rPr/>
        <w:t>单位：</w:t>
      </w:r>
      <w:r>
        <w:rPr>
          <w:spacing w:val="1"/>
        </w:rPr>
        <w:t> </w:t>
      </w:r>
      <w:r>
        <w:rPr/>
        <w:t>元</w:t>
      </w:r>
    </w:p>
    <w:p>
      <w:pPr>
        <w:spacing w:after="0" w:line="240" w:lineRule="auto"/>
        <w:jc w:val="right"/>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118,106,207.21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56,170,048.42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1,551,871.53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1,754,446.11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119,658,078.74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57,924,494.53</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2</w:t>
      </w: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年的重要应付账款</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415,025.98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工程尾款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306,079.34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工程尾款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721,105.32</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7"/>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239,710,907.02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274,994,747.73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59,885,540.14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89,536,815.33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40,141,327.42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47,102,558.69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52,766,457.66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26,458,949.09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392,504,232.24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438,093,070.84</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2</w:t>
      </w: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年的重要预收款项</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6,366,641.79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该业务尚未完全执行</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4,889,251.79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该业务尚未完全执行</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3,269,973.33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该业务尚未完全执行</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2,888,392.61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该业务尚未完全执行</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2,801,657.32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该业务尚未完全执行</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20,215,916.84</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3"/>
        <w:rPr>
          <w:rFonts w:ascii="宋体" w:hAnsi="宋体" w:cs="宋体" w:eastAsia="宋体" w:hint="default"/>
          <w:sz w:val="22"/>
          <w:szCs w:val="22"/>
        </w:rPr>
      </w:pPr>
    </w:p>
    <w:p>
      <w:pPr>
        <w:pStyle w:val="Heading4"/>
        <w:spacing w:line="590" w:lineRule="auto"/>
        <w:ind w:right="5889"/>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）期末建造合同形成的已结算未完工项目情况</w:t>
      </w:r>
      <w:r>
        <w:rPr>
          <w:w w:val="99"/>
        </w:rPr>
        <w:t> </w:t>
      </w:r>
      <w:r>
        <w:rPr>
          <w:rFonts w:ascii="宋体" w:hAnsi="宋体" w:cs="宋体" w:eastAsia="宋体" w:hint="default"/>
          <w:b w:val="0"/>
          <w:bCs w:val="0"/>
        </w:rPr>
        <w:t>无</w:t>
      </w:r>
    </w:p>
    <w:p>
      <w:pPr>
        <w:pStyle w:val="Heading3"/>
        <w:spacing w:line="240" w:lineRule="auto" w:before="90"/>
        <w:ind w:right="141"/>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7"/>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69,709,515.50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494,556,032.76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467,140,255.49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97,125,292.77</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4"/>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818,147.01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37,952,960.03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37,435,004.40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1,336,102.64</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70,527,662.51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532,508,992.79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504,575,259.89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98,461,395.41</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 和补贴</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68,731,469.99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426,287,265.78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399,427,719.19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95,591,016.58</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209,366.65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21,320,163.90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21,132,434.41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397,096.14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442,041.37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18,877,682.37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18,635,350.95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684,372.79</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324,592.61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16,739,380.84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16,469,311.54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594,661.91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21,551.27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836,849.97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819,654.66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38,746.58</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95,897.49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1,301,451.56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1,346,384.75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50,964.30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131,906.70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27,020,642.42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27,024,737.66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127,811.46</w:t>
            </w:r>
          </w:p>
        </w:tc>
      </w:tr>
      <w:tr>
        <w:trPr>
          <w:trHeight w:val="71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 育经费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194,730.79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359,085.88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232,973.45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320,843.22</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、因解除劳动关系给 予的补偿</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691,192.41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687,039.83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4,152.58</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69,709,515.50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494,556,032.76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467,140,255.49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97,125,292.77</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748,634.46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36,155,959.69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35,660,247.55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1,244,346.60</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69,512.55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1,797,000.34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1,774,756.85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91,756.04</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75" w:right="0"/>
              <w:jc w:val="left"/>
              <w:rPr>
                <w:rFonts w:ascii="Times New Roman" w:hAnsi="Times New Roman" w:cs="Times New Roman" w:eastAsia="Times New Roman" w:hint="default"/>
                <w:sz w:val="18"/>
                <w:szCs w:val="18"/>
              </w:rPr>
            </w:pPr>
            <w:r>
              <w:rPr>
                <w:rFonts w:ascii="Times New Roman"/>
                <w:sz w:val="18"/>
              </w:rPr>
              <w:t>818,147.01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7" w:right="0"/>
              <w:jc w:val="left"/>
              <w:rPr>
                <w:rFonts w:ascii="Times New Roman" w:hAnsi="Times New Roman" w:cs="Times New Roman" w:eastAsia="Times New Roman" w:hint="default"/>
                <w:sz w:val="18"/>
                <w:szCs w:val="18"/>
              </w:rPr>
            </w:pPr>
            <w:r>
              <w:rPr>
                <w:rFonts w:ascii="Times New Roman"/>
                <w:sz w:val="18"/>
              </w:rPr>
              <w:t>37,952,960.03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7" w:right="0"/>
              <w:jc w:val="left"/>
              <w:rPr>
                <w:rFonts w:ascii="Times New Roman" w:hAnsi="Times New Roman" w:cs="Times New Roman" w:eastAsia="Times New Roman" w:hint="default"/>
                <w:sz w:val="18"/>
                <w:szCs w:val="18"/>
              </w:rPr>
            </w:pPr>
            <w:r>
              <w:rPr>
                <w:rFonts w:ascii="Times New Roman"/>
                <w:sz w:val="18"/>
              </w:rPr>
              <w:t>37,435,004.40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6" w:right="0"/>
              <w:jc w:val="left"/>
              <w:rPr>
                <w:rFonts w:ascii="Times New Roman" w:hAnsi="Times New Roman" w:cs="Times New Roman" w:eastAsia="Times New Roman" w:hint="default"/>
                <w:sz w:val="18"/>
                <w:szCs w:val="18"/>
              </w:rPr>
            </w:pPr>
            <w:r>
              <w:rPr>
                <w:rFonts w:ascii="Times New Roman"/>
                <w:sz w:val="18"/>
              </w:rPr>
              <w:t>1,336,102.64</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9,766,711.02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9,048,138.38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28,130,755.19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21,354,371.86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1,904,483.17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2,496,023.71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3,573,260.85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3,325,869.48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43,375,210.23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36,224,403.43</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23</w:t>
      </w:r>
      <w:r>
        <w:rPr/>
        <w:t>、应付股利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4,676,216.16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1,900,261.91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4,676,216.16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1,900,261.91</w:t>
            </w:r>
          </w:p>
        </w:tc>
      </w:tr>
    </w:tbl>
    <w:p>
      <w:pPr>
        <w:pStyle w:val="BodyText"/>
        <w:spacing w:line="240" w:lineRule="auto" w:before="51"/>
        <w:ind w:right="141"/>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pStyle w:val="BodyText"/>
        <w:spacing w:line="240" w:lineRule="auto" w:before="101"/>
        <w:ind w:right="141"/>
        <w:jc w:val="left"/>
      </w:pPr>
      <w:r>
        <w:rPr/>
        <w:t>公司超过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年未支付的原因系未办理完外汇登记。</w:t>
      </w:r>
    </w:p>
    <w:p>
      <w:pPr>
        <w:spacing w:line="240" w:lineRule="auto" w:before="13"/>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20,565,602.84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21,129,025.52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2,164,078.00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5,710,321.95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3,736,420.56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应付其他员工福利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3,371,922.95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2,091,680.82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58,270,889.16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39,106,571.73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16,370,864.17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22,447,386.87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6,730,325.61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5,546,748.37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111,019,926.68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96,221,911.87</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）账龄超过</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99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2,750,000.00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25</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9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30,714,034.24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17,434,373.00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30,714,034.24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17,434,373.00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26</w:t>
      </w:r>
      <w:r>
        <w:rPr/>
        <w:t>、</w:t>
      </w:r>
      <w:r>
        <w:rPr>
          <w:spacing w:val="-1"/>
        </w:rPr>
        <w:t> </w:t>
      </w:r>
      <w:r>
        <w:rPr/>
        <w:t>预计负债</w:t>
      </w:r>
      <w:r>
        <w:rPr>
          <w:rFonts w:ascii="Times New Roman" w:hAnsi="Times New Roman" w:cs="Times New Roman" w:eastAsia="Times New Roman" w:hint="default"/>
        </w:rPr>
        <w:t>-</w:t>
      </w:r>
      <w:r>
        <w:rPr/>
        <w:t>流动</w:t>
      </w:r>
      <w:r>
        <w:rPr>
          <w:b w:val="0"/>
          <w:bCs w:val="0"/>
        </w:rPr>
      </w:r>
    </w:p>
    <w:p>
      <w:pPr>
        <w:spacing w:line="240" w:lineRule="auto" w:before="13"/>
        <w:rPr>
          <w:rFonts w:ascii="宋体" w:hAnsi="宋体" w:cs="宋体" w:eastAsia="宋体" w:hint="default"/>
          <w:b/>
          <w:bCs/>
          <w:sz w:val="25"/>
          <w:szCs w:val="25"/>
        </w:rPr>
      </w:pPr>
    </w:p>
    <w:tbl>
      <w:tblPr>
        <w:tblW w:w="0" w:type="auto"/>
        <w:jc w:val="left"/>
        <w:tblInd w:w="196" w:type="dxa"/>
        <w:tblLayout w:type="fixed"/>
        <w:tblCellMar>
          <w:top w:w="0" w:type="dxa"/>
          <w:left w:w="0" w:type="dxa"/>
          <w:bottom w:w="0" w:type="dxa"/>
          <w:right w:w="0" w:type="dxa"/>
        </w:tblCellMar>
        <w:tblLook w:val="01E0"/>
      </w:tblPr>
      <w:tblGrid>
        <w:gridCol w:w="3188"/>
        <w:gridCol w:w="2168"/>
        <w:gridCol w:w="2552"/>
        <w:gridCol w:w="2552"/>
      </w:tblGrid>
      <w:tr>
        <w:trPr>
          <w:trHeight w:val="422"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left="7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5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left="2"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26"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待执行亏损合同</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4,672,755.85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10,153,951.96</w:t>
            </w: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4,672,755.85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10,153,951.96</w:t>
            </w:r>
          </w:p>
        </w:tc>
        <w:tc>
          <w:tcPr>
            <w:tcW w:w="255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16" w:lineRule="auto" w:before="10"/>
        <w:ind w:right="0" w:firstLine="26"/>
        <w:jc w:val="left"/>
      </w:pPr>
      <w:r>
        <w:rPr/>
        <w:t>预计负债是指公司履行部分合同义务不可避免会发生的成本超过该合同预期经济利益的合同。预计负债的计算需要对合同</w:t>
      </w:r>
      <w:r>
        <w:rPr>
          <w:spacing w:val="-56"/>
        </w:rPr>
        <w:t> </w:t>
      </w:r>
      <w:r>
        <w:rPr>
          <w:spacing w:val="-56"/>
        </w:rPr>
      </w:r>
      <w:r>
        <w:rPr/>
        <w:t>预计收入以及未来需要发生的不可避免成本作出预计。公司持续对预计负债金额估计标准进行复核，必要时进行调整。</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27</w:t>
      </w:r>
      <w:r>
        <w:rPr/>
        <w:t>、递延收益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99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42,759,115.49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33,688,423.51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45,323,290.83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31,124,248.17</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42,759,115.49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33,688,423.51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45,323,290.83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31,124,248.17</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5"/>
        <w:ind w:left="0" w:right="9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064"/>
        <w:gridCol w:w="1313"/>
        <w:gridCol w:w="1133"/>
        <w:gridCol w:w="994"/>
        <w:gridCol w:w="1064"/>
        <w:gridCol w:w="1063"/>
        <w:gridCol w:w="1133"/>
        <w:gridCol w:w="1133"/>
        <w:gridCol w:w="924"/>
      </w:tblGrid>
      <w:tr>
        <w:trPr>
          <w:trHeight w:val="102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3"/>
              <w:jc w:val="right"/>
              <w:rPr>
                <w:rFonts w:ascii="宋体" w:hAnsi="宋体" w:cs="宋体" w:eastAsia="宋体" w:hint="default"/>
                <w:sz w:val="18"/>
                <w:szCs w:val="18"/>
              </w:rPr>
            </w:pPr>
            <w:r>
              <w:rPr>
                <w:rFonts w:ascii="宋体" w:hAnsi="宋体" w:cs="宋体" w:eastAsia="宋体" w:hint="default"/>
                <w:sz w:val="18"/>
                <w:szCs w:val="18"/>
              </w:rPr>
              <w:t>负债项目</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3" w:right="110" w:hanging="181"/>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5"/>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74" w:right="67"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9"/>
              <w:jc w:val="right"/>
              <w:rPr>
                <w:rFonts w:ascii="宋体" w:hAnsi="宋体" w:cs="宋体" w:eastAsia="宋体" w:hint="default"/>
                <w:sz w:val="18"/>
                <w:szCs w:val="18"/>
              </w:rPr>
            </w:pPr>
            <w:r>
              <w:rPr>
                <w:rFonts w:ascii="宋体" w:hAnsi="宋体" w:cs="宋体" w:eastAsia="宋体" w:hint="default"/>
                <w:sz w:val="18"/>
                <w:szCs w:val="18"/>
              </w:rPr>
              <w:t>滨海华大基</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5" w:right="0"/>
              <w:jc w:val="left"/>
              <w:rPr>
                <w:rFonts w:ascii="Times New Roman" w:hAnsi="Times New Roman" w:cs="Times New Roman" w:eastAsia="Times New Roman" w:hint="default"/>
                <w:sz w:val="18"/>
                <w:szCs w:val="18"/>
              </w:rPr>
            </w:pPr>
            <w:r>
              <w:rPr>
                <w:rFonts w:ascii="Times New Roman"/>
                <w:sz w:val="18"/>
              </w:rPr>
              <w:t>6,801,492.89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10,000,000.00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4,367,376.38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12,434,116.51</w:t>
            </w: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与资产相</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14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4"/>
        <w:gridCol w:w="1313"/>
        <w:gridCol w:w="1133"/>
        <w:gridCol w:w="994"/>
        <w:gridCol w:w="1064"/>
        <w:gridCol w:w="1063"/>
        <w:gridCol w:w="1133"/>
        <w:gridCol w:w="1133"/>
        <w:gridCol w:w="924"/>
      </w:tblGrid>
      <w:tr>
        <w:trPr>
          <w:trHeight w:val="67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29"/>
              <w:jc w:val="left"/>
              <w:rPr>
                <w:rFonts w:ascii="宋体" w:hAnsi="宋体" w:cs="宋体" w:eastAsia="宋体" w:hint="default"/>
                <w:sz w:val="18"/>
                <w:szCs w:val="18"/>
              </w:rPr>
            </w:pPr>
            <w:r>
              <w:rPr>
                <w:rFonts w:ascii="宋体" w:hAnsi="宋体" w:cs="宋体" w:eastAsia="宋体" w:hint="default"/>
                <w:sz w:val="18"/>
                <w:szCs w:val="18"/>
              </w:rPr>
              <w:t>因产业研究 院建设</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CG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测序仪 生产基地补 助</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建邺开发区 政府装修补 贴资金</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4,377,824.55</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1,250,807.02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1,250,807.02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1,876,210.51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基于生物云 计算基因组 健康</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2,290,909.09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981,818.17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981,818.17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327,272.75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本溪华大政 策扶持协议</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1,983,975.41</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749,926.61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749,926.61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484,122.19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专项发展金</w:t>
            </w:r>
          </w:p>
          <w:p>
            <w:pPr>
              <w:pStyle w:val="TableParagraph"/>
              <w:spacing w:line="316" w:lineRule="auto" w:before="76"/>
              <w:ind w:left="24" w:right="129"/>
              <w:jc w:val="both"/>
              <w:rPr>
                <w:rFonts w:ascii="宋体" w:hAnsi="宋体" w:cs="宋体" w:eastAsia="宋体" w:hint="default"/>
                <w:sz w:val="18"/>
                <w:szCs w:val="18"/>
              </w:rPr>
            </w:pPr>
            <w:r>
              <w:rPr>
                <w:rFonts w:ascii="宋体" w:hAnsi="宋体" w:cs="宋体" w:eastAsia="宋体" w:hint="default"/>
                <w:sz w:val="18"/>
                <w:szCs w:val="18"/>
              </w:rPr>
              <w:t>（管委会专 项用于补贴 装修）</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577,986.50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577,986.50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滨海研究院 保税区科技 发展局装修 专项补贴款</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1,550,000.00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“PB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级生物</w:t>
            </w:r>
            <w:r>
              <w:rPr>
                <w:rFonts w:ascii="宋体" w:hAnsi="宋体" w:cs="宋体" w:eastAsia="宋体" w:hint="default"/>
                <w:w w:val="100"/>
                <w:sz w:val="18"/>
                <w:szCs w:val="18"/>
              </w:rPr>
              <w:t> </w:t>
            </w:r>
            <w:r>
              <w:rPr>
                <w:rFonts w:ascii="宋体" w:hAnsi="宋体" w:cs="宋体" w:eastAsia="宋体" w:hint="default"/>
                <w:sz w:val="18"/>
                <w:szCs w:val="18"/>
              </w:rPr>
              <w:t>基因数据处</w:t>
            </w:r>
            <w:r>
              <w:rPr>
                <w:rFonts w:ascii="宋体" w:hAnsi="宋体" w:cs="宋体" w:eastAsia="宋体" w:hint="default"/>
                <w:w w:val="100"/>
                <w:sz w:val="18"/>
                <w:szCs w:val="18"/>
              </w:rPr>
              <w:t> </w:t>
            </w:r>
            <w:r>
              <w:rPr>
                <w:rFonts w:ascii="宋体" w:hAnsi="宋体" w:cs="宋体" w:eastAsia="宋体" w:hint="default"/>
                <w:sz w:val="18"/>
                <w:szCs w:val="18"/>
              </w:rPr>
              <w:t>理的国民健</w:t>
            </w:r>
            <w:r>
              <w:rPr>
                <w:rFonts w:ascii="宋体" w:hAnsi="宋体" w:cs="宋体" w:eastAsia="宋体" w:hint="default"/>
                <w:w w:val="100"/>
                <w:sz w:val="18"/>
                <w:szCs w:val="18"/>
              </w:rPr>
              <w:t> </w:t>
            </w:r>
            <w:r>
              <w:rPr>
                <w:rFonts w:ascii="宋体" w:hAnsi="宋体" w:cs="宋体" w:eastAsia="宋体" w:hint="default"/>
                <w:sz w:val="18"/>
                <w:szCs w:val="18"/>
              </w:rPr>
              <w:t>康服务平台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专项拨款</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5,858,236.20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1,004,429.66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1,004,429.66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3,849,376.88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广州市肿瘤 贯穿组学研 究重点实验 室</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1,055,911.43</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415,164.60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415,164.60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225,582.23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227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东湖开发区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生物产业发 展资金</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p>
            <w:pPr>
              <w:pStyle w:val="TableParagraph"/>
              <w:spacing w:line="312" w:lineRule="auto" w:before="5"/>
              <w:ind w:left="24"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新一代测</w:t>
            </w:r>
            <w:r>
              <w:rPr>
                <w:rFonts w:ascii="宋体" w:hAnsi="宋体" w:cs="宋体" w:eastAsia="宋体" w:hint="default"/>
                <w:w w:val="99"/>
                <w:sz w:val="18"/>
                <w:szCs w:val="18"/>
              </w:rPr>
              <w:t> </w:t>
            </w:r>
            <w:r>
              <w:rPr>
                <w:rFonts w:ascii="宋体" w:hAnsi="宋体" w:cs="宋体" w:eastAsia="宋体" w:hint="default"/>
                <w:sz w:val="18"/>
                <w:szCs w:val="18"/>
              </w:rPr>
              <w:t>序、质谱技</w:t>
            </w:r>
            <w:r>
              <w:rPr>
                <w:rFonts w:ascii="宋体" w:hAnsi="宋体" w:cs="宋体" w:eastAsia="宋体" w:hint="default"/>
                <w:w w:val="99"/>
                <w:sz w:val="18"/>
                <w:szCs w:val="18"/>
              </w:rPr>
              <w:t> </w:t>
            </w:r>
            <w:r>
              <w:rPr>
                <w:rFonts w:ascii="宋体" w:hAnsi="宋体" w:cs="宋体" w:eastAsia="宋体" w:hint="default"/>
                <w:sz w:val="18"/>
                <w:szCs w:val="18"/>
              </w:rPr>
              <w:t>术临床检测</w:t>
            </w:r>
            <w:r>
              <w:rPr>
                <w:rFonts w:ascii="宋体" w:hAnsi="宋体" w:cs="宋体" w:eastAsia="宋体" w:hint="default"/>
                <w:w w:val="99"/>
                <w:sz w:val="18"/>
                <w:szCs w:val="18"/>
              </w:rPr>
              <w:t> </w:t>
            </w:r>
            <w:r>
              <w:rPr>
                <w:rFonts w:ascii="宋体" w:hAnsi="宋体" w:cs="宋体" w:eastAsia="宋体" w:hint="default"/>
                <w:sz w:val="18"/>
                <w:szCs w:val="18"/>
              </w:rPr>
              <w:t>服务平台</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636,363.64</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272,727.25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363,636.39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29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贯穿组在出 生缺陷防控 及肿瘤早期 诊断与个体</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363,792.27</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131,427.18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131,427.18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100,937.91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7"/>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bl>
    <w:p>
      <w:pPr>
        <w:spacing w:after="0" w:line="319" w:lineRule="auto"/>
        <w:jc w:val="left"/>
        <w:rPr>
          <w:rFonts w:ascii="宋体" w:hAnsi="宋体" w:cs="宋体" w:eastAsia="宋体" w:hint="default"/>
          <w:sz w:val="18"/>
          <w:szCs w:val="18"/>
        </w:rPr>
        <w:sectPr>
          <w:pgSz w:w="11910" w:h="16840"/>
          <w:pgMar w:header="880" w:footer="974" w:top="1100" w:bottom="1160" w:left="980" w:right="80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4"/>
        <w:gridCol w:w="1313"/>
        <w:gridCol w:w="1133"/>
        <w:gridCol w:w="994"/>
        <w:gridCol w:w="1064"/>
        <w:gridCol w:w="1063"/>
        <w:gridCol w:w="1133"/>
        <w:gridCol w:w="1133"/>
        <w:gridCol w:w="924"/>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化</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天津华大基 因科技有限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生物云 计算平台建 设</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 研发投入补 贴</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东湖高新区 高企认定奖 励</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58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鼓励企业购 买国际先进 研发仪器设 备项目专项 资金</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 高通量测序 技术产业化 应用</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108,000.00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108,000.00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基于目标区 域捕获技术 的单基因病 研究</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上海中小企 业项目发展 专项资金</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277,192.03</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71,200.08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170,391.91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滨海华大基 因产业研究 院建设</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1,260,954.21</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1,207,407.96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53,546.25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3551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光谷人 才计划</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科技创新平 台补助</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高新企业政 策奖励补贴</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技术中心省 级认定奖励</w:t>
            </w:r>
          </w:p>
          <w:p>
            <w:pPr>
              <w:pStyle w:val="TableParagraph"/>
              <w:spacing w:line="319" w:lineRule="auto" w:before="19"/>
              <w:ind w:left="24" w:right="129"/>
              <w:jc w:val="both"/>
              <w:rPr>
                <w:rFonts w:ascii="宋体" w:hAnsi="宋体" w:cs="宋体" w:eastAsia="宋体" w:hint="default"/>
                <w:sz w:val="18"/>
                <w:szCs w:val="18"/>
              </w:rPr>
            </w:pPr>
            <w:r>
              <w:rPr>
                <w:rFonts w:ascii="宋体" w:hAnsi="宋体" w:cs="宋体" w:eastAsia="宋体" w:hint="default"/>
                <w:sz w:val="18"/>
                <w:szCs w:val="18"/>
              </w:rPr>
              <w:t>（生物产业 发展奖励资 金）</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80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4"/>
        <w:gridCol w:w="1313"/>
        <w:gridCol w:w="1133"/>
        <w:gridCol w:w="994"/>
        <w:gridCol w:w="1064"/>
        <w:gridCol w:w="1063"/>
        <w:gridCol w:w="1133"/>
        <w:gridCol w:w="1133"/>
        <w:gridCol w:w="924"/>
      </w:tblGrid>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单基因疾病 的无创产前 基因检测补 助</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-13,802.34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186,197.66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肾移植抗体 介导排斥反 应的无创诊 断与综合生 物治疗研究</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240,252.99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210,997.91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29,255.08</w:t>
            </w: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建立长垣华 大产业综合 示范区协议</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8,833,333.31</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4,833,333.23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湖北省重大 科技创新计 划项目专项</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胃癌化疗方 案的优化及 新靶点药物 的研究</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131,233.61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631,233.61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多组学结直 肠癌早筛技 术开发和组 学大数据分 析平台建立</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549,886.39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549,886.39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太和县建立 </w:t>
            </w:r>
            <w:r>
              <w:rPr>
                <w:rFonts w:ascii="Times New Roman" w:hAnsi="Times New Roman" w:cs="Times New Roman" w:eastAsia="Times New Roman" w:hint="default"/>
                <w:sz w:val="18"/>
                <w:szCs w:val="18"/>
              </w:rPr>
              <w:t>“</w:t>
            </w:r>
            <w:r>
              <w:rPr>
                <w:rFonts w:ascii="宋体" w:hAnsi="宋体" w:cs="宋体" w:eastAsia="宋体" w:hint="default"/>
                <w:sz w:val="18"/>
                <w:szCs w:val="18"/>
              </w:rPr>
              <w:t>一院一所两 中心</w:t>
            </w:r>
            <w:r>
              <w:rPr>
                <w:rFonts w:ascii="Times New Roman" w:hAnsi="Times New Roman" w:cs="Times New Roman" w:eastAsia="Times New Roman" w:hint="default"/>
                <w:sz w:val="18"/>
                <w:szCs w:val="18"/>
              </w:rPr>
              <w:t>”</w:t>
            </w:r>
            <w:r>
              <w:rPr>
                <w:rFonts w:ascii="宋体" w:hAnsi="宋体" w:cs="宋体" w:eastAsia="宋体" w:hint="default"/>
                <w:sz w:val="18"/>
                <w:szCs w:val="18"/>
              </w:rPr>
              <w:t>实验室 装修项目</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8,833,333.32</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2,000,000.04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2,000,000.04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4,833,333.24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全基因组测 序技术于抗 脓毒症感染 精准应用研 究</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济宁市产学 研合作开发 项目</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966,191.28</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28,978.92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28,978.92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908,233.44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9"/>
              <w:jc w:val="left"/>
              <w:rPr>
                <w:rFonts w:ascii="宋体" w:hAnsi="宋体" w:cs="宋体" w:eastAsia="宋体" w:hint="default"/>
                <w:sz w:val="18"/>
                <w:szCs w:val="18"/>
              </w:rPr>
            </w:pPr>
            <w:r>
              <w:rPr>
                <w:rFonts w:ascii="宋体" w:hAnsi="宋体" w:cs="宋体" w:eastAsia="宋体" w:hint="default"/>
                <w:sz w:val="18"/>
                <w:szCs w:val="18"/>
              </w:rPr>
              <w:t>研发机构注 册补贴</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研发项目前 期资金</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76,105.01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823,894.99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济宁市产学</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421.71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181,938.90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18,482.81</w:t>
            </w: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6" w:right="0"/>
              <w:jc w:val="left"/>
              <w:rPr>
                <w:rFonts w:ascii="宋体" w:hAnsi="宋体" w:cs="宋体" w:eastAsia="宋体" w:hint="default"/>
                <w:sz w:val="18"/>
                <w:szCs w:val="18"/>
              </w:rPr>
            </w:pPr>
            <w:r>
              <w:rPr>
                <w:rFonts w:ascii="宋体" w:hAnsi="宋体" w:cs="宋体" w:eastAsia="宋体" w:hint="default"/>
                <w:sz w:val="18"/>
                <w:szCs w:val="18"/>
              </w:rPr>
              <w:t>与收益相</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80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4"/>
        <w:gridCol w:w="1313"/>
        <w:gridCol w:w="1133"/>
        <w:gridCol w:w="994"/>
        <w:gridCol w:w="1064"/>
        <w:gridCol w:w="1063"/>
        <w:gridCol w:w="1133"/>
        <w:gridCol w:w="1133"/>
        <w:gridCol w:w="924"/>
      </w:tblGrid>
      <w:tr>
        <w:trPr>
          <w:trHeight w:val="67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29"/>
              <w:jc w:val="left"/>
              <w:rPr>
                <w:rFonts w:ascii="宋体" w:hAnsi="宋体" w:cs="宋体" w:eastAsia="宋体" w:hint="default"/>
                <w:sz w:val="18"/>
                <w:szCs w:val="18"/>
              </w:rPr>
            </w:pPr>
            <w:r>
              <w:rPr>
                <w:rFonts w:ascii="宋体" w:hAnsi="宋体" w:cs="宋体" w:eastAsia="宋体" w:hint="default"/>
                <w:sz w:val="18"/>
                <w:szCs w:val="18"/>
              </w:rPr>
              <w:t>研合作开发 项目</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生物工程和 新医药落地 批件</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结直肠癌筛 查和疗效预 后评估的芯 片开发及临 床应用规范 的建立</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428,260.47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171,739.53</w:t>
            </w: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深圳市国际 营销网络建 设资助</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33"/>
              <w:jc w:val="left"/>
              <w:rPr>
                <w:rFonts w:ascii="宋体" w:hAnsi="宋体" w:cs="宋体" w:eastAsia="宋体" w:hint="default"/>
                <w:sz w:val="18"/>
                <w:szCs w:val="18"/>
              </w:rPr>
            </w:pPr>
            <w:r>
              <w:rPr>
                <w:rFonts w:ascii="宋体" w:hAnsi="宋体" w:cs="宋体" w:eastAsia="宋体" w:hint="default"/>
                <w:sz w:val="18"/>
                <w:szCs w:val="18"/>
              </w:rPr>
              <w:t>深圳市科创 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 研究开发资 助</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213,000.00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213,000.00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深圳市科技 创新委员会 关于基于高 效图处理的 基因拼接分 析研究的补 助</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600,000.00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21,144.88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578,855.12</w:t>
            </w: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基因测序在 生育健康检 测中应用开 发及产业化</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2"/>
                <w:sz w:val="18"/>
              </w:rPr>
              <w:t>1,111,500.00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788,500.00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96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孕妇血胎儿 游离核酸无 创产前筛查 胎儿单基因 病防控关键 技术研究</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实验室装修 补贴</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4,089,580.00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1,295,033.68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1,295,033.68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1,499,512.64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61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高通量测序 检测感染性 疾病血流感 染病原学新 技术开发及</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80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4"/>
        <w:gridCol w:w="1313"/>
        <w:gridCol w:w="1133"/>
        <w:gridCol w:w="994"/>
        <w:gridCol w:w="1064"/>
        <w:gridCol w:w="1063"/>
        <w:gridCol w:w="1133"/>
        <w:gridCol w:w="1133"/>
        <w:gridCol w:w="924"/>
      </w:tblGrid>
      <w:tr>
        <w:trPr>
          <w:trHeight w:val="67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29"/>
              <w:jc w:val="left"/>
              <w:rPr>
                <w:rFonts w:ascii="宋体" w:hAnsi="宋体" w:cs="宋体" w:eastAsia="宋体" w:hint="default"/>
                <w:sz w:val="18"/>
                <w:szCs w:val="18"/>
              </w:rPr>
            </w:pPr>
            <w:r>
              <w:rPr>
                <w:rFonts w:ascii="宋体" w:hAnsi="宋体" w:cs="宋体" w:eastAsia="宋体" w:hint="default"/>
                <w:sz w:val="18"/>
                <w:szCs w:val="18"/>
              </w:rPr>
              <w:t>其临床应用 研究</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生物标志物 谱指导的肺 癌精准预后 判断和真实 世界大数据 研究</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生物标志物 指导肺癌精 准预防早诊 研究项目</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203,000.00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203,000.00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广东特支计 划科技创新 领军人才省 财政专项经 费</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17,333.81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782,666.19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广东特支计 划百千万工 程青年拔尖 人才专项经 费</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基因大数据 分析与产业 化研究</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65,411.35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234,588.65</w:t>
            </w: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81"/>
              <w:jc w:val="both"/>
              <w:rPr>
                <w:rFonts w:ascii="宋体" w:hAnsi="宋体" w:cs="宋体" w:eastAsia="宋体" w:hint="default"/>
                <w:sz w:val="18"/>
                <w:szCs w:val="18"/>
              </w:rPr>
            </w:pPr>
            <w:r>
              <w:rPr>
                <w:rFonts w:ascii="宋体" w:hAnsi="宋体" w:cs="宋体" w:eastAsia="宋体" w:hint="default"/>
                <w:sz w:val="18"/>
                <w:szCs w:val="18"/>
              </w:rPr>
              <w:t>深圳市质监 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年度深圳市 专利奖</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深圳市质监 委员会第十 八届中国专 利奖配套奖 励</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年知识 产权工作专 项资金</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深圳市场监 督委员会知 识产权专利 资金资助</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80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4"/>
        <w:gridCol w:w="1313"/>
        <w:gridCol w:w="1133"/>
        <w:gridCol w:w="994"/>
        <w:gridCol w:w="1064"/>
        <w:gridCol w:w="1063"/>
        <w:gridCol w:w="1133"/>
        <w:gridCol w:w="1133"/>
        <w:gridCol w:w="924"/>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年度深 圳标准专项 资金资助</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131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人才培 养经费</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天津港保税 区财政局企 业研用创新 联盟补贴</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100,831.18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100,831.18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服务业奖补</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北京市科学 技术委员会 尾款</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年度企 业研发费用 后补助项目 政府资金</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340,000.00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9"/>
              <w:jc w:val="both"/>
              <w:rPr>
                <w:rFonts w:ascii="宋体" w:hAnsi="宋体" w:cs="宋体" w:eastAsia="宋体" w:hint="default"/>
                <w:sz w:val="18"/>
                <w:szCs w:val="18"/>
              </w:rPr>
            </w:pPr>
            <w:r>
              <w:rPr>
                <w:rFonts w:ascii="宋体" w:hAnsi="宋体" w:cs="宋体" w:eastAsia="宋体" w:hint="default"/>
                <w:sz w:val="18"/>
                <w:szCs w:val="18"/>
              </w:rPr>
              <w:t>中国专利优 秀奖配套奖 励、</w:t>
            </w: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件计 算机软件著 作权</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99,200.00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盐田财政局 发明专利补 贴</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盐田财政局 创业板上市 资助</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48"/>
              <w:jc w:val="both"/>
              <w:rPr>
                <w:rFonts w:ascii="宋体" w:hAnsi="宋体" w:cs="宋体" w:eastAsia="宋体" w:hint="default"/>
                <w:sz w:val="18"/>
                <w:szCs w:val="18"/>
              </w:rPr>
            </w:pPr>
            <w:r>
              <w:rPr>
                <w:rFonts w:ascii="宋体" w:hAnsi="宋体" w:cs="宋体" w:eastAsia="宋体" w:hint="default"/>
                <w:sz w:val="18"/>
                <w:szCs w:val="18"/>
              </w:rPr>
              <w:t>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小进 规</w:t>
            </w:r>
            <w:r>
              <w:rPr>
                <w:rFonts w:ascii="Times New Roman" w:hAnsi="Times New Roman" w:cs="Times New Roman" w:eastAsia="Times New Roman" w:hint="default"/>
                <w:sz w:val="18"/>
                <w:szCs w:val="18"/>
              </w:rPr>
              <w:t>”</w:t>
            </w:r>
            <w:r>
              <w:rPr>
                <w:rFonts w:ascii="宋体" w:hAnsi="宋体" w:cs="宋体" w:eastAsia="宋体" w:hint="default"/>
                <w:sz w:val="18"/>
                <w:szCs w:val="18"/>
              </w:rPr>
              <w:t>政策兑现 资金</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新引进域外 业内知名科 技服务机构 一次性奖补</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80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4"/>
        <w:gridCol w:w="1313"/>
        <w:gridCol w:w="1133"/>
        <w:gridCol w:w="994"/>
        <w:gridCol w:w="1064"/>
        <w:gridCol w:w="1063"/>
        <w:gridCol w:w="1133"/>
        <w:gridCol w:w="1133"/>
        <w:gridCol w:w="924"/>
      </w:tblGrid>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67"/>
              <w:jc w:val="both"/>
              <w:rPr>
                <w:rFonts w:ascii="宋体" w:hAnsi="宋体" w:cs="宋体" w:eastAsia="宋体" w:hint="default"/>
                <w:sz w:val="18"/>
                <w:szCs w:val="18"/>
              </w:rPr>
            </w:pPr>
            <w:r>
              <w:rPr>
                <w:rFonts w:ascii="宋体" w:hAnsi="宋体" w:cs="宋体" w:eastAsia="宋体" w:hint="default"/>
                <w:sz w:val="18"/>
                <w:szCs w:val="18"/>
              </w:rPr>
              <w:t>天津港保税 区财政局补 贴款</w:t>
            </w:r>
            <w:r>
              <w:rPr>
                <w:rFonts w:ascii="Times New Roman" w:hAnsi="Times New Roman" w:cs="Times New Roman" w:eastAsia="Times New Roman" w:hint="default"/>
                <w:sz w:val="18"/>
                <w:szCs w:val="18"/>
              </w:rPr>
              <w:t>-</w:t>
            </w:r>
            <w:r>
              <w:rPr>
                <w:rFonts w:ascii="宋体" w:hAnsi="宋体" w:cs="宋体" w:eastAsia="宋体" w:hint="default"/>
                <w:sz w:val="18"/>
                <w:szCs w:val="18"/>
              </w:rPr>
              <w:t>高新企 业奖励</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9"/>
              <w:jc w:val="left"/>
              <w:rPr>
                <w:rFonts w:ascii="宋体" w:hAnsi="宋体" w:cs="宋体" w:eastAsia="宋体" w:hint="default"/>
                <w:sz w:val="18"/>
                <w:szCs w:val="18"/>
              </w:rPr>
            </w:pPr>
            <w:r>
              <w:rPr>
                <w:rFonts w:ascii="宋体" w:hAnsi="宋体" w:cs="宋体" w:eastAsia="宋体" w:hint="default"/>
                <w:sz w:val="18"/>
                <w:szCs w:val="18"/>
              </w:rPr>
              <w:t>政府运营补 贴</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2,180,212.33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95,737.33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2,084,475.00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60,193,488.49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33,688,423.51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3,915,568.5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28,128,061.0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30,714,034.24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31,124,248.17</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324"/>
        <w:jc w:val="left"/>
      </w:pPr>
      <w:r>
        <w:rPr/>
        <w:t>其他说明：</w:t>
      </w:r>
    </w:p>
    <w:p>
      <w:pPr>
        <w:pStyle w:val="BodyText"/>
        <w:spacing w:line="300" w:lineRule="auto" w:before="115"/>
        <w:ind w:right="32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日，流动部分分别为人民币</w:t>
      </w:r>
      <w:r>
        <w:rPr>
          <w:rFonts w:ascii="Times New Roman" w:hAnsi="Times New Roman" w:cs="Times New Roman" w:eastAsia="Times New Roman" w:hint="default"/>
        </w:rPr>
        <w:t>30,714,034.24</w:t>
      </w:r>
      <w:r>
        <w:rPr/>
        <w:t>元、人民币</w:t>
      </w:r>
      <w:r>
        <w:rPr>
          <w:rFonts w:ascii="Times New Roman" w:hAnsi="Times New Roman" w:cs="Times New Roman" w:eastAsia="Times New Roman" w:hint="default"/>
        </w:rPr>
        <w:t>17,434,373.00</w:t>
      </w:r>
      <w:r>
        <w:rPr/>
        <w:t>元，非流动部分分别 为人民币</w:t>
      </w:r>
      <w:r>
        <w:rPr>
          <w:rFonts w:ascii="Times New Roman" w:hAnsi="Times New Roman" w:cs="Times New Roman" w:eastAsia="Times New Roman" w:hint="default"/>
        </w:rPr>
        <w:t>31,124,248.17</w:t>
      </w:r>
      <w:r>
        <w:rPr/>
        <w:t>元、人民币</w:t>
      </w:r>
      <w:r>
        <w:rPr>
          <w:rFonts w:ascii="Times New Roman" w:hAnsi="Times New Roman" w:cs="Times New Roman" w:eastAsia="Times New Roman" w:hint="default"/>
        </w:rPr>
        <w:t>42,759,115.49</w:t>
      </w:r>
      <w:r>
        <w:rPr/>
        <w:t>元。</w:t>
      </w:r>
    </w:p>
    <w:p>
      <w:pPr>
        <w:pStyle w:val="BodyText"/>
        <w:spacing w:line="240" w:lineRule="auto" w:before="13"/>
        <w:ind w:left="513" w:right="324"/>
        <w:jc w:val="left"/>
      </w:pPr>
      <w:r>
        <w:rPr>
          <w:rFonts w:ascii="Times New Roman" w:hAnsi="Times New Roman" w:cs="Times New Roman" w:eastAsia="Times New Roman" w:hint="default"/>
        </w:rPr>
        <w:t>2017</w:t>
      </w:r>
      <w:r>
        <w:rPr/>
        <w:t>年其他变动为重分类到未来一年内实现的递延收益。</w:t>
      </w:r>
    </w:p>
    <w:p>
      <w:pPr>
        <w:spacing w:line="240" w:lineRule="auto" w:before="13"/>
        <w:rPr>
          <w:rFonts w:ascii="宋体" w:hAnsi="宋体" w:cs="宋体" w:eastAsia="宋体" w:hint="default"/>
          <w:sz w:val="25"/>
          <w:szCs w:val="25"/>
        </w:rPr>
      </w:pPr>
    </w:p>
    <w:p>
      <w:pPr>
        <w:pStyle w:val="Heading3"/>
        <w:spacing w:line="240" w:lineRule="auto"/>
        <w:ind w:right="324"/>
        <w:jc w:val="left"/>
        <w:rPr>
          <w:b w:val="0"/>
          <w:bCs w:val="0"/>
        </w:rPr>
      </w:pPr>
      <w:r>
        <w:rPr>
          <w:rFonts w:ascii="Times New Roman" w:hAnsi="Times New Roman" w:cs="Times New Roman" w:eastAsia="Times New Roman" w:hint="default"/>
        </w:rPr>
        <w:t>28</w:t>
      </w:r>
      <w:r>
        <w:rPr/>
        <w:t>、股本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3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196"/>
        <w:gridCol w:w="1195"/>
        <w:gridCol w:w="1198"/>
        <w:gridCol w:w="1195"/>
        <w:gridCol w:w="1196"/>
        <w:gridCol w:w="1198"/>
        <w:gridCol w:w="1197"/>
        <w:gridCol w:w="1194"/>
      </w:tblGrid>
      <w:tr>
        <w:trPr>
          <w:trHeight w:val="40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360,000,000.00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 w:right="0"/>
              <w:jc w:val="left"/>
              <w:rPr>
                <w:rFonts w:ascii="Times New Roman" w:hAnsi="Times New Roman" w:cs="Times New Roman" w:eastAsia="Times New Roman" w:hint="default"/>
                <w:sz w:val="18"/>
                <w:szCs w:val="18"/>
              </w:rPr>
            </w:pPr>
            <w:r>
              <w:rPr>
                <w:rFonts w:ascii="Times New Roman"/>
                <w:sz w:val="18"/>
              </w:rPr>
              <w:t>40,100,000.00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center"/>
              <w:rPr>
                <w:rFonts w:ascii="Times New Roman" w:hAnsi="Times New Roman" w:cs="Times New Roman" w:eastAsia="Times New Roman" w:hint="default"/>
                <w:sz w:val="18"/>
                <w:szCs w:val="18"/>
              </w:rPr>
            </w:pPr>
            <w:r>
              <w:rPr>
                <w:rFonts w:ascii="Times New Roman"/>
                <w:sz w:val="18"/>
              </w:rPr>
              <w:t>40,100,000.00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400,100,000.00</w:t>
            </w:r>
          </w:p>
        </w:tc>
      </w:tr>
    </w:tbl>
    <w:p>
      <w:pPr>
        <w:pStyle w:val="BodyText"/>
        <w:spacing w:line="240" w:lineRule="auto" w:before="51"/>
        <w:ind w:right="324"/>
        <w:jc w:val="left"/>
      </w:pPr>
      <w:r>
        <w:rPr/>
        <w:t>其他说明：</w:t>
      </w:r>
    </w:p>
    <w:p>
      <w:pPr>
        <w:pStyle w:val="BodyText"/>
        <w:spacing w:line="300" w:lineRule="auto" w:before="117"/>
        <w:ind w:right="369" w:firstLine="360"/>
        <w:jc w:val="left"/>
      </w:pP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日收到中国证券监督管理委员会《关于核准深圳华大基因股份有限公司首次公开发行股票的批 复》（证监许可</w:t>
      </w:r>
      <w:r>
        <w:rPr>
          <w:rFonts w:ascii="Times New Roman" w:hAnsi="Times New Roman" w:cs="Times New Roman" w:eastAsia="Times New Roman" w:hint="default"/>
        </w:rPr>
        <w:t>[2017]1023</w:t>
      </w:r>
      <w:r>
        <w:rPr/>
        <w:t>号），核准本公司向社会公开发行人民币普通股</w:t>
      </w:r>
      <w:r>
        <w:rPr>
          <w:rFonts w:ascii="Times New Roman" w:hAnsi="Times New Roman" w:cs="Times New Roman" w:eastAsia="Times New Roman" w:hint="default"/>
        </w:rPr>
        <w:t>4,010</w:t>
      </w:r>
      <w:r>
        <w:rPr/>
        <w:t>万股。本次发行新股募集资金总额 </w:t>
      </w:r>
      <w:r>
        <w:rPr>
          <w:rFonts w:ascii="Times New Roman" w:hAnsi="Times New Roman" w:cs="Times New Roman" w:eastAsia="Times New Roman" w:hint="default"/>
        </w:rPr>
        <w:t>546,964,000.00</w:t>
      </w:r>
      <w:r>
        <w:rPr/>
        <w:t>元，扣减不含税发行费用人民币</w:t>
      </w:r>
      <w:r>
        <w:rPr>
          <w:rFonts w:ascii="Times New Roman" w:hAnsi="Times New Roman" w:cs="Times New Roman" w:eastAsia="Times New Roman" w:hint="default"/>
        </w:rPr>
        <w:t>63,102,660.38</w:t>
      </w:r>
      <w:r>
        <w:rPr/>
        <w:t>元，实际募集资金净额</w:t>
      </w:r>
      <w:r>
        <w:rPr>
          <w:rFonts w:ascii="Times New Roman" w:hAnsi="Times New Roman" w:cs="Times New Roman" w:eastAsia="Times New Roman" w:hint="default"/>
        </w:rPr>
        <w:t>483,861,339.62</w:t>
      </w:r>
      <w:r>
        <w:rPr/>
        <w:t>元，计入股本和资本公积 的金额分别为</w:t>
      </w:r>
      <w:r>
        <w:rPr>
          <w:rFonts w:ascii="Times New Roman" w:hAnsi="Times New Roman" w:cs="Times New Roman" w:eastAsia="Times New Roman" w:hint="default"/>
        </w:rPr>
        <w:t>40,100,000.00</w:t>
      </w:r>
      <w:r>
        <w:rPr/>
        <w:t>元和</w:t>
      </w:r>
      <w:r>
        <w:rPr>
          <w:rFonts w:ascii="Times New Roman" w:hAnsi="Times New Roman" w:cs="Times New Roman" w:eastAsia="Times New Roman" w:hint="default"/>
        </w:rPr>
        <w:t>443,761,339.62</w:t>
      </w:r>
      <w:r>
        <w:rPr/>
        <w:t>元。</w:t>
      </w:r>
    </w:p>
    <w:p>
      <w:pPr>
        <w:spacing w:line="240" w:lineRule="auto" w:before="2"/>
        <w:rPr>
          <w:rFonts w:ascii="宋体" w:hAnsi="宋体" w:cs="宋体" w:eastAsia="宋体" w:hint="default"/>
          <w:sz w:val="22"/>
          <w:szCs w:val="22"/>
        </w:rPr>
      </w:pPr>
    </w:p>
    <w:p>
      <w:pPr>
        <w:pStyle w:val="Heading3"/>
        <w:spacing w:line="240" w:lineRule="auto"/>
        <w:ind w:right="324"/>
        <w:jc w:val="left"/>
        <w:rPr>
          <w:b w:val="0"/>
          <w:bCs w:val="0"/>
        </w:rPr>
      </w:pPr>
      <w:r>
        <w:rPr>
          <w:rFonts w:ascii="Times New Roman" w:hAnsi="Times New Roman" w:cs="Times New Roman" w:eastAsia="Times New Roman" w:hint="default"/>
        </w:rPr>
        <w:t>29</w:t>
      </w:r>
      <w:r>
        <w:rPr/>
        <w:t>、资本公积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3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2,152,971,763.65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443,761,339.62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2,596,733,103.27</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368,014,225.38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3,508,748.67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371,522,974.05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2,520,985,989.03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447,270,088.29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2,968,256,077.32</w:t>
            </w:r>
          </w:p>
        </w:tc>
      </w:tr>
    </w:tbl>
    <w:p>
      <w:pPr>
        <w:pStyle w:val="BodyText"/>
        <w:spacing w:line="357" w:lineRule="auto" w:before="51"/>
        <w:ind w:left="513" w:right="503" w:hanging="361"/>
        <w:jc w:val="left"/>
      </w:pPr>
      <w:r>
        <w:rPr/>
        <w:t>其他说明，包括本期增减变动情况、变动原因说明： 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日收到中国证券监督管理委员会《关于核准深圳华大基因股份有限公司首次公开发行股票的批</w:t>
      </w:r>
    </w:p>
    <w:p>
      <w:pPr>
        <w:pStyle w:val="BodyText"/>
        <w:spacing w:line="214" w:lineRule="exact"/>
        <w:ind w:right="324"/>
        <w:jc w:val="left"/>
      </w:pPr>
      <w:r>
        <w:rPr/>
        <w:t>复》（证监许可</w:t>
      </w:r>
      <w:r>
        <w:rPr>
          <w:rFonts w:ascii="Times New Roman" w:hAnsi="Times New Roman" w:cs="Times New Roman" w:eastAsia="Times New Roman" w:hint="default"/>
        </w:rPr>
        <w:t>[2017]1023</w:t>
      </w:r>
      <w:r>
        <w:rPr/>
        <w:t>号），核准本公司向社会公开发行人民币普通股</w:t>
      </w:r>
      <w:r>
        <w:rPr>
          <w:rFonts w:ascii="Times New Roman" w:hAnsi="Times New Roman" w:cs="Times New Roman" w:eastAsia="Times New Roman" w:hint="default"/>
        </w:rPr>
        <w:t>4,010</w:t>
      </w:r>
      <w:r>
        <w:rPr/>
        <w:t>万股。本次发行新股募集资金总额</w:t>
      </w:r>
    </w:p>
    <w:p>
      <w:pPr>
        <w:pStyle w:val="BodyText"/>
        <w:spacing w:line="300" w:lineRule="auto" w:before="63"/>
        <w:ind w:right="369"/>
        <w:jc w:val="left"/>
      </w:pPr>
      <w:r>
        <w:rPr>
          <w:rFonts w:ascii="Times New Roman" w:hAnsi="Times New Roman" w:cs="Times New Roman" w:eastAsia="Times New Roman" w:hint="default"/>
        </w:rPr>
        <w:t>546,964,000.00</w:t>
      </w:r>
      <w:r>
        <w:rPr/>
        <w:t>元，扣减不含税发行费用人民币</w:t>
      </w:r>
      <w:r>
        <w:rPr>
          <w:rFonts w:ascii="Times New Roman" w:hAnsi="Times New Roman" w:cs="Times New Roman" w:eastAsia="Times New Roman" w:hint="default"/>
        </w:rPr>
        <w:t>63,102,660.38</w:t>
      </w:r>
      <w:r>
        <w:rPr/>
        <w:t>元，实际募集资金净额</w:t>
      </w:r>
      <w:r>
        <w:rPr>
          <w:rFonts w:ascii="Times New Roman" w:hAnsi="Times New Roman" w:cs="Times New Roman" w:eastAsia="Times New Roman" w:hint="default"/>
        </w:rPr>
        <w:t>483,861,339.62</w:t>
      </w:r>
      <w:r>
        <w:rPr/>
        <w:t>元，计入股本和资本公积 的金额分别为</w:t>
      </w:r>
      <w:r>
        <w:rPr>
          <w:rFonts w:ascii="Times New Roman" w:hAnsi="Times New Roman" w:cs="Times New Roman" w:eastAsia="Times New Roman" w:hint="default"/>
        </w:rPr>
        <w:t>40,100,000.00</w:t>
      </w:r>
      <w:r>
        <w:rPr/>
        <w:t>元和</w:t>
      </w:r>
      <w:r>
        <w:rPr>
          <w:rFonts w:ascii="Times New Roman" w:hAnsi="Times New Roman" w:cs="Times New Roman" w:eastAsia="Times New Roman" w:hint="default"/>
        </w:rPr>
        <w:t>443,761,339.62</w:t>
      </w:r>
      <w:r>
        <w:rPr/>
        <w:t>元。</w:t>
      </w:r>
    </w:p>
    <w:p>
      <w:pPr>
        <w:spacing w:after="0" w:line="300" w:lineRule="auto"/>
        <w:jc w:val="left"/>
        <w:sectPr>
          <w:pgSz w:w="11910" w:h="16840"/>
          <w:pgMar w:header="880" w:footer="974" w:top="1100" w:bottom="1160" w:left="980" w:right="800"/>
        </w:sectPr>
      </w:pPr>
    </w:p>
    <w:p>
      <w:pPr>
        <w:spacing w:line="240" w:lineRule="auto" w:before="0"/>
        <w:rPr>
          <w:rFonts w:ascii="宋体" w:hAnsi="宋体" w:cs="宋体" w:eastAsia="宋体" w:hint="default"/>
          <w:sz w:val="24"/>
          <w:szCs w:val="24"/>
        </w:rPr>
      </w:pPr>
    </w:p>
    <w:p>
      <w:pPr>
        <w:pStyle w:val="Heading3"/>
        <w:spacing w:line="240" w:lineRule="auto"/>
        <w:ind w:left="140" w:right="-10"/>
        <w:jc w:val="left"/>
        <w:rPr>
          <w:b w:val="0"/>
          <w:bCs w:val="0"/>
        </w:rPr>
      </w:pPr>
      <w:r>
        <w:rPr/>
        <w:pict>
          <v:group style="position:absolute;margin-left:70.559998pt;margin-top:-.476309pt;width:700.95pt;height:.1pt;mso-position-horizontal-relative:page;mso-position-vertical-relative:paragraph;z-index:2128" coordorigin="1411,-10" coordsize="14019,2">
            <v:shape style="position:absolute;left:1411;top:-10;width:14019;height:2" coordorigin="1411,-10" coordsize="14019,0" path="m1411,-10l15430,-10e" filled="false" stroked="true" strokeweight=".72pt" strokecolor="#000000">
              <v:path arrowok="t"/>
            </v:shape>
            <w10:wrap type="none"/>
          </v:group>
        </w:pict>
      </w:r>
      <w:r>
        <w:rPr>
          <w:rFonts w:ascii="Times New Roman" w:hAnsi="Times New Roman" w:cs="Times New Roman" w:eastAsia="Times New Roman" w:hint="default"/>
          <w:spacing w:val="-1"/>
        </w:rPr>
        <w:t>30</w:t>
      </w:r>
      <w:r>
        <w:rPr>
          <w:spacing w:val="-1"/>
        </w:rPr>
        <w:t>、其他综合收益</w:t>
      </w:r>
      <w:r>
        <w:rPr>
          <w:b w:val="0"/>
          <w:bCs w:val="0"/>
          <w:spacing w:val="-1"/>
        </w:rPr>
      </w:r>
    </w:p>
    <w:p>
      <w:pPr>
        <w:pStyle w:val="BodyText"/>
        <w:spacing w:line="240" w:lineRule="auto" w:before="17"/>
        <w:ind w:left="140" w:right="0"/>
        <w:jc w:val="left"/>
      </w:pPr>
      <w:r>
        <w:rPr/>
        <w:br w:type="column"/>
      </w:r>
      <w:r>
        <w:rPr/>
        <w:t>深圳华大基因股份有限公司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66"/>
          <w:footerReference w:type="default" r:id="rId67"/>
          <w:pgSz w:w="16840" w:h="11910" w:orient="landscape"/>
          <w:pgMar w:header="0" w:footer="0" w:top="800" w:bottom="280" w:left="1300" w:right="1300"/>
          <w:cols w:num="2" w:equalWidth="0">
            <w:col w:w="1828" w:space="8261"/>
            <w:col w:w="4151"/>
          </w:cols>
        </w:sectPr>
      </w:pPr>
    </w:p>
    <w:p>
      <w:pPr>
        <w:spacing w:line="240" w:lineRule="auto" w:before="1"/>
        <w:rPr>
          <w:rFonts w:ascii="宋体" w:hAnsi="宋体" w:cs="宋体" w:eastAsia="宋体" w:hint="default"/>
          <w:sz w:val="23"/>
          <w:szCs w:val="23"/>
        </w:rPr>
      </w:pPr>
    </w:p>
    <w:p>
      <w:pPr>
        <w:pStyle w:val="BodyText"/>
        <w:spacing w:line="240" w:lineRule="auto" w:before="44"/>
        <w:ind w:left="0" w:right="135"/>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4115"/>
        <w:gridCol w:w="1090"/>
        <w:gridCol w:w="1454"/>
        <w:gridCol w:w="2211"/>
        <w:gridCol w:w="1198"/>
        <w:gridCol w:w="1342"/>
        <w:gridCol w:w="1421"/>
        <w:gridCol w:w="1092"/>
      </w:tblGrid>
      <w:tr>
        <w:trPr>
          <w:trHeight w:val="382" w:hRule="exact"/>
        </w:trPr>
        <w:tc>
          <w:tcPr>
            <w:tcW w:w="41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62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2" w:hRule="exact"/>
        </w:trPr>
        <w:tc>
          <w:tcPr>
            <w:tcW w:w="41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2"/>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090" w:type="dxa"/>
            <w:vMerge/>
            <w:tcBorders>
              <w:left w:val="single" w:sz="4" w:space="0" w:color="000000"/>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542" w:right="89" w:hanging="449"/>
              <w:jc w:val="left"/>
              <w:rPr>
                <w:rFonts w:ascii="宋体" w:hAnsi="宋体" w:cs="宋体" w:eastAsia="宋体" w:hint="default"/>
                <w:sz w:val="18"/>
                <w:szCs w:val="18"/>
              </w:rPr>
            </w:pPr>
            <w:r>
              <w:rPr>
                <w:rFonts w:ascii="宋体" w:hAnsi="宋体" w:cs="宋体" w:eastAsia="宋体" w:hint="default"/>
                <w:sz w:val="18"/>
                <w:szCs w:val="18"/>
              </w:rPr>
              <w:t>本期所得税前发 生额</w:t>
            </w:r>
          </w:p>
        </w:tc>
        <w:tc>
          <w:tcPr>
            <w:tcW w:w="22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470" w:right="108" w:hanging="360"/>
              <w:jc w:val="left"/>
              <w:rPr>
                <w:rFonts w:ascii="宋体" w:hAnsi="宋体" w:cs="宋体" w:eastAsia="宋体" w:hint="default"/>
                <w:sz w:val="18"/>
                <w:szCs w:val="18"/>
              </w:rPr>
            </w:pPr>
            <w:r>
              <w:rPr>
                <w:rFonts w:ascii="宋体" w:hAnsi="宋体" w:cs="宋体" w:eastAsia="宋体" w:hint="default"/>
                <w:sz w:val="18"/>
                <w:szCs w:val="18"/>
              </w:rPr>
              <w:t>减：前期计入其他综合收 益当期转入损益</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501" w:right="56" w:hanging="452"/>
              <w:jc w:val="left"/>
              <w:rPr>
                <w:rFonts w:ascii="宋体" w:hAnsi="宋体" w:cs="宋体" w:eastAsia="宋体" w:hint="default"/>
                <w:sz w:val="18"/>
                <w:szCs w:val="18"/>
              </w:rPr>
            </w:pPr>
            <w:r>
              <w:rPr>
                <w:rFonts w:ascii="宋体" w:hAnsi="宋体" w:cs="宋体" w:eastAsia="宋体" w:hint="default"/>
                <w:sz w:val="18"/>
                <w:szCs w:val="18"/>
              </w:rPr>
              <w:t>减：所得税费 用</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573" w:right="36" w:hanging="540"/>
              <w:jc w:val="left"/>
              <w:rPr>
                <w:rFonts w:ascii="宋体" w:hAnsi="宋体" w:cs="宋体" w:eastAsia="宋体" w:hint="default"/>
                <w:sz w:val="18"/>
                <w:szCs w:val="18"/>
              </w:rPr>
            </w:pPr>
            <w:r>
              <w:rPr>
                <w:rFonts w:ascii="宋体" w:hAnsi="宋体" w:cs="宋体" w:eastAsia="宋体" w:hint="default"/>
                <w:sz w:val="18"/>
                <w:szCs w:val="18"/>
              </w:rPr>
              <w:t>税后归属于母公 司</w:t>
            </w: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525" w:right="72" w:hanging="449"/>
              <w:jc w:val="left"/>
              <w:rPr>
                <w:rFonts w:ascii="宋体" w:hAnsi="宋体" w:cs="宋体" w:eastAsia="宋体" w:hint="default"/>
                <w:sz w:val="18"/>
                <w:szCs w:val="18"/>
              </w:rPr>
            </w:pPr>
            <w:r>
              <w:rPr>
                <w:rFonts w:ascii="宋体" w:hAnsi="宋体" w:cs="宋体" w:eastAsia="宋体" w:hint="default"/>
                <w:sz w:val="18"/>
                <w:szCs w:val="18"/>
              </w:rPr>
              <w:t>税后归属于少数 股东</w:t>
            </w:r>
          </w:p>
        </w:tc>
        <w:tc>
          <w:tcPr>
            <w:tcW w:w="1092" w:type="dxa"/>
            <w:vMerge/>
            <w:tcBorders>
              <w:left w:val="single" w:sz="4" w:space="0" w:color="000000"/>
              <w:right w:val="single" w:sz="4" w:space="0" w:color="000000"/>
            </w:tcBorders>
            <w:shd w:val="clear" w:color="auto" w:fill="D2D2D2"/>
          </w:tcPr>
          <w:p>
            <w:pPr/>
          </w:p>
        </w:tc>
      </w:tr>
      <w:tr>
        <w:trPr>
          <w:trHeight w:val="362" w:hRule="exact"/>
        </w:trPr>
        <w:tc>
          <w:tcPr>
            <w:tcW w:w="41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2211"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4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16,970,838.77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19,281,334.56</w:t>
            </w:r>
          </w:p>
        </w:tc>
        <w:tc>
          <w:tcPr>
            <w:tcW w:w="221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6,694,768.42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11,401,024.57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1,185,541.57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28,371,863.34</w:t>
            </w:r>
          </w:p>
        </w:tc>
      </w:tr>
      <w:tr>
        <w:trPr>
          <w:trHeight w:val="716" w:hRule="exact"/>
        </w:trPr>
        <w:tc>
          <w:tcPr>
            <w:tcW w:w="4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 w:right="121"/>
              <w:jc w:val="left"/>
              <w:rPr>
                <w:rFonts w:ascii="宋体" w:hAnsi="宋体" w:cs="宋体" w:eastAsia="宋体" w:hint="default"/>
                <w:sz w:val="18"/>
                <w:szCs w:val="18"/>
              </w:rPr>
            </w:pPr>
            <w:r>
              <w:rPr>
                <w:rFonts w:ascii="宋体" w:hAnsi="宋体" w:cs="宋体" w:eastAsia="宋体" w:hint="default"/>
                <w:sz w:val="18"/>
                <w:szCs w:val="18"/>
              </w:rPr>
              <w:t>其中：权益法下在被投资单位以后将重分类进损益 的其他综合收益中享有的份额</w:t>
            </w:r>
          </w:p>
        </w:tc>
        <w:tc>
          <w:tcPr>
            <w:tcW w:w="1090" w:type="dxa"/>
            <w:tcBorders>
              <w:top w:val="single" w:sz="4" w:space="0" w:color="000000"/>
              <w:left w:val="single" w:sz="13" w:space="0" w:color="D2D2D2"/>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-26,261.68</w:t>
            </w:r>
          </w:p>
        </w:tc>
        <w:tc>
          <w:tcPr>
            <w:tcW w:w="221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-23,874.36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-2,387.32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-23,874.36</w:t>
            </w:r>
          </w:p>
        </w:tc>
      </w:tr>
      <w:tr>
        <w:trPr>
          <w:trHeight w:val="401" w:hRule="exact"/>
        </w:trPr>
        <w:tc>
          <w:tcPr>
            <w:tcW w:w="4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可供出售金融资产公允价值变动损益</w:t>
            </w:r>
          </w:p>
        </w:tc>
        <w:tc>
          <w:tcPr>
            <w:tcW w:w="109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40,574,354.02</w:t>
            </w:r>
          </w:p>
        </w:tc>
        <w:tc>
          <w:tcPr>
            <w:tcW w:w="221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6,694,768.42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30,799,621.89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3,079,963.71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30,799,621.89</w:t>
            </w:r>
          </w:p>
        </w:tc>
      </w:tr>
      <w:tr>
        <w:trPr>
          <w:trHeight w:val="403" w:hRule="exact"/>
        </w:trPr>
        <w:tc>
          <w:tcPr>
            <w:tcW w:w="4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16,970,838.77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-21,266,757.78</w:t>
            </w:r>
          </w:p>
        </w:tc>
        <w:tc>
          <w:tcPr>
            <w:tcW w:w="221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-19,374,722.96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-1,892,034.82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-2,403,884.19</w:t>
            </w:r>
          </w:p>
        </w:tc>
      </w:tr>
      <w:tr>
        <w:trPr>
          <w:trHeight w:val="401" w:hRule="exact"/>
        </w:trPr>
        <w:tc>
          <w:tcPr>
            <w:tcW w:w="4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16,970,838.77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19,281,334.56</w:t>
            </w:r>
          </w:p>
        </w:tc>
        <w:tc>
          <w:tcPr>
            <w:tcW w:w="221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6,694,768.42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11,401,024.57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1,185,541.57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28,371,863.34</w:t>
            </w:r>
          </w:p>
        </w:tc>
      </w:tr>
    </w:tbl>
    <w:p>
      <w:pPr>
        <w:pStyle w:val="BodyText"/>
        <w:spacing w:line="357" w:lineRule="auto" w:before="51"/>
        <w:ind w:left="140" w:right="7418"/>
        <w:jc w:val="left"/>
      </w:pPr>
      <w:r>
        <w:rPr/>
        <w:t>上表期初余额和期末余额系归属于母公司其他综合收益。 其他说明，包括对现金流量套期损益的有效部分转为被套期项目初始确认金额调整： 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76"/>
        <w:ind w:left="0" w:right="133"/>
        <w:jc w:val="right"/>
        <w:rPr>
          <w:rFonts w:ascii="Times New Roman" w:hAnsi="Times New Roman" w:cs="Times New Roman" w:eastAsia="Times New Roman" w:hint="default"/>
        </w:rPr>
      </w:pPr>
      <w:r>
        <w:rPr>
          <w:rFonts w:ascii="Times New Roman"/>
        </w:rPr>
        <w:t>200</w:t>
      </w:r>
    </w:p>
    <w:p>
      <w:pPr>
        <w:spacing w:after="0" w:line="240" w:lineRule="auto"/>
        <w:jc w:val="right"/>
        <w:rPr>
          <w:rFonts w:ascii="Times New Roman" w:hAnsi="Times New Roman" w:cs="Times New Roman" w:eastAsia="Times New Roman" w:hint="default"/>
        </w:rPr>
        <w:sectPr>
          <w:type w:val="continuous"/>
          <w:pgSz w:w="16840" w:h="11910" w:orient="landscape"/>
          <w:pgMar w:top="1060" w:bottom="1160" w:left="1300" w:right="130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6"/>
        <w:ind w:right="141"/>
        <w:jc w:val="left"/>
        <w:rPr>
          <w:b w:val="0"/>
          <w:bCs w:val="0"/>
        </w:rPr>
      </w:pPr>
      <w:r>
        <w:rPr>
          <w:rFonts w:ascii="Times New Roman" w:hAnsi="Times New Roman" w:cs="Times New Roman" w:eastAsia="Times New Roman" w:hint="default"/>
        </w:rPr>
        <w:t>31</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32,918,171.88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15,467,384.62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48,385,556.50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32,918,171.88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15,467,384.62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48,385,556.50</w:t>
            </w:r>
          </w:p>
        </w:tc>
      </w:tr>
    </w:tbl>
    <w:p>
      <w:pPr>
        <w:pStyle w:val="BodyText"/>
        <w:spacing w:line="240" w:lineRule="auto" w:before="51"/>
        <w:ind w:right="141"/>
        <w:jc w:val="left"/>
      </w:pPr>
      <w:r>
        <w:rPr/>
        <w:t>盈余公积说明，包括本期增减变动情况、变动原因说明：</w:t>
      </w:r>
    </w:p>
    <w:p>
      <w:pPr>
        <w:pStyle w:val="BodyText"/>
        <w:spacing w:line="300" w:lineRule="auto" w:before="115"/>
        <w:ind w:right="139"/>
        <w:jc w:val="left"/>
      </w:pPr>
      <w:r>
        <w:rPr>
          <w:spacing w:val="-1"/>
        </w:rPr>
        <w:t>根据公司法、本公司章程的规定，本公司按弥补以前年度亏损后净利润的</w:t>
      </w:r>
      <w:r>
        <w:rPr>
          <w:rFonts w:ascii="Times New Roman" w:hAnsi="Times New Roman" w:cs="Times New Roman" w:eastAsia="Times New Roman" w:hint="default"/>
          <w:spacing w:val="-1"/>
        </w:rPr>
        <w:t>10%</w:t>
      </w:r>
      <w:r>
        <w:rPr>
          <w:spacing w:val="-1"/>
        </w:rPr>
        <w:t>提取法定盈余公积金。法定盈余公积累计额为</w:t>
      </w:r>
      <w:r>
        <w:rPr>
          <w:spacing w:val="-85"/>
        </w:rPr>
        <w:t> </w:t>
      </w:r>
      <w:r>
        <w:rPr>
          <w:spacing w:val="-85"/>
        </w:rPr>
      </w:r>
      <w:r>
        <w:rPr/>
        <w:t>本公司注册资本</w:t>
      </w:r>
      <w:r>
        <w:rPr>
          <w:rFonts w:ascii="Times New Roman" w:hAnsi="Times New Roman" w:cs="Times New Roman" w:eastAsia="Times New Roman" w:hint="default"/>
        </w:rPr>
        <w:t>50%</w:t>
      </w:r>
      <w:r>
        <w:rPr/>
        <w:t>以上的，可不再提取。</w:t>
      </w:r>
    </w:p>
    <w:p>
      <w:pPr>
        <w:spacing w:line="240" w:lineRule="auto" w:before="3"/>
        <w:rPr>
          <w:rFonts w:ascii="宋体" w:hAnsi="宋体" w:cs="宋体" w:eastAsia="宋体" w:hint="default"/>
          <w:sz w:val="22"/>
          <w:szCs w:val="22"/>
        </w:rPr>
      </w:pPr>
    </w:p>
    <w:p>
      <w:pPr>
        <w:pStyle w:val="Heading3"/>
        <w:spacing w:line="240" w:lineRule="auto"/>
        <w:ind w:right="141"/>
        <w:jc w:val="left"/>
        <w:rPr>
          <w:b w:val="0"/>
          <w:bCs w:val="0"/>
        </w:rPr>
      </w:pPr>
      <w:r>
        <w:rPr>
          <w:rFonts w:ascii="Times New Roman" w:hAnsi="Times New Roman" w:cs="Times New Roman" w:eastAsia="Times New Roman" w:hint="default"/>
        </w:rPr>
        <w:t>32</w:t>
      </w:r>
      <w:r>
        <w:rPr/>
        <w:t>、未分配利润</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726"/>
        <w:gridCol w:w="2924"/>
        <w:gridCol w:w="2919"/>
      </w:tblGrid>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428,886,999.79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182,324,713.19</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428,886,999.79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182,324,713.19</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398,091,510.29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332,690,944.77</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15,467,384.62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3,328,658.17</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108,000,000.00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82,800,000.00</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703,511,125.46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428,886,999.79</w:t>
            </w:r>
          </w:p>
        </w:tc>
      </w:tr>
    </w:tbl>
    <w:p>
      <w:pPr>
        <w:pStyle w:val="BodyText"/>
        <w:spacing w:line="240" w:lineRule="auto" w:before="51"/>
        <w:ind w:right="141"/>
        <w:jc w:val="left"/>
      </w:pPr>
      <w:r>
        <w:rPr/>
        <w:t>调整期初未分配利润明细：</w:t>
      </w:r>
    </w:p>
    <w:p>
      <w:pPr>
        <w:pStyle w:val="BodyText"/>
        <w:spacing w:line="240" w:lineRule="auto" w:before="115"/>
        <w:ind w:right="141"/>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41"/>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41"/>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41"/>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41"/>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33</w:t>
      </w:r>
      <w:r>
        <w:rPr/>
        <w:t>、营业收入和营业成本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2,087,628,841.19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900,398,214.89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1,700,885,015.52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707,036,385.95</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7,915,430.25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1,805,807.31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10,613,238.14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4,212,218.32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2,095,544,271.44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902,204,022.20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1,711,498,253.66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711,248,604.27</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34</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footerReference w:type="default" r:id="rId68"/>
          <w:pgSz w:w="11910" w:h="16840"/>
          <w:pgMar w:footer="974" w:header="0" w:top="1100" w:bottom="1160" w:left="980" w:right="980"/>
          <w:pgNumType w:start="201"/>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962,171.80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2,128,840.99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682,916.28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1,524,288.60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2,081,588.67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750,770.34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9,897.62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9,209.91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2,192,243.77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499,996.35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260,182.01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1,024,236.99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2,162,572.36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6,953,055.13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7,335,860.56</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35</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176,309,160.66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143,020,212.43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124,526,375.35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95,544,363.57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33,032,212.50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23,621,869.40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24,291,687.90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23,287,638.35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15,111,828.24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13,643,192.94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13,720,625.77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13,115,079.09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5,205,009.33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4,998,520.09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3,565,926.88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3,250,181.05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2,942,697.76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2,335,494.88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3,155,712.30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4,794,997.32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401,861,236.69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327,611,549.12</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36</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84,499,720.22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75,524,374.21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审计费及咨询费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10,880,313.68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44,611,398.91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16,092,861.55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13,647,872.61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18,828,512.08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9,794,341.23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5,957,279.94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5,616,321.94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2,685,116.63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2,647,647.49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知识产权费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5,782,900.13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1,191,860.47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784,911.61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174,314,115.65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176,724,051.02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8,766,511.20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7,597,288.81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327,807,331.08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338,140,068.30</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37</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307,169.47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131,949.23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-2,323,731.20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-989,861.00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汇兑损失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2,496,365.88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-13,300,871.01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2,539,167.89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2,327,451.15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3,018,972.04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-11,831,331.63</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38</w:t>
      </w:r>
      <w:r>
        <w:rPr/>
        <w:t>、资产减值损失</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44,841,072.81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40,750,789.69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44,841,072.81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40,750,789.69</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39</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459"/>
        <w:gridCol w:w="3192"/>
        <w:gridCol w:w="2917"/>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-2,311,774.45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-3,510,990.34</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68,654,207.02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72,475,891.23</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处置或注销子公司产生的投资收益</w:t>
            </w:r>
          </w:p>
        </w:tc>
        <w:tc>
          <w:tcPr>
            <w:tcW w:w="3192"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816,854.75</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处置联营公司产生的投资收益</w:t>
            </w:r>
          </w:p>
        </w:tc>
        <w:tc>
          <w:tcPr>
            <w:tcW w:w="3192"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14,318,571.63</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66,342,432.57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84,100,327.27</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40</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178,626.58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-1,622,896.85</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41</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滨海华大基因产业研究院建设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4,367,376.38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测序仪生产基地补助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建邺开发区政府装修补贴资金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1,250,807.02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基于生物云计算基因组健康</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981,818.17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本溪华大政策扶持协议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749,926.61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76"/>
              <w:jc w:val="left"/>
              <w:rPr>
                <w:rFonts w:ascii="宋体" w:hAnsi="宋体" w:cs="宋体" w:eastAsia="宋体" w:hint="default"/>
                <w:sz w:val="18"/>
                <w:szCs w:val="18"/>
              </w:rPr>
            </w:pPr>
            <w:r>
              <w:rPr>
                <w:rFonts w:ascii="宋体" w:hAnsi="宋体" w:cs="宋体" w:eastAsia="宋体" w:hint="default"/>
                <w:sz w:val="18"/>
                <w:szCs w:val="18"/>
              </w:rPr>
              <w:t>专项发展金（管委会专项用于补贴装 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577,986.50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6"/>
              <w:jc w:val="left"/>
              <w:rPr>
                <w:rFonts w:ascii="宋体" w:hAnsi="宋体" w:cs="宋体" w:eastAsia="宋体" w:hint="default"/>
                <w:sz w:val="18"/>
                <w:szCs w:val="18"/>
              </w:rPr>
            </w:pPr>
            <w:r>
              <w:rPr>
                <w:rFonts w:ascii="宋体" w:hAnsi="宋体" w:cs="宋体" w:eastAsia="宋体" w:hint="default"/>
                <w:sz w:val="18"/>
                <w:szCs w:val="18"/>
              </w:rPr>
              <w:t>滨海研究院保税区科技发展局装修专项 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“PB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级生物基因数据处理的国民健康服</w:t>
            </w:r>
            <w:r>
              <w:rPr>
                <w:rFonts w:ascii="宋体" w:hAnsi="宋体" w:cs="宋体" w:eastAsia="宋体" w:hint="default"/>
                <w:w w:val="100"/>
                <w:sz w:val="18"/>
                <w:szCs w:val="18"/>
              </w:rPr>
              <w:t> </w:t>
            </w:r>
            <w:r>
              <w:rPr>
                <w:rFonts w:ascii="宋体" w:hAnsi="宋体" w:cs="宋体" w:eastAsia="宋体" w:hint="default"/>
                <w:sz w:val="18"/>
                <w:szCs w:val="18"/>
              </w:rPr>
              <w:t>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专项拨款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1,004,429.66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广州市肿瘤贯穿组学研究重点实验室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415,164.60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60"/>
              <w:jc w:val="left"/>
              <w:rPr>
                <w:rFonts w:ascii="宋体" w:hAnsi="宋体" w:cs="宋体" w:eastAsia="宋体" w:hint="default"/>
                <w:sz w:val="18"/>
                <w:szCs w:val="18"/>
              </w:rPr>
            </w:pPr>
            <w:r>
              <w:rPr>
                <w:rFonts w:ascii="宋体" w:hAnsi="宋体" w:cs="宋体" w:eastAsia="宋体" w:hint="default"/>
                <w:sz w:val="18"/>
                <w:szCs w:val="18"/>
              </w:rPr>
              <w:t>东湖开发区</w:t>
            </w:r>
            <w:r>
              <w:rPr>
                <w:rFonts w:ascii="Times New Roman" w:hAnsi="Times New Roman" w:cs="Times New Roman" w:eastAsia="Times New Roman" w:hint="default"/>
                <w:sz w:val="18"/>
                <w:szCs w:val="18"/>
              </w:rPr>
              <w:t>"</w:t>
            </w:r>
            <w:r>
              <w:rPr>
                <w:rFonts w:ascii="宋体" w:hAnsi="宋体" w:cs="宋体" w:eastAsia="宋体" w:hint="default"/>
                <w:sz w:val="18"/>
                <w:szCs w:val="18"/>
              </w:rPr>
              <w:t>生物产业发展资金</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新 一代测序、质谱技术临床检测服务平台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272,727.25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6"/>
              <w:jc w:val="left"/>
              <w:rPr>
                <w:rFonts w:ascii="宋体" w:hAnsi="宋体" w:cs="宋体" w:eastAsia="宋体" w:hint="default"/>
                <w:sz w:val="18"/>
                <w:szCs w:val="18"/>
              </w:rPr>
            </w:pPr>
            <w:r>
              <w:rPr>
                <w:rFonts w:ascii="宋体" w:hAnsi="宋体" w:cs="宋体" w:eastAsia="宋体" w:hint="default"/>
                <w:sz w:val="18"/>
                <w:szCs w:val="18"/>
              </w:rPr>
              <w:t>贯穿组在出生缺陷防控及肿瘤早期诊断 与个体化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131,427.18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天津华大基因科技有限公司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生物云计算 平台建设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34"/>
              <w:jc w:val="both"/>
              <w:rPr>
                <w:rFonts w:ascii="宋体" w:hAnsi="宋体" w:cs="宋体" w:eastAsia="宋体" w:hint="default"/>
                <w:sz w:val="18"/>
                <w:szCs w:val="18"/>
              </w:rPr>
            </w:pPr>
            <w:r>
              <w:rPr>
                <w:rFonts w:ascii="宋体" w:hAnsi="宋体" w:cs="宋体" w:eastAsia="宋体" w:hint="default"/>
                <w:sz w:val="18"/>
                <w:szCs w:val="18"/>
              </w:rPr>
              <w:t>鼓励企业购买国际先进研发仪器设备项 目专项资金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新一代高通量测序技术产业 化应用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基于目标区域捕获技术的单基因病研究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上海中小企业项目发展专项资金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35,600.04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高新企业政策奖励补贴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单基因疾病的无创产前基因检测补助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186,197.66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肾移植抗体介导排斥反应的无创诊断与 综合生物治疗研究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210,997.91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建立长垣华大产业综合示范区协议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2,000,000.04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胃癌化疗方案的优化及新靶点药物的研 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631,233.61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多组学结直肠癌早筛技术开发和组学大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549,886.39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36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数据分析平台建立</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太和县建立</w:t>
            </w:r>
            <w:r>
              <w:rPr>
                <w:rFonts w:ascii="Times New Roman" w:hAnsi="Times New Roman" w:cs="Times New Roman" w:eastAsia="Times New Roman" w:hint="default"/>
                <w:sz w:val="18"/>
                <w:szCs w:val="18"/>
              </w:rPr>
              <w:t>“</w:t>
            </w:r>
            <w:r>
              <w:rPr>
                <w:rFonts w:ascii="宋体" w:hAnsi="宋体" w:cs="宋体" w:eastAsia="宋体" w:hint="default"/>
                <w:sz w:val="18"/>
                <w:szCs w:val="18"/>
              </w:rPr>
              <w:t>一院一所两中心</w:t>
            </w:r>
            <w:r>
              <w:rPr>
                <w:rFonts w:ascii="Times New Roman" w:hAnsi="Times New Roman" w:cs="Times New Roman" w:eastAsia="Times New Roman" w:hint="default"/>
                <w:sz w:val="18"/>
                <w:szCs w:val="18"/>
              </w:rPr>
              <w:t>”</w:t>
            </w:r>
            <w:r>
              <w:rPr>
                <w:rFonts w:ascii="宋体" w:hAnsi="宋体" w:cs="宋体" w:eastAsia="宋体" w:hint="default"/>
                <w:sz w:val="18"/>
                <w:szCs w:val="18"/>
              </w:rPr>
              <w:t>实验室装 修项目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济宁市产学研合作开发项目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28,978.92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研发机构注册补贴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研发项目前期资金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76,105.01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济宁市产学研合作开发项目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181,938.90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生物工程和新医药落地批件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结直肠癌筛查和疗效预后评估的芯片开 发及临床应用规范的建立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428,260.47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深圳市科创委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年企业研究开发资助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深圳市科技创新委员会关于基于高效图 处理的基因拼接分析研究的补助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21,144.88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基因测序在生育健康检测中应用开发及 产业化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1,111,500.00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年度企业研发投入补贴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东湖高新区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高企认定奖励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实验室装修补贴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1,295,033.68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广东特支计划科技创新领军人才省财政 专项经费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17,333.81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基因大数据分析与产业化研究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65,411.35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深圳市场监督委员会知识产权专利资金 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天津港保税区财政局企业研用创新联盟 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工行收到服务业奖补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北京市科学技术委员会尾款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年度企业研发费用后补助项目政府 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中国专利优秀奖配套奖励、</w:t>
            </w: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件计算机 软件著作权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盐田区财政局发明专利补贴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小进规</w:t>
            </w:r>
            <w:r>
              <w:rPr>
                <w:rFonts w:ascii="Times New Roman" w:hAnsi="Times New Roman" w:cs="Times New Roman" w:eastAsia="Times New Roman" w:hint="default"/>
                <w:sz w:val="18"/>
                <w:szCs w:val="18"/>
              </w:rPr>
              <w:t>”</w:t>
            </w:r>
            <w:r>
              <w:rPr>
                <w:rFonts w:ascii="宋体" w:hAnsi="宋体" w:cs="宋体" w:eastAsia="宋体" w:hint="default"/>
                <w:sz w:val="18"/>
                <w:szCs w:val="18"/>
              </w:rPr>
              <w:t>政策兑现资金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新引进域外业内知名科技服务机构一次 性奖补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天津港保税区财政局补贴款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高新企业奖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36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政府运营补贴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年东湖高新管委会职业卫生专项治 理奖励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年科技创新券兑付资金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26,875.00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深圳市质监委员会知识产权专利资金资 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32"/>
              <w:jc w:val="left"/>
              <w:rPr>
                <w:rFonts w:ascii="宋体" w:hAnsi="宋体" w:cs="宋体" w:eastAsia="宋体" w:hint="default"/>
                <w:sz w:val="18"/>
                <w:szCs w:val="18"/>
              </w:rPr>
            </w:pPr>
            <w:r>
              <w:rPr>
                <w:rFonts w:ascii="宋体" w:hAnsi="宋体" w:cs="宋体" w:eastAsia="宋体" w:hint="default"/>
                <w:sz w:val="18"/>
                <w:szCs w:val="18"/>
              </w:rPr>
              <w:t>科创委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年科技企业专项奖金</w:t>
            </w:r>
            <w:r>
              <w:rPr>
                <w:rFonts w:ascii="Times New Roman" w:hAnsi="Times New Roman" w:cs="Times New Roman" w:eastAsia="Times New Roman" w:hint="default"/>
                <w:sz w:val="18"/>
                <w:szCs w:val="18"/>
              </w:rPr>
              <w:t>/</w:t>
            </w:r>
            <w:r>
              <w:rPr>
                <w:rFonts w:ascii="宋体" w:hAnsi="宋体" w:cs="宋体" w:eastAsia="宋体" w:hint="default"/>
                <w:sz w:val="18"/>
                <w:szCs w:val="18"/>
              </w:rPr>
              <w:t>场租 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滨海新区财政局现场教学基地建设补贴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税收补贴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保税区财政局房租补贴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经促局计算机软件著作权财政补贴款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28,128,061.08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41"/>
        <w:jc w:val="left"/>
        <w:rPr>
          <w:b w:val="0"/>
          <w:bCs w:val="0"/>
        </w:rPr>
      </w:pPr>
      <w:r>
        <w:rPr>
          <w:rFonts w:ascii="Times New Roman" w:hAnsi="Times New Roman" w:cs="Times New Roman" w:eastAsia="Times New Roman" w:hint="default"/>
        </w:rPr>
        <w:t>42</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3,915,568.51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34,412,524.63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3,915,568.51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无需支付款项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1,275.49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257,267.16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1,275.49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固定资产报废收益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26,750.44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26,750.44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1,795,559.69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313,835.50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1,795,559.69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5,739,154.13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34,983,627.29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5,739,154.13</w:t>
            </w:r>
          </w:p>
        </w:tc>
      </w:tr>
    </w:tbl>
    <w:p>
      <w:pPr>
        <w:pStyle w:val="BodyText"/>
        <w:spacing w:line="240" w:lineRule="auto" w:before="51"/>
        <w:ind w:right="141"/>
        <w:jc w:val="left"/>
      </w:pPr>
      <w:r>
        <w:rPr/>
        <w:t>计入当期损益的政府补助：</w:t>
      </w:r>
    </w:p>
    <w:p>
      <w:pPr>
        <w:pStyle w:val="BodyText"/>
        <w:spacing w:line="240" w:lineRule="auto" w:before="117"/>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066"/>
        <w:gridCol w:w="1061"/>
        <w:gridCol w:w="1064"/>
        <w:gridCol w:w="1063"/>
        <w:gridCol w:w="1064"/>
        <w:gridCol w:w="1063"/>
        <w:gridCol w:w="1063"/>
        <w:gridCol w:w="1064"/>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76"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36"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滨海华大基 因产业研究 院建设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5"/>
              <w:jc w:val="both"/>
              <w:rPr>
                <w:rFonts w:ascii="宋体" w:hAnsi="宋体" w:cs="宋体" w:eastAsia="宋体" w:hint="default"/>
                <w:sz w:val="18"/>
                <w:szCs w:val="18"/>
              </w:rPr>
            </w:pPr>
            <w:r>
              <w:rPr>
                <w:rFonts w:ascii="宋体" w:hAnsi="宋体" w:cs="宋体" w:eastAsia="宋体" w:hint="default"/>
                <w:sz w:val="18"/>
                <w:szCs w:val="18"/>
              </w:rPr>
              <w:t>天津市滨海 新区科学技 术委员会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4,474,427.63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专项发展金</w:t>
            </w:r>
          </w:p>
          <w:p>
            <w:pPr>
              <w:pStyle w:val="TableParagraph"/>
              <w:spacing w:line="319" w:lineRule="auto" w:before="74"/>
              <w:ind w:left="24" w:right="130"/>
              <w:jc w:val="both"/>
              <w:rPr>
                <w:rFonts w:ascii="宋体" w:hAnsi="宋体" w:cs="宋体" w:eastAsia="宋体" w:hint="default"/>
                <w:sz w:val="18"/>
                <w:szCs w:val="18"/>
              </w:rPr>
            </w:pPr>
            <w:r>
              <w:rPr>
                <w:rFonts w:ascii="宋体" w:hAnsi="宋体" w:cs="宋体" w:eastAsia="宋体" w:hint="default"/>
                <w:sz w:val="18"/>
                <w:szCs w:val="18"/>
              </w:rPr>
              <w:t>（管委会专 项用于补贴 装修）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23" w:right="125"/>
              <w:jc w:val="left"/>
              <w:rPr>
                <w:rFonts w:ascii="宋体" w:hAnsi="宋体" w:cs="宋体" w:eastAsia="宋体" w:hint="default"/>
                <w:sz w:val="18"/>
                <w:szCs w:val="18"/>
              </w:rPr>
            </w:pPr>
            <w:r>
              <w:rPr>
                <w:rFonts w:ascii="宋体" w:hAnsi="宋体" w:cs="宋体" w:eastAsia="宋体" w:hint="default"/>
                <w:sz w:val="18"/>
                <w:szCs w:val="18"/>
              </w:rPr>
              <w:t>天津港保税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1,387,167.60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30"/>
              <w:jc w:val="right"/>
              <w:rPr>
                <w:rFonts w:ascii="宋体" w:hAnsi="宋体" w:cs="宋体" w:eastAsia="宋体" w:hint="default"/>
                <w:sz w:val="18"/>
                <w:szCs w:val="18"/>
              </w:rPr>
            </w:pPr>
            <w:r>
              <w:rPr>
                <w:rFonts w:ascii="宋体" w:hAnsi="宋体" w:cs="宋体" w:eastAsia="宋体" w:hint="default"/>
                <w:sz w:val="18"/>
                <w:szCs w:val="18"/>
              </w:rPr>
              <w:t>建邺开发区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5"/>
              <w:jc w:val="right"/>
              <w:rPr>
                <w:rFonts w:ascii="宋体" w:hAnsi="宋体" w:cs="宋体" w:eastAsia="宋体" w:hint="default"/>
                <w:sz w:val="18"/>
                <w:szCs w:val="18"/>
              </w:rPr>
            </w:pPr>
            <w:r>
              <w:rPr>
                <w:rFonts w:ascii="宋体" w:hAnsi="宋体" w:cs="宋体" w:eastAsia="宋体" w:hint="default"/>
                <w:sz w:val="18"/>
                <w:szCs w:val="18"/>
              </w:rPr>
              <w:t>南京新城科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7"/>
              <w:jc w:val="right"/>
              <w:rPr>
                <w:rFonts w:ascii="宋体" w:hAnsi="宋体" w:cs="宋体" w:eastAsia="宋体" w:hint="default"/>
                <w:sz w:val="18"/>
                <w:szCs w:val="18"/>
              </w:rPr>
            </w:pPr>
            <w:r>
              <w:rPr>
                <w:rFonts w:ascii="宋体" w:hAnsi="宋体" w:cs="宋体" w:eastAsia="宋体" w:hint="default"/>
                <w:sz w:val="18"/>
                <w:szCs w:val="18"/>
              </w:rPr>
              <w:t>因符合地方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1,637,102.11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6"/>
        <w:gridCol w:w="1061"/>
        <w:gridCol w:w="1064"/>
        <w:gridCol w:w="1063"/>
        <w:gridCol w:w="1064"/>
        <w:gridCol w:w="1063"/>
        <w:gridCol w:w="1063"/>
        <w:gridCol w:w="1064"/>
        <w:gridCol w:w="1063"/>
      </w:tblGrid>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30"/>
              <w:jc w:val="left"/>
              <w:rPr>
                <w:rFonts w:ascii="宋体" w:hAnsi="宋体" w:cs="宋体" w:eastAsia="宋体" w:hint="default"/>
                <w:sz w:val="18"/>
                <w:szCs w:val="18"/>
              </w:rPr>
            </w:pPr>
            <w:r>
              <w:rPr>
                <w:rFonts w:ascii="宋体" w:hAnsi="宋体" w:cs="宋体" w:eastAsia="宋体" w:hint="default"/>
                <w:sz w:val="18"/>
                <w:szCs w:val="18"/>
              </w:rPr>
              <w:t>政府装修补 贴资金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技园管委会</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盐田区第一 批产业发展 资金项目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深圳市盐田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130"/>
              <w:jc w:val="both"/>
              <w:rPr>
                <w:rFonts w:ascii="宋体" w:hAnsi="宋体" w:cs="宋体" w:eastAsia="宋体" w:hint="default"/>
                <w:sz w:val="18"/>
                <w:szCs w:val="18"/>
              </w:rPr>
            </w:pPr>
            <w:r>
              <w:rPr>
                <w:rFonts w:ascii="宋体" w:hAnsi="宋体" w:cs="宋体" w:eastAsia="宋体" w:hint="default"/>
                <w:sz w:val="18"/>
                <w:szCs w:val="18"/>
              </w:rPr>
              <w:t>第十七届国 家专利奖广 东省配套奖 励金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125"/>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深圳市民营 及中小企业 改制上市培 育项目资助 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25"/>
              <w:jc w:val="left"/>
              <w:rPr>
                <w:rFonts w:ascii="宋体" w:hAnsi="宋体" w:cs="宋体" w:eastAsia="宋体" w:hint="default"/>
                <w:sz w:val="18"/>
                <w:szCs w:val="18"/>
              </w:rPr>
            </w:pPr>
            <w:r>
              <w:rPr>
                <w:rFonts w:ascii="宋体" w:hAnsi="宋体" w:cs="宋体" w:eastAsia="宋体" w:hint="default"/>
                <w:sz w:val="18"/>
                <w:szCs w:val="18"/>
              </w:rPr>
              <w:t>深圳市中小 企业服务署</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7"/>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基于生物云 计算基因组 健康</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5"/>
              <w:jc w:val="left"/>
              <w:rPr>
                <w:rFonts w:ascii="宋体" w:hAnsi="宋体" w:cs="宋体" w:eastAsia="宋体" w:hint="default"/>
                <w:sz w:val="18"/>
                <w:szCs w:val="18"/>
              </w:rPr>
            </w:pPr>
            <w:r>
              <w:rPr>
                <w:rFonts w:ascii="宋体" w:hAnsi="宋体" w:cs="宋体" w:eastAsia="宋体" w:hint="default"/>
                <w:sz w:val="18"/>
                <w:szCs w:val="18"/>
              </w:rPr>
              <w:t>武汉市财政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981,818.18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130"/>
              <w:jc w:val="left"/>
              <w:rPr>
                <w:rFonts w:ascii="宋体" w:hAnsi="宋体" w:cs="宋体" w:eastAsia="宋体" w:hint="default"/>
                <w:sz w:val="18"/>
                <w:szCs w:val="18"/>
              </w:rPr>
            </w:pPr>
            <w:r>
              <w:rPr>
                <w:rFonts w:ascii="宋体" w:hAnsi="宋体" w:cs="宋体" w:eastAsia="宋体" w:hint="default"/>
                <w:sz w:val="18"/>
                <w:szCs w:val="18"/>
              </w:rPr>
              <w:t>本溪华大政 策扶持协议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5"/>
              <w:jc w:val="both"/>
              <w:rPr>
                <w:rFonts w:ascii="宋体" w:hAnsi="宋体" w:cs="宋体" w:eastAsia="宋体" w:hint="default"/>
                <w:sz w:val="18"/>
                <w:szCs w:val="18"/>
              </w:rPr>
            </w:pPr>
            <w:r>
              <w:rPr>
                <w:rFonts w:ascii="宋体" w:hAnsi="宋体" w:cs="宋体" w:eastAsia="宋体" w:hint="default"/>
                <w:sz w:val="18"/>
                <w:szCs w:val="18"/>
              </w:rPr>
              <w:t>本溪经济技 术开发区财 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711,614.91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滨海研究院 保税区科技 发展局装修 专项补贴款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25"/>
              <w:jc w:val="left"/>
              <w:rPr>
                <w:rFonts w:ascii="宋体" w:hAnsi="宋体" w:cs="宋体" w:eastAsia="宋体" w:hint="default"/>
                <w:sz w:val="18"/>
                <w:szCs w:val="18"/>
              </w:rPr>
            </w:pPr>
            <w:r>
              <w:rPr>
                <w:rFonts w:ascii="宋体" w:hAnsi="宋体" w:cs="宋体" w:eastAsia="宋体" w:hint="default"/>
                <w:sz w:val="18"/>
                <w:szCs w:val="18"/>
              </w:rPr>
              <w:t>天津港保税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130"/>
              <w:jc w:val="left"/>
              <w:rPr>
                <w:rFonts w:ascii="宋体" w:hAnsi="宋体" w:cs="宋体" w:eastAsia="宋体" w:hint="default"/>
                <w:sz w:val="18"/>
                <w:szCs w:val="18"/>
              </w:rPr>
            </w:pPr>
            <w:r>
              <w:rPr>
                <w:rFonts w:ascii="宋体" w:hAnsi="宋体" w:cs="宋体" w:eastAsia="宋体" w:hint="default"/>
                <w:sz w:val="18"/>
                <w:szCs w:val="18"/>
              </w:rPr>
              <w:t>深圳市专利 奖奖金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5"/>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4" w:right="130"/>
              <w:jc w:val="left"/>
              <w:rPr>
                <w:rFonts w:ascii="宋体" w:hAnsi="宋体" w:cs="宋体" w:eastAsia="宋体" w:hint="default"/>
                <w:sz w:val="18"/>
                <w:szCs w:val="18"/>
              </w:rPr>
            </w:pPr>
            <w:r>
              <w:rPr>
                <w:rFonts w:ascii="Times New Roman" w:hAnsi="Times New Roman" w:cs="Times New Roman" w:eastAsia="Times New Roman" w:hint="default"/>
                <w:sz w:val="18"/>
                <w:szCs w:val="18"/>
              </w:rPr>
              <w:t>CG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测序仪 生产基地补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25"/>
              <w:jc w:val="both"/>
              <w:rPr>
                <w:rFonts w:ascii="宋体" w:hAnsi="宋体" w:cs="宋体" w:eastAsia="宋体" w:hint="default"/>
                <w:sz w:val="18"/>
                <w:szCs w:val="18"/>
              </w:rPr>
            </w:pPr>
            <w:r>
              <w:rPr>
                <w:rFonts w:ascii="宋体" w:hAnsi="宋体" w:cs="宋体" w:eastAsia="宋体" w:hint="default"/>
                <w:sz w:val="18"/>
                <w:szCs w:val="18"/>
              </w:rPr>
              <w:t>东湖新技术 开发区管理 委员会财政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6"/>
        <w:gridCol w:w="1061"/>
        <w:gridCol w:w="1064"/>
        <w:gridCol w:w="1063"/>
        <w:gridCol w:w="1064"/>
        <w:gridCol w:w="1063"/>
        <w:gridCol w:w="1063"/>
        <w:gridCol w:w="1064"/>
        <w:gridCol w:w="1063"/>
      </w:tblGrid>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2" w:lineRule="auto"/>
              <w:ind w:left="24" w:right="69"/>
              <w:jc w:val="left"/>
              <w:rPr>
                <w:rFonts w:ascii="宋体" w:hAnsi="宋体" w:cs="宋体" w:eastAsia="宋体" w:hint="default"/>
                <w:sz w:val="18"/>
                <w:szCs w:val="18"/>
              </w:rPr>
            </w:pPr>
            <w:r>
              <w:rPr>
                <w:rFonts w:ascii="宋体" w:hAnsi="宋体" w:cs="宋体" w:eastAsia="宋体" w:hint="default"/>
                <w:sz w:val="18"/>
                <w:szCs w:val="18"/>
              </w:rPr>
              <w:t>东湖高新区 生物产业</w:t>
            </w:r>
            <w:r>
              <w:rPr>
                <w:rFonts w:ascii="Times New Roman" w:hAnsi="Times New Roman" w:cs="Times New Roman" w:eastAsia="Times New Roman" w:hint="default"/>
                <w:sz w:val="18"/>
                <w:szCs w:val="18"/>
              </w:rPr>
              <w:t>-</w:t>
            </w:r>
            <w:r>
              <w:rPr>
                <w:rFonts w:ascii="宋体" w:hAnsi="宋体" w:cs="宋体" w:eastAsia="宋体" w:hint="default"/>
                <w:sz w:val="18"/>
                <w:szCs w:val="18"/>
              </w:rPr>
              <w:t>企 业研发费用 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25"/>
              <w:jc w:val="both"/>
              <w:rPr>
                <w:rFonts w:ascii="宋体" w:hAnsi="宋体" w:cs="宋体" w:eastAsia="宋体" w:hint="default"/>
                <w:sz w:val="18"/>
                <w:szCs w:val="18"/>
              </w:rPr>
            </w:pPr>
            <w:r>
              <w:rPr>
                <w:rFonts w:ascii="宋体" w:hAnsi="宋体" w:cs="宋体" w:eastAsia="宋体" w:hint="default"/>
                <w:sz w:val="18"/>
                <w:szCs w:val="18"/>
              </w:rPr>
              <w:t>东湖新技术 开发区管理 委员会财政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130"/>
              <w:jc w:val="both"/>
              <w:rPr>
                <w:rFonts w:ascii="宋体" w:hAnsi="宋体" w:cs="宋体" w:eastAsia="宋体" w:hint="default"/>
                <w:sz w:val="18"/>
                <w:szCs w:val="18"/>
              </w:rPr>
            </w:pPr>
            <w:r>
              <w:rPr>
                <w:rFonts w:ascii="宋体" w:hAnsi="宋体" w:cs="宋体" w:eastAsia="宋体" w:hint="default"/>
                <w:sz w:val="18"/>
                <w:szCs w:val="18"/>
              </w:rPr>
              <w:t>建立长垣华 大产业综合 示范区协议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3" w:right="125"/>
              <w:jc w:val="left"/>
              <w:rPr>
                <w:rFonts w:ascii="宋体" w:hAnsi="宋体" w:cs="宋体" w:eastAsia="宋体" w:hint="default"/>
                <w:sz w:val="18"/>
                <w:szCs w:val="18"/>
              </w:rPr>
            </w:pPr>
            <w:r>
              <w:rPr>
                <w:rFonts w:ascii="宋体" w:hAnsi="宋体" w:cs="宋体" w:eastAsia="宋体" w:hint="default"/>
                <w:sz w:val="18"/>
                <w:szCs w:val="18"/>
              </w:rPr>
              <w:t>长垣县财政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1,166,666.69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7" w:lineRule="auto"/>
              <w:ind w:left="24" w:right="50"/>
              <w:jc w:val="left"/>
              <w:rPr>
                <w:rFonts w:ascii="宋体" w:hAnsi="宋体" w:cs="宋体" w:eastAsia="宋体" w:hint="default"/>
                <w:sz w:val="18"/>
                <w:szCs w:val="18"/>
              </w:rPr>
            </w:pPr>
            <w:r>
              <w:rPr>
                <w:rFonts w:ascii="宋体" w:hAnsi="宋体" w:cs="宋体" w:eastAsia="宋体" w:hint="default"/>
                <w:sz w:val="18"/>
                <w:szCs w:val="18"/>
              </w:rPr>
              <w:t>太和县建立 </w:t>
            </w:r>
            <w:r>
              <w:rPr>
                <w:rFonts w:ascii="Times New Roman" w:hAnsi="Times New Roman" w:cs="Times New Roman" w:eastAsia="Times New Roman" w:hint="default"/>
                <w:sz w:val="18"/>
                <w:szCs w:val="18"/>
              </w:rPr>
              <w:t>“</w:t>
            </w:r>
            <w:r>
              <w:rPr>
                <w:rFonts w:ascii="宋体" w:hAnsi="宋体" w:cs="宋体" w:eastAsia="宋体" w:hint="default"/>
                <w:sz w:val="18"/>
                <w:szCs w:val="18"/>
              </w:rPr>
              <w:t>一院一所两 中心</w:t>
            </w:r>
            <w:r>
              <w:rPr>
                <w:rFonts w:ascii="Times New Roman" w:hAnsi="Times New Roman" w:cs="Times New Roman" w:eastAsia="Times New Roman" w:hint="default"/>
                <w:sz w:val="18"/>
                <w:szCs w:val="18"/>
              </w:rPr>
              <w:t>”</w:t>
            </w:r>
            <w:r>
              <w:rPr>
                <w:rFonts w:ascii="宋体" w:hAnsi="宋体" w:cs="宋体" w:eastAsia="宋体" w:hint="default"/>
                <w:sz w:val="18"/>
                <w:szCs w:val="18"/>
              </w:rPr>
              <w:t>实验室 装修项目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25"/>
              <w:jc w:val="left"/>
              <w:rPr>
                <w:rFonts w:ascii="宋体" w:hAnsi="宋体" w:cs="宋体" w:eastAsia="宋体" w:hint="default"/>
                <w:sz w:val="18"/>
                <w:szCs w:val="18"/>
              </w:rPr>
            </w:pPr>
            <w:r>
              <w:rPr>
                <w:rFonts w:ascii="宋体" w:hAnsi="宋体" w:cs="宋体" w:eastAsia="宋体" w:hint="default"/>
                <w:sz w:val="18"/>
                <w:szCs w:val="18"/>
              </w:rPr>
              <w:t>太和县财政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1,166,666.68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56"/>
              <w:jc w:val="left"/>
              <w:rPr>
                <w:rFonts w:ascii="宋体" w:hAnsi="宋体" w:cs="宋体" w:eastAsia="宋体" w:hint="default"/>
                <w:sz w:val="18"/>
                <w:szCs w:val="18"/>
              </w:rPr>
            </w:pPr>
            <w:r>
              <w:rPr>
                <w:rFonts w:ascii="宋体" w:hAnsi="宋体" w:cs="宋体" w:eastAsia="宋体" w:hint="default"/>
                <w:sz w:val="18"/>
                <w:szCs w:val="18"/>
              </w:rPr>
              <w:t>东湖开发区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生物产业发 展资金</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p>
            <w:pPr>
              <w:pStyle w:val="TableParagraph"/>
              <w:spacing w:line="312" w:lineRule="auto" w:before="7"/>
              <w:ind w:left="24" w:right="13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新一代测</w:t>
            </w:r>
            <w:r>
              <w:rPr>
                <w:rFonts w:ascii="宋体" w:hAnsi="宋体" w:cs="宋体" w:eastAsia="宋体" w:hint="default"/>
                <w:w w:val="99"/>
                <w:sz w:val="18"/>
                <w:szCs w:val="18"/>
              </w:rPr>
              <w:t> </w:t>
            </w:r>
            <w:r>
              <w:rPr>
                <w:rFonts w:ascii="宋体" w:hAnsi="宋体" w:cs="宋体" w:eastAsia="宋体" w:hint="default"/>
                <w:sz w:val="18"/>
                <w:szCs w:val="18"/>
              </w:rPr>
              <w:t>序、质谱技</w:t>
            </w:r>
            <w:r>
              <w:rPr>
                <w:rFonts w:ascii="宋体" w:hAnsi="宋体" w:cs="宋体" w:eastAsia="宋体" w:hint="default"/>
                <w:w w:val="99"/>
                <w:sz w:val="18"/>
                <w:szCs w:val="18"/>
              </w:rPr>
              <w:t> </w:t>
            </w:r>
            <w:r>
              <w:rPr>
                <w:rFonts w:ascii="宋体" w:hAnsi="宋体" w:cs="宋体" w:eastAsia="宋体" w:hint="default"/>
                <w:sz w:val="18"/>
                <w:szCs w:val="18"/>
              </w:rPr>
              <w:t>术临床检测</w:t>
            </w:r>
            <w:r>
              <w:rPr>
                <w:rFonts w:ascii="宋体" w:hAnsi="宋体" w:cs="宋体" w:eastAsia="宋体" w:hint="default"/>
                <w:w w:val="99"/>
                <w:sz w:val="18"/>
                <w:szCs w:val="18"/>
              </w:rPr>
              <w:t> </w:t>
            </w:r>
            <w:r>
              <w:rPr>
                <w:rFonts w:ascii="宋体" w:hAnsi="宋体" w:cs="宋体" w:eastAsia="宋体" w:hint="default"/>
                <w:sz w:val="18"/>
                <w:szCs w:val="18"/>
              </w:rPr>
              <w:t>服务平台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25"/>
              <w:jc w:val="both"/>
              <w:rPr>
                <w:rFonts w:ascii="宋体" w:hAnsi="宋体" w:cs="宋体" w:eastAsia="宋体" w:hint="default"/>
                <w:sz w:val="18"/>
                <w:szCs w:val="18"/>
              </w:rPr>
            </w:pPr>
            <w:r>
              <w:rPr>
                <w:rFonts w:ascii="宋体" w:hAnsi="宋体" w:cs="宋体" w:eastAsia="宋体" w:hint="default"/>
                <w:sz w:val="18"/>
                <w:szCs w:val="18"/>
              </w:rPr>
              <w:t>东湖新技术 开发区管理 委员会财政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272,727.27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广州市肿瘤 贯穿组学研 究重点实验 室</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5"/>
              <w:jc w:val="left"/>
              <w:rPr>
                <w:rFonts w:ascii="宋体" w:hAnsi="宋体" w:cs="宋体" w:eastAsia="宋体" w:hint="default"/>
                <w:sz w:val="18"/>
                <w:szCs w:val="18"/>
              </w:rPr>
            </w:pPr>
            <w:r>
              <w:rPr>
                <w:rFonts w:ascii="宋体" w:hAnsi="宋体" w:cs="宋体" w:eastAsia="宋体" w:hint="default"/>
                <w:sz w:val="18"/>
                <w:szCs w:val="18"/>
              </w:rPr>
              <w:t>广州市财政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129,658.71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第十六届中 国专利奖深 圳市配套奖 励奖金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125"/>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“PB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级生物</w:t>
            </w:r>
            <w:r>
              <w:rPr>
                <w:rFonts w:ascii="宋体" w:hAnsi="宋体" w:cs="宋体" w:eastAsia="宋体" w:hint="default"/>
                <w:w w:val="100"/>
                <w:sz w:val="18"/>
                <w:szCs w:val="18"/>
              </w:rPr>
              <w:t> </w:t>
            </w:r>
            <w:r>
              <w:rPr>
                <w:rFonts w:ascii="宋体" w:hAnsi="宋体" w:cs="宋体" w:eastAsia="宋体" w:hint="default"/>
                <w:sz w:val="18"/>
                <w:szCs w:val="18"/>
              </w:rPr>
              <w:t>基因数据处</w:t>
            </w:r>
            <w:r>
              <w:rPr>
                <w:rFonts w:ascii="宋体" w:hAnsi="宋体" w:cs="宋体" w:eastAsia="宋体" w:hint="default"/>
                <w:w w:val="100"/>
                <w:sz w:val="18"/>
                <w:szCs w:val="18"/>
              </w:rPr>
              <w:t> </w:t>
            </w:r>
            <w:r>
              <w:rPr>
                <w:rFonts w:ascii="宋体" w:hAnsi="宋体" w:cs="宋体" w:eastAsia="宋体" w:hint="default"/>
                <w:sz w:val="18"/>
                <w:szCs w:val="18"/>
              </w:rPr>
              <w:t>理的国民健</w:t>
            </w:r>
            <w:r>
              <w:rPr>
                <w:rFonts w:ascii="宋体" w:hAnsi="宋体" w:cs="宋体" w:eastAsia="宋体" w:hint="default"/>
                <w:w w:val="100"/>
                <w:sz w:val="18"/>
                <w:szCs w:val="18"/>
              </w:rPr>
              <w:t> </w:t>
            </w:r>
            <w:r>
              <w:rPr>
                <w:rFonts w:ascii="宋体" w:hAnsi="宋体" w:cs="宋体" w:eastAsia="宋体" w:hint="default"/>
                <w:sz w:val="18"/>
                <w:szCs w:val="18"/>
              </w:rPr>
              <w:t>康服务平台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专项拨款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5"/>
              <w:jc w:val="both"/>
              <w:rPr>
                <w:rFonts w:ascii="宋体" w:hAnsi="宋体" w:cs="宋体" w:eastAsia="宋体" w:hint="default"/>
                <w:sz w:val="18"/>
                <w:szCs w:val="18"/>
              </w:rPr>
            </w:pPr>
            <w:r>
              <w:rPr>
                <w:rFonts w:ascii="宋体" w:hAnsi="宋体" w:cs="宋体" w:eastAsia="宋体" w:hint="default"/>
                <w:sz w:val="18"/>
                <w:szCs w:val="18"/>
              </w:rPr>
              <w:t>深圳市发展 和改革委员 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141,763.80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30"/>
              <w:jc w:val="both"/>
              <w:rPr>
                <w:rFonts w:ascii="宋体" w:hAnsi="宋体" w:cs="宋体" w:eastAsia="宋体" w:hint="default"/>
                <w:sz w:val="18"/>
                <w:szCs w:val="18"/>
              </w:rPr>
            </w:pPr>
            <w:r>
              <w:rPr>
                <w:rFonts w:ascii="宋体" w:hAnsi="宋体" w:cs="宋体" w:eastAsia="宋体" w:hint="default"/>
                <w:sz w:val="18"/>
                <w:szCs w:val="18"/>
              </w:rPr>
              <w:t>贯穿组在出 生缺陷防控 及肿瘤早期 诊断与个体 化</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3" w:right="125"/>
              <w:jc w:val="left"/>
              <w:rPr>
                <w:rFonts w:ascii="宋体" w:hAnsi="宋体" w:cs="宋体" w:eastAsia="宋体" w:hint="default"/>
                <w:sz w:val="18"/>
                <w:szCs w:val="18"/>
              </w:rPr>
            </w:pPr>
            <w:r>
              <w:rPr>
                <w:rFonts w:ascii="宋体" w:hAnsi="宋体" w:cs="宋体" w:eastAsia="宋体" w:hint="default"/>
                <w:sz w:val="18"/>
                <w:szCs w:val="18"/>
              </w:rPr>
              <w:t>天津市科学 技术委员会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410,694.73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天津华大基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天津市滨海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因研究开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6"/>
        <w:gridCol w:w="1061"/>
        <w:gridCol w:w="1064"/>
        <w:gridCol w:w="1063"/>
        <w:gridCol w:w="1064"/>
        <w:gridCol w:w="1063"/>
        <w:gridCol w:w="1063"/>
        <w:gridCol w:w="1064"/>
        <w:gridCol w:w="1063"/>
      </w:tblGrid>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24" w:right="69"/>
              <w:jc w:val="left"/>
              <w:rPr>
                <w:rFonts w:ascii="宋体" w:hAnsi="宋体" w:cs="宋体" w:eastAsia="宋体" w:hint="default"/>
                <w:sz w:val="18"/>
                <w:szCs w:val="18"/>
              </w:rPr>
            </w:pPr>
            <w:r>
              <w:rPr>
                <w:rFonts w:ascii="宋体" w:hAnsi="宋体" w:cs="宋体" w:eastAsia="宋体" w:hint="default"/>
                <w:sz w:val="18"/>
                <w:szCs w:val="18"/>
              </w:rPr>
              <w:t>因科技有限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生物云 计算平台建 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新区财政局</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27"/>
              <w:jc w:val="both"/>
              <w:rPr>
                <w:rFonts w:ascii="宋体" w:hAnsi="宋体" w:cs="宋体" w:eastAsia="宋体" w:hint="default"/>
                <w:sz w:val="18"/>
                <w:szCs w:val="18"/>
              </w:rPr>
            </w:pPr>
            <w:r>
              <w:rPr>
                <w:rFonts w:ascii="宋体" w:hAnsi="宋体" w:cs="宋体" w:eastAsia="宋体" w:hint="default"/>
                <w:sz w:val="18"/>
                <w:szCs w:val="18"/>
              </w:rPr>
              <w:t>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鼓励企业购 买国际先进 研发仪器设 备项目专项 资金</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 高通量测序 技术产业化 应用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25"/>
              <w:jc w:val="left"/>
              <w:rPr>
                <w:rFonts w:ascii="宋体" w:hAnsi="宋体" w:cs="宋体" w:eastAsia="宋体" w:hint="default"/>
                <w:sz w:val="18"/>
                <w:szCs w:val="18"/>
              </w:rPr>
            </w:pPr>
            <w:r>
              <w:rPr>
                <w:rFonts w:ascii="宋体" w:hAnsi="宋体" w:cs="宋体" w:eastAsia="宋体" w:hint="default"/>
                <w:sz w:val="18"/>
                <w:szCs w:val="18"/>
              </w:rPr>
              <w:t>上海市财政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108,000.00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单基因疾病 的无创产前 基因检测补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5"/>
              <w:jc w:val="left"/>
              <w:rPr>
                <w:rFonts w:ascii="宋体" w:hAnsi="宋体" w:cs="宋体" w:eastAsia="宋体" w:hint="default"/>
                <w:sz w:val="18"/>
                <w:szCs w:val="18"/>
              </w:rPr>
            </w:pPr>
            <w:r>
              <w:rPr>
                <w:rFonts w:ascii="宋体" w:hAnsi="宋体" w:cs="宋体" w:eastAsia="宋体" w:hint="default"/>
                <w:sz w:val="18"/>
                <w:szCs w:val="18"/>
              </w:rPr>
              <w:t>广州市番禺 区政府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113,802.34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肾移植抗体 介导排斥反 应的无创诊 断与综合生 物治疗研究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25"/>
              <w:jc w:val="left"/>
              <w:rPr>
                <w:rFonts w:ascii="宋体" w:hAnsi="宋体" w:cs="宋体" w:eastAsia="宋体" w:hint="default"/>
                <w:sz w:val="18"/>
                <w:szCs w:val="18"/>
              </w:rPr>
            </w:pPr>
            <w:r>
              <w:rPr>
                <w:rFonts w:ascii="宋体" w:hAnsi="宋体" w:cs="宋体" w:eastAsia="宋体" w:hint="default"/>
                <w:sz w:val="18"/>
                <w:szCs w:val="18"/>
              </w:rPr>
              <w:t>广东省科学 技术厅</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159,747.01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胃癌化疗方 案的优化及 新靶点药物 的研究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5"/>
              <w:jc w:val="left"/>
              <w:rPr>
                <w:rFonts w:ascii="宋体" w:hAnsi="宋体" w:cs="宋体" w:eastAsia="宋体" w:hint="default"/>
                <w:sz w:val="18"/>
                <w:szCs w:val="18"/>
              </w:rPr>
            </w:pPr>
            <w:r>
              <w:rPr>
                <w:rFonts w:ascii="宋体" w:hAnsi="宋体" w:cs="宋体" w:eastAsia="宋体" w:hint="default"/>
                <w:sz w:val="18"/>
                <w:szCs w:val="18"/>
              </w:rPr>
              <w:t>广州市科技 创新委员会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368,766.39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多组学结直 肠癌早筛技 术开发和组 学大数据分 析平台建立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25"/>
              <w:jc w:val="left"/>
              <w:rPr>
                <w:rFonts w:ascii="宋体" w:hAnsi="宋体" w:cs="宋体" w:eastAsia="宋体" w:hint="default"/>
                <w:sz w:val="18"/>
                <w:szCs w:val="18"/>
              </w:rPr>
            </w:pPr>
            <w:r>
              <w:rPr>
                <w:rFonts w:ascii="宋体" w:hAnsi="宋体" w:cs="宋体" w:eastAsia="宋体" w:hint="default"/>
                <w:sz w:val="18"/>
                <w:szCs w:val="18"/>
              </w:rPr>
              <w:t>广州市科技 创新委员会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1,250,113.61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落户补贴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25"/>
              <w:jc w:val="left"/>
              <w:rPr>
                <w:rFonts w:ascii="宋体" w:hAnsi="宋体" w:cs="宋体" w:eastAsia="宋体" w:hint="default"/>
                <w:sz w:val="18"/>
                <w:szCs w:val="18"/>
              </w:rPr>
            </w:pPr>
            <w:r>
              <w:rPr>
                <w:rFonts w:ascii="宋体" w:hAnsi="宋体" w:cs="宋体" w:eastAsia="宋体" w:hint="default"/>
                <w:sz w:val="18"/>
                <w:szCs w:val="18"/>
              </w:rPr>
              <w:t>重庆市渝北 区人民政府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130"/>
              <w:jc w:val="left"/>
              <w:rPr>
                <w:rFonts w:ascii="宋体" w:hAnsi="宋体" w:cs="宋体" w:eastAsia="宋体" w:hint="default"/>
                <w:sz w:val="18"/>
                <w:szCs w:val="18"/>
              </w:rPr>
            </w:pPr>
            <w:r>
              <w:rPr>
                <w:rFonts w:ascii="宋体" w:hAnsi="宋体" w:cs="宋体" w:eastAsia="宋体" w:hint="default"/>
                <w:sz w:val="18"/>
                <w:szCs w:val="18"/>
              </w:rPr>
              <w:t>研发机构注 册补贴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重庆市科委</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生物工程和 新医药落地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5"/>
              <w:jc w:val="left"/>
              <w:rPr>
                <w:rFonts w:ascii="宋体" w:hAnsi="宋体" w:cs="宋体" w:eastAsia="宋体" w:hint="default"/>
                <w:sz w:val="18"/>
                <w:szCs w:val="18"/>
              </w:rPr>
            </w:pPr>
            <w:r>
              <w:rPr>
                <w:rFonts w:ascii="宋体" w:hAnsi="宋体" w:cs="宋体" w:eastAsia="宋体" w:hint="default"/>
                <w:sz w:val="18"/>
                <w:szCs w:val="18"/>
              </w:rPr>
              <w:t>中关村科技 园区海淀园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因符合地方 政府招商引</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6"/>
        <w:gridCol w:w="1061"/>
        <w:gridCol w:w="1064"/>
        <w:gridCol w:w="1063"/>
        <w:gridCol w:w="1064"/>
        <w:gridCol w:w="1063"/>
        <w:gridCol w:w="1063"/>
        <w:gridCol w:w="1064"/>
        <w:gridCol w:w="1063"/>
      </w:tblGrid>
      <w:tr>
        <w:trPr>
          <w:trHeight w:val="98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批件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管理委员会</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27"/>
              <w:jc w:val="both"/>
              <w:rPr>
                <w:rFonts w:ascii="宋体" w:hAnsi="宋体" w:cs="宋体" w:eastAsia="宋体" w:hint="default"/>
                <w:sz w:val="18"/>
                <w:szCs w:val="18"/>
              </w:rPr>
            </w:pPr>
            <w:r>
              <w:rPr>
                <w:rFonts w:ascii="宋体" w:hAnsi="宋体" w:cs="宋体" w:eastAsia="宋体" w:hint="default"/>
                <w:sz w:val="18"/>
                <w:szCs w:val="18"/>
              </w:rPr>
              <w:t>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0"/>
              <w:jc w:val="both"/>
              <w:rPr>
                <w:rFonts w:ascii="宋体" w:hAnsi="宋体" w:cs="宋体" w:eastAsia="宋体" w:hint="default"/>
                <w:sz w:val="18"/>
                <w:szCs w:val="18"/>
              </w:rPr>
            </w:pPr>
            <w:r>
              <w:rPr>
                <w:rFonts w:ascii="宋体" w:hAnsi="宋体" w:cs="宋体" w:eastAsia="宋体" w:hint="default"/>
                <w:sz w:val="18"/>
                <w:szCs w:val="18"/>
              </w:rPr>
              <w:t>外经贸国际 营销网络建 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5"/>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新生儿遗传 性耳耷基因 检测研发资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125"/>
              <w:jc w:val="left"/>
              <w:rPr>
                <w:rFonts w:ascii="宋体" w:hAnsi="宋体" w:cs="宋体" w:eastAsia="宋体" w:hint="default"/>
                <w:sz w:val="18"/>
                <w:szCs w:val="18"/>
              </w:rPr>
            </w:pPr>
            <w:r>
              <w:rPr>
                <w:rFonts w:ascii="宋体" w:hAnsi="宋体" w:cs="宋体" w:eastAsia="宋体" w:hint="default"/>
                <w:sz w:val="18"/>
                <w:szCs w:val="18"/>
              </w:rPr>
              <w:t>深圳市科技 创新委员会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798,000.00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0"/>
              <w:jc w:val="both"/>
              <w:rPr>
                <w:rFonts w:ascii="宋体" w:hAnsi="宋体" w:cs="宋体" w:eastAsia="宋体" w:hint="default"/>
                <w:sz w:val="18"/>
                <w:szCs w:val="18"/>
              </w:rPr>
            </w:pPr>
            <w:r>
              <w:rPr>
                <w:rFonts w:ascii="宋体" w:hAnsi="宋体" w:cs="宋体" w:eastAsia="宋体" w:hint="default"/>
                <w:sz w:val="18"/>
                <w:szCs w:val="18"/>
              </w:rPr>
              <w:t>深圳市支持 外经贸发展 专项资金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5"/>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36"/>
              <w:jc w:val="left"/>
              <w:rPr>
                <w:rFonts w:ascii="宋体" w:hAnsi="宋体" w:cs="宋体" w:eastAsia="宋体" w:hint="default"/>
                <w:sz w:val="18"/>
                <w:szCs w:val="18"/>
              </w:rPr>
            </w:pPr>
            <w:r>
              <w:rPr>
                <w:rFonts w:ascii="宋体" w:hAnsi="宋体" w:cs="宋体" w:eastAsia="宋体" w:hint="default"/>
                <w:sz w:val="18"/>
                <w:szCs w:val="18"/>
              </w:rPr>
              <w:t>深圳市科创 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 研究开发资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5"/>
              <w:jc w:val="left"/>
              <w:rPr>
                <w:rFonts w:ascii="宋体" w:hAnsi="宋体" w:cs="宋体" w:eastAsia="宋体" w:hint="default"/>
                <w:sz w:val="18"/>
                <w:szCs w:val="18"/>
              </w:rPr>
            </w:pPr>
            <w:r>
              <w:rPr>
                <w:rFonts w:ascii="宋体" w:hAnsi="宋体" w:cs="宋体" w:eastAsia="宋体" w:hint="default"/>
                <w:sz w:val="18"/>
                <w:szCs w:val="18"/>
              </w:rPr>
              <w:t>深圳市科技 创新委员会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1,438,000.00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130"/>
              <w:jc w:val="left"/>
              <w:rPr>
                <w:rFonts w:ascii="宋体" w:hAnsi="宋体" w:cs="宋体" w:eastAsia="宋体" w:hint="default"/>
                <w:sz w:val="18"/>
                <w:szCs w:val="18"/>
              </w:rPr>
            </w:pPr>
            <w:r>
              <w:rPr>
                <w:rFonts w:ascii="宋体" w:hAnsi="宋体" w:cs="宋体" w:eastAsia="宋体" w:hint="default"/>
                <w:sz w:val="18"/>
                <w:szCs w:val="18"/>
              </w:rPr>
              <w:t>财政局租房 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25"/>
              <w:jc w:val="left"/>
              <w:rPr>
                <w:rFonts w:ascii="宋体" w:hAnsi="宋体" w:cs="宋体" w:eastAsia="宋体" w:hint="default"/>
                <w:sz w:val="18"/>
                <w:szCs w:val="18"/>
              </w:rPr>
            </w:pPr>
            <w:r>
              <w:rPr>
                <w:rFonts w:ascii="宋体" w:hAnsi="宋体" w:cs="宋体" w:eastAsia="宋体" w:hint="default"/>
                <w:sz w:val="18"/>
                <w:szCs w:val="18"/>
              </w:rPr>
              <w:t>天津市财政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1,720,208.00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基于目标区 域捕获技术 的单基因病 研究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5"/>
              <w:jc w:val="both"/>
              <w:rPr>
                <w:rFonts w:ascii="宋体" w:hAnsi="宋体" w:cs="宋体" w:eastAsia="宋体" w:hint="default"/>
                <w:sz w:val="18"/>
                <w:szCs w:val="18"/>
              </w:rPr>
            </w:pPr>
            <w:r>
              <w:rPr>
                <w:rFonts w:ascii="宋体" w:hAnsi="宋体" w:cs="宋体" w:eastAsia="宋体" w:hint="default"/>
                <w:sz w:val="18"/>
                <w:szCs w:val="18"/>
              </w:rPr>
              <w:t>天津市滨海 新区科学技 术委员会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30"/>
              <w:jc w:val="both"/>
              <w:rPr>
                <w:rFonts w:ascii="宋体" w:hAnsi="宋体" w:cs="宋体" w:eastAsia="宋体" w:hint="default"/>
                <w:sz w:val="18"/>
                <w:szCs w:val="18"/>
              </w:rPr>
            </w:pPr>
            <w:r>
              <w:rPr>
                <w:rFonts w:ascii="宋体" w:hAnsi="宋体" w:cs="宋体" w:eastAsia="宋体" w:hint="default"/>
                <w:sz w:val="18"/>
                <w:szCs w:val="18"/>
              </w:rPr>
              <w:t>上海中小企 业项目发展 专项资金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25"/>
              <w:jc w:val="left"/>
              <w:rPr>
                <w:rFonts w:ascii="宋体" w:hAnsi="宋体" w:cs="宋体" w:eastAsia="宋体" w:hint="default"/>
                <w:sz w:val="18"/>
                <w:szCs w:val="18"/>
              </w:rPr>
            </w:pPr>
            <w:r>
              <w:rPr>
                <w:rFonts w:ascii="宋体" w:hAnsi="宋体" w:cs="宋体" w:eastAsia="宋体" w:hint="default"/>
                <w:sz w:val="18"/>
                <w:szCs w:val="18"/>
              </w:rPr>
              <w:t>上海市财政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0"/>
              <w:jc w:val="both"/>
              <w:rPr>
                <w:rFonts w:ascii="宋体" w:hAnsi="宋体" w:cs="宋体" w:eastAsia="宋体" w:hint="default"/>
                <w:sz w:val="18"/>
                <w:szCs w:val="18"/>
              </w:rPr>
            </w:pPr>
            <w:r>
              <w:rPr>
                <w:rFonts w:ascii="宋体" w:hAnsi="宋体" w:cs="宋体" w:eastAsia="宋体" w:hint="default"/>
                <w:sz w:val="18"/>
                <w:szCs w:val="18"/>
              </w:rPr>
              <w:t>济宁市产学 研合作开发 项目</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28,978.90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高通量快速 测序平台的</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广州市科技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99,578.29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6"/>
        <w:gridCol w:w="1061"/>
        <w:gridCol w:w="1064"/>
        <w:gridCol w:w="1063"/>
        <w:gridCol w:w="1064"/>
        <w:gridCol w:w="1063"/>
        <w:gridCol w:w="1063"/>
        <w:gridCol w:w="1064"/>
        <w:gridCol w:w="1063"/>
      </w:tblGrid>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24" w:right="55"/>
              <w:jc w:val="left"/>
              <w:rPr>
                <w:rFonts w:ascii="宋体" w:hAnsi="宋体" w:cs="宋体" w:eastAsia="宋体" w:hint="default"/>
                <w:sz w:val="18"/>
                <w:szCs w:val="18"/>
              </w:rPr>
            </w:pPr>
            <w:r>
              <w:rPr>
                <w:rFonts w:ascii="宋体" w:hAnsi="宋体" w:cs="宋体" w:eastAsia="宋体" w:hint="default"/>
                <w:sz w:val="18"/>
                <w:szCs w:val="18"/>
              </w:rPr>
              <w:t>结直肠癌血 浆游离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甲基化转化 医学研究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创新委员会</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27"/>
              <w:jc w:val="left"/>
              <w:rPr>
                <w:rFonts w:ascii="宋体" w:hAnsi="宋体" w:cs="宋体" w:eastAsia="宋体" w:hint="default"/>
                <w:sz w:val="18"/>
                <w:szCs w:val="18"/>
              </w:rPr>
            </w:pPr>
            <w:r>
              <w:rPr>
                <w:rFonts w:ascii="宋体" w:hAnsi="宋体" w:cs="宋体" w:eastAsia="宋体" w:hint="default"/>
                <w:sz w:val="18"/>
                <w:szCs w:val="18"/>
              </w:rPr>
              <w:t>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年高新 技术研发与 产业化补贴 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5"/>
              <w:jc w:val="both"/>
              <w:rPr>
                <w:rFonts w:ascii="宋体" w:hAnsi="宋体" w:cs="宋体" w:eastAsia="宋体" w:hint="default"/>
                <w:sz w:val="18"/>
                <w:szCs w:val="18"/>
              </w:rPr>
            </w:pPr>
            <w:r>
              <w:rPr>
                <w:rFonts w:ascii="宋体" w:hAnsi="宋体" w:cs="宋体" w:eastAsia="宋体" w:hint="default"/>
                <w:sz w:val="18"/>
                <w:szCs w:val="18"/>
              </w:rPr>
              <w:t>武汉东湖新 技术开发区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92,000.00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盐田财政局 创业板上市 资助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盐田财政局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0"/>
              <w:jc w:val="both"/>
              <w:rPr>
                <w:rFonts w:ascii="宋体" w:hAnsi="宋体" w:cs="宋体" w:eastAsia="宋体" w:hint="default"/>
                <w:sz w:val="18"/>
                <w:szCs w:val="18"/>
              </w:rPr>
            </w:pPr>
            <w:r>
              <w:rPr>
                <w:rFonts w:ascii="宋体" w:hAnsi="宋体" w:cs="宋体" w:eastAsia="宋体" w:hint="default"/>
                <w:sz w:val="18"/>
                <w:szCs w:val="18"/>
              </w:rPr>
              <w:t>深圳市国际 营销网络建 设资助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5"/>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4" w:right="83"/>
              <w:jc w:val="both"/>
              <w:rPr>
                <w:rFonts w:ascii="宋体" w:hAnsi="宋体" w:cs="宋体" w:eastAsia="宋体" w:hint="default"/>
                <w:sz w:val="18"/>
                <w:szCs w:val="18"/>
              </w:rPr>
            </w:pPr>
            <w:r>
              <w:rPr>
                <w:rFonts w:ascii="宋体" w:hAnsi="宋体" w:cs="宋体" w:eastAsia="宋体" w:hint="default"/>
                <w:sz w:val="18"/>
                <w:szCs w:val="18"/>
              </w:rPr>
              <w:t>深圳市质监 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年度深圳市 专利奖</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125"/>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深圳市质监 委员会第十 八届中国专 利奖配套奖 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5"/>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年知识 产权工作专 项资金（第 一批）省补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125"/>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年度深 圳标准专项 资金资助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5"/>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技术中心省 级认定奖励</w:t>
            </w:r>
          </w:p>
          <w:p>
            <w:pPr>
              <w:pStyle w:val="TableParagraph"/>
              <w:spacing w:line="319" w:lineRule="auto" w:before="19"/>
              <w:ind w:left="24" w:right="130"/>
              <w:jc w:val="both"/>
              <w:rPr>
                <w:rFonts w:ascii="宋体" w:hAnsi="宋体" w:cs="宋体" w:eastAsia="宋体" w:hint="default"/>
                <w:sz w:val="18"/>
                <w:szCs w:val="18"/>
              </w:rPr>
            </w:pPr>
            <w:r>
              <w:rPr>
                <w:rFonts w:ascii="宋体" w:hAnsi="宋体" w:cs="宋体" w:eastAsia="宋体" w:hint="default"/>
                <w:sz w:val="18"/>
                <w:szCs w:val="18"/>
              </w:rPr>
              <w:t>（生物产业 发展奖励资 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25"/>
              <w:jc w:val="both"/>
              <w:rPr>
                <w:rFonts w:ascii="宋体" w:hAnsi="宋体" w:cs="宋体" w:eastAsia="宋体" w:hint="default"/>
                <w:sz w:val="18"/>
                <w:szCs w:val="18"/>
              </w:rPr>
            </w:pPr>
            <w:r>
              <w:rPr>
                <w:rFonts w:ascii="宋体" w:hAnsi="宋体" w:cs="宋体" w:eastAsia="宋体" w:hint="default"/>
                <w:sz w:val="18"/>
                <w:szCs w:val="18"/>
              </w:rPr>
              <w:t>武汉东湖新 技术开发区 管理委员会 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6"/>
        <w:gridCol w:w="1061"/>
        <w:gridCol w:w="1064"/>
        <w:gridCol w:w="1063"/>
        <w:gridCol w:w="1064"/>
        <w:gridCol w:w="1063"/>
        <w:gridCol w:w="1063"/>
        <w:gridCol w:w="1064"/>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291,568.51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2,349,421.74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3,915,568.51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34,412,524.6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41"/>
        <w:jc w:val="left"/>
        <w:rPr>
          <w:b w:val="0"/>
          <w:bCs w:val="0"/>
        </w:rPr>
      </w:pPr>
      <w:r>
        <w:rPr>
          <w:rFonts w:ascii="Times New Roman" w:hAnsi="Times New Roman" w:cs="Times New Roman" w:eastAsia="Times New Roman" w:hint="default"/>
        </w:rPr>
        <w:t>43</w:t>
      </w:r>
      <w:r>
        <w:rPr/>
        <w:t>、营业外支出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和解费用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9,828,406.06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3,894,864.73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9,828,406.06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固定资产报废及盘亏损失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1,479,421.70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46,875.71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1,479,421.70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1,805,644.65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2,074,544.10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1,805,644.65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13,113,472.41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6,016,284.54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13,113,472.41</w:t>
            </w:r>
          </w:p>
        </w:tc>
      </w:tr>
    </w:tbl>
    <w:p>
      <w:pPr>
        <w:pStyle w:val="BodyText"/>
        <w:spacing w:line="240" w:lineRule="auto" w:before="51"/>
        <w:ind w:right="141"/>
        <w:jc w:val="left"/>
      </w:pPr>
      <w:r>
        <w:rPr/>
        <w:t>其他说明：</w:t>
      </w:r>
    </w:p>
    <w:p>
      <w:pPr>
        <w:pStyle w:val="BodyText"/>
        <w:spacing w:line="300" w:lineRule="auto" w:before="115"/>
        <w:ind w:right="177"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spacing w:val="-3"/>
        </w:rPr>
        <w:t>日，香港医学与雅士能基因科技有限公司和香港中文大学就专利诉讼签署了《和解协议》（详见招股书</w:t>
      </w:r>
      <w:r>
        <w:rPr/>
        <w:t> </w:t>
      </w:r>
      <w:r>
        <w:rPr>
          <w:spacing w:val="-10"/>
        </w:rPr>
        <w:t>披露）。根据《和解协议》，香港医学已于</w:t>
      </w:r>
      <w:r>
        <w:rPr/>
        <w:t> </w:t>
      </w:r>
      <w:r>
        <w:rPr>
          <w:rFonts w:ascii="Times New Roman" w:hAnsi="Times New Roman" w:cs="Times New Roman" w:eastAsia="Times New Roman" w:hint="default"/>
        </w:rPr>
        <w:t>2017 </w:t>
      </w:r>
      <w:r>
        <w:rPr>
          <w:spacing w:val="-1"/>
        </w:rPr>
        <w:t>年支付雅士能第一年年度的费用，</w:t>
      </w:r>
      <w:r>
        <w:rPr>
          <w:rFonts w:ascii="Times New Roman" w:hAnsi="Times New Roman" w:cs="Times New Roman" w:eastAsia="Times New Roman" w:hint="default"/>
          <w:spacing w:val="-1"/>
        </w:rPr>
        <w:t>2018</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-2021</w:t>
      </w:r>
      <w:r>
        <w:rPr>
          <w:rFonts w:ascii="Times New Roman" w:hAnsi="Times New Roman" w:cs="Times New Roman" w:eastAsia="Times New Roman" w:hint="default"/>
          <w:spacing w:val="-13"/>
        </w:rPr>
        <w:t> </w:t>
      </w:r>
      <w:r>
        <w:rPr/>
        <w:t>年预计每年支付原告方的费 用低于公司</w:t>
      </w:r>
      <w:r>
        <w:rPr>
          <w:spacing w:val="-45"/>
        </w:rPr>
        <w:t> </w:t>
      </w:r>
      <w:r>
        <w:rPr>
          <w:rFonts w:ascii="Times New Roman" w:hAnsi="Times New Roman" w:cs="Times New Roman" w:eastAsia="Times New Roman" w:hint="default"/>
        </w:rPr>
        <w:t>2017 </w:t>
      </w:r>
      <w:r>
        <w:rPr/>
        <w:t>年利润总额的</w:t>
      </w:r>
      <w:r>
        <w:rPr>
          <w:spacing w:val="-46"/>
        </w:rPr>
        <w:t> </w:t>
      </w:r>
      <w:r>
        <w:rPr>
          <w:rFonts w:ascii="Times New Roman" w:hAnsi="Times New Roman" w:cs="Times New Roman" w:eastAsia="Times New Roman" w:hint="default"/>
        </w:rPr>
        <w:t>1%</w:t>
      </w:r>
      <w:r>
        <w:rPr/>
        <w:t>。</w:t>
      </w:r>
    </w:p>
    <w:p>
      <w:pPr>
        <w:spacing w:line="240" w:lineRule="auto" w:before="2"/>
        <w:rPr>
          <w:rFonts w:ascii="宋体" w:hAnsi="宋体" w:cs="宋体" w:eastAsia="宋体" w:hint="default"/>
          <w:sz w:val="22"/>
          <w:szCs w:val="22"/>
        </w:rPr>
      </w:pPr>
    </w:p>
    <w:p>
      <w:pPr>
        <w:pStyle w:val="Heading3"/>
        <w:spacing w:line="240" w:lineRule="auto"/>
        <w:ind w:right="141"/>
        <w:jc w:val="left"/>
        <w:rPr>
          <w:b w:val="0"/>
          <w:bCs w:val="0"/>
        </w:rPr>
      </w:pPr>
      <w:r>
        <w:rPr>
          <w:rFonts w:ascii="Times New Roman" w:hAnsi="Times New Roman" w:cs="Times New Roman" w:eastAsia="Times New Roman" w:hint="default"/>
        </w:rPr>
        <w:t>44</w:t>
      </w:r>
      <w:r>
        <w:rPr/>
        <w:t>、所得税费用</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83,129,104.16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61,975,968.64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-10,681,816.89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-2,305,943.54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72,447,287.27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59,670,025.10</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79"/>
        <w:gridCol w:w="4789"/>
      </w:tblGrid>
      <w:tr>
        <w:trPr>
          <w:trHeight w:val="39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496,133,383.44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124,033,345.86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-46,177,087.77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2,036,596.34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-1,558,929.40</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4,970,690.26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可加计扣除的研发费用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-11,204,094.19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来自联营企业的收益</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346,766.17</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72,447,287.27</w:t>
            </w:r>
          </w:p>
        </w:tc>
      </w:tr>
    </w:tbl>
    <w:p>
      <w:pPr>
        <w:spacing w:line="240" w:lineRule="auto" w:before="3"/>
        <w:rPr>
          <w:rFonts w:ascii="宋体" w:hAnsi="宋体" w:cs="宋体" w:eastAsia="宋体" w:hint="default"/>
          <w:sz w:val="19"/>
          <w:szCs w:val="19"/>
        </w:rPr>
      </w:pPr>
    </w:p>
    <w:p>
      <w:pPr>
        <w:spacing w:line="544" w:lineRule="auto" w:before="36"/>
        <w:ind w:left="152" w:right="32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pacing w:val="-4"/>
          <w:sz w:val="18"/>
          <w:szCs w:val="18"/>
        </w:rPr>
        <w:t>详见附注七“合并财务报表项目注释”的“</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、其他综合收益”。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53"/>
        <w:ind w:right="141"/>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16,598,843.51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25,427,629.74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华大控股及其子公司代收业务合同款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695,400.00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2,323,731.20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989,861.00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1,275,601.87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818,812.67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20,198,176.58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27,931,703.41</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293,493,989.33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277,207,167.40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671,094.78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293,493,989.33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277,878,262.18</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与资产相关政府补助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17,089,580.00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购买设备退回款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62,433,000.00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34,685,166.67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赎回理财产品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5,631,670,303.74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4,460,306,400.00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5,711,192,883.74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4,507,591,566.67</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5,788,000,000.00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4,213,232,000.00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5,788,000,000.00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4,213,232,000.00</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发行上市费用及相关税费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14,120,020.00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14,120,020.00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47</w:t>
      </w:r>
      <w:r>
        <w:rPr/>
        <w:t>、现金流量表补充资料</w:t>
      </w:r>
      <w:r>
        <w:rPr>
          <w:b w:val="0"/>
          <w:bCs w:val="0"/>
        </w:rPr>
      </w:r>
    </w:p>
    <w:p>
      <w:pPr>
        <w:spacing w:line="240" w:lineRule="auto" w:before="7"/>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27"/>
        <w:gridCol w:w="3058"/>
        <w:gridCol w:w="3183"/>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423,686,096.17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350,017,461.42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44,841,072.81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40,750,789.69</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95,039,333.41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76,744,258.75</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17,938,501.95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17,760,140.41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22,314,781.52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17,388,523.39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1,274,044.68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1,669,772.56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8,658,545.01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-13,000,630.80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-66,342,432.57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-84,100,327.27</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52"/>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-10,377,075.46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321,094.53</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52"/>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-304,741.43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-2,882,590.70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-64,988,097.91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37,806,717.40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327"/>
        <w:gridCol w:w="3058"/>
        <w:gridCol w:w="3183"/>
      </w:tblGrid>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-278,217,247.02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-250,641,320.13</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38,529,262.93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45,574,397.75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-5,481,196.11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-3,334,662.83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226,570,847.98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234,073,624.17</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left="1463" w:right="0"/>
              <w:jc w:val="left"/>
              <w:rPr>
                <w:rFonts w:ascii="Times New Roman" w:hAnsi="Times New Roman" w:cs="Times New Roman" w:eastAsia="Times New Roman" w:hint="default"/>
                <w:sz w:val="18"/>
                <w:szCs w:val="18"/>
              </w:rPr>
            </w:pPr>
            <w:r>
              <w:rPr>
                <w:rFonts w:ascii="Times New Roman"/>
                <w:sz w:val="18"/>
              </w:rPr>
              <w:t>--</w:t>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463" w:right="0"/>
              <w:jc w:val="left"/>
              <w:rPr>
                <w:rFonts w:ascii="Times New Roman" w:hAnsi="Times New Roman" w:cs="Times New Roman" w:eastAsia="Times New Roman" w:hint="default"/>
                <w:sz w:val="18"/>
                <w:szCs w:val="18"/>
              </w:rPr>
            </w:pPr>
            <w:r>
              <w:rPr>
                <w:rFonts w:ascii="Times New Roman"/>
                <w:sz w:val="18"/>
              </w:rPr>
              <w:t>--</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946,450,202.62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748,448,424.48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748,448,424.48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516,409,888.82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198,001,778.14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232,038,535.66</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27"/>
        <w:gridCol w:w="3058"/>
        <w:gridCol w:w="3183"/>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946,450,202.62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748,448,424.48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81,921.04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w w:val="95"/>
                <w:sz w:val="18"/>
              </w:rPr>
              <w:t>93,107.11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935,471,881.54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748,355,317.37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10,896,400.04</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946,450,202.62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748,448,424.48</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48</w:t>
      </w:r>
      <w:r>
        <w:rPr/>
        <w:t>、所有者权益变动表项目注释</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394"/>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5"/>
        <w:rPr>
          <w:rFonts w:ascii="宋体" w:hAnsi="宋体" w:cs="宋体" w:eastAsia="宋体" w:hint="default"/>
          <w:sz w:val="21"/>
          <w:szCs w:val="21"/>
        </w:rPr>
      </w:pPr>
    </w:p>
    <w:p>
      <w:pPr>
        <w:pStyle w:val="Heading3"/>
        <w:spacing w:line="240" w:lineRule="auto"/>
        <w:ind w:right="141"/>
        <w:jc w:val="left"/>
        <w:rPr>
          <w:b w:val="0"/>
          <w:bCs w:val="0"/>
        </w:rPr>
      </w:pPr>
      <w:r>
        <w:rPr>
          <w:rFonts w:ascii="Times New Roman" w:hAnsi="Times New Roman" w:cs="Times New Roman" w:eastAsia="Times New Roman" w:hint="default"/>
        </w:rPr>
        <w:t>49</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27"/>
        <w:gridCol w:w="3058"/>
        <w:gridCol w:w="3183"/>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194,700.00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28,750,480.00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28,945,180.00</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1"/>
        <w:jc w:val="left"/>
      </w:pPr>
      <w:r>
        <w:rPr/>
        <w:t>其他说明：</w:t>
      </w:r>
    </w:p>
    <w:p>
      <w:pPr>
        <w:pStyle w:val="BodyText"/>
        <w:spacing w:line="240" w:lineRule="auto" w:before="115"/>
        <w:ind w:right="141"/>
        <w:jc w:val="left"/>
      </w:pPr>
      <w:r>
        <w:rPr/>
        <w:t>（</w:t>
      </w:r>
      <w:r>
        <w:rPr>
          <w:rFonts w:ascii="Times New Roman" w:hAnsi="Times New Roman" w:cs="Times New Roman" w:eastAsia="Times New Roman" w:hint="default"/>
        </w:rPr>
        <w:t>1</w:t>
      </w:r>
      <w:r>
        <w:rPr/>
        <w:t>）于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日，公司以人民币</w:t>
      </w:r>
      <w:r>
        <w:rPr>
          <w:rFonts w:ascii="Times New Roman" w:hAnsi="Times New Roman" w:cs="Times New Roman" w:eastAsia="Times New Roman" w:hint="default"/>
        </w:rPr>
        <w:t>194,700.00</w:t>
      </w:r>
      <w:r>
        <w:rPr/>
        <w:t>元作为支付履约保函的保证金。</w:t>
      </w:r>
    </w:p>
    <w:p>
      <w:pPr>
        <w:spacing w:after="0" w:line="240" w:lineRule="auto"/>
        <w:jc w:val="left"/>
        <w:sectPr>
          <w:pgSz w:w="11910" w:h="16840"/>
          <w:pgMar w:header="0" w:footer="974" w:top="1100" w:bottom="1160" w:left="980" w:right="980"/>
        </w:sectPr>
      </w:pPr>
    </w:p>
    <w:p>
      <w:pPr>
        <w:spacing w:line="240" w:lineRule="auto" w:before="0"/>
        <w:rPr>
          <w:rFonts w:ascii="宋体" w:hAnsi="宋体" w:cs="宋体" w:eastAsia="宋体" w:hint="default"/>
          <w:sz w:val="22"/>
          <w:szCs w:val="22"/>
        </w:rPr>
      </w:pPr>
    </w:p>
    <w:p>
      <w:pPr>
        <w:pStyle w:val="BodyText"/>
        <w:spacing w:line="300" w:lineRule="auto" w:before="44"/>
        <w:ind w:right="151"/>
        <w:jc w:val="both"/>
      </w:pPr>
      <w:r>
        <w:rPr/>
        <w:t>（</w:t>
      </w:r>
      <w:r>
        <w:rPr>
          <w:rFonts w:ascii="Times New Roman" w:hAnsi="Times New Roman" w:cs="Times New Roman" w:eastAsia="Times New Roman" w:hint="default"/>
        </w:rPr>
        <w:t>2</w:t>
      </w:r>
      <w:r>
        <w:rPr/>
        <w:t>）华大科技预付</w:t>
      </w:r>
      <w:r>
        <w:rPr>
          <w:rFonts w:ascii="Times New Roman" w:hAnsi="Times New Roman" w:cs="Times New Roman" w:eastAsia="Times New Roman" w:hint="default"/>
        </w:rPr>
        <w:t>Complete Genomics,</w:t>
      </w:r>
      <w:r>
        <w:rPr>
          <w:rFonts w:ascii="Times New Roman" w:hAnsi="Times New Roman" w:cs="Times New Roman" w:eastAsia="Times New Roman" w:hint="default"/>
          <w:spacing w:val="27"/>
        </w:rPr>
        <w:t> </w:t>
      </w:r>
      <w:r>
        <w:rPr>
          <w:rFonts w:ascii="Times New Roman" w:hAnsi="Times New Roman" w:cs="Times New Roman" w:eastAsia="Times New Roman" w:hint="default"/>
        </w:rPr>
        <w:t>Inc</w:t>
      </w:r>
      <w:r>
        <w:rPr/>
        <w:t>公司的设备购买款，按照国家外汇管总局（以下简称</w:t>
      </w:r>
      <w:r>
        <w:rPr>
          <w:rFonts w:ascii="Times New Roman" w:hAnsi="Times New Roman" w:cs="Times New Roman" w:eastAsia="Times New Roman" w:hint="default"/>
        </w:rPr>
        <w:t>“</w:t>
      </w:r>
      <w:r>
        <w:rPr/>
        <w:t>外汇管理局</w:t>
      </w:r>
      <w:r>
        <w:rPr>
          <w:rFonts w:ascii="Times New Roman" w:hAnsi="Times New Roman" w:cs="Times New Roman" w:eastAsia="Times New Roman" w:hint="default"/>
        </w:rPr>
        <w:t>”</w:t>
      </w:r>
      <w:r>
        <w:rPr/>
        <w:t>）规定，接受 </w:t>
      </w:r>
      <w:r>
        <w:rPr>
          <w:spacing w:val="-2"/>
        </w:rPr>
        <w:t>境外资产流入需提交相关资料至外汇管理局，由于华大科技尚未提交完整的资料至外汇管理局，于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日和</w:t>
      </w:r>
      <w:r>
        <w:rPr>
          <w:rFonts w:ascii="Times New Roman" w:hAnsi="Times New Roman" w:cs="Times New Roman" w:eastAsia="Times New Roman" w:hint="default"/>
          <w:spacing w:val="-2"/>
        </w:rPr>
        <w:t>2016</w:t>
      </w:r>
      <w:r>
        <w:rPr>
          <w:spacing w:val="-2"/>
        </w:rPr>
        <w:t>年</w:t>
      </w:r>
      <w:r>
        <w:rPr>
          <w:spacing w:val="-56"/>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日尚无法结汇至华大科技，该资金被暂时冻结。华大科技已分别于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月收到该两笔款项。</w:t>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50</w:t>
      </w:r>
      <w:r>
        <w:rPr/>
        <w:t>、外币货币性项目</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right="0"/>
        <w:jc w:val="both"/>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494"/>
        <w:gridCol w:w="2295"/>
        <w:gridCol w:w="2391"/>
        <w:gridCol w:w="2389"/>
      </w:tblGrid>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273,911,155.34</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24,768,298.77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161,841,017.82</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7,762,507.43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60,565,411.72</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20,963,996.37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17,523,804.57</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6"/>
              <w:jc w:val="center"/>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228,932,536.00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0.0578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13,232,300.58</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6"/>
              <w:jc w:val="center"/>
              <w:rPr>
                <w:rFonts w:ascii="宋体" w:hAnsi="宋体" w:cs="宋体" w:eastAsia="宋体" w:hint="default"/>
                <w:sz w:val="18"/>
                <w:szCs w:val="18"/>
              </w:rPr>
            </w:pPr>
            <w:r>
              <w:rPr>
                <w:rFonts w:ascii="宋体" w:hAnsi="宋体" w:cs="宋体" w:eastAsia="宋体" w:hint="default"/>
                <w:sz w:val="18"/>
                <w:szCs w:val="18"/>
              </w:rPr>
              <w:t>英镑</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480,572.16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4,219,039.11</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4"/>
              <w:jc w:val="right"/>
              <w:rPr>
                <w:rFonts w:ascii="宋体" w:hAnsi="宋体" w:cs="宋体" w:eastAsia="宋体" w:hint="default"/>
                <w:sz w:val="18"/>
                <w:szCs w:val="18"/>
              </w:rPr>
            </w:pPr>
            <w:r>
              <w:rPr>
                <w:rFonts w:ascii="宋体" w:hAnsi="宋体" w:cs="宋体" w:eastAsia="宋体" w:hint="default"/>
                <w:sz w:val="18"/>
                <w:szCs w:val="18"/>
              </w:rPr>
              <w:t>丹麦克朗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12,034,916.97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1.0476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12,607,779.02</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6"/>
              <w:jc w:val="center"/>
              <w:rPr>
                <w:rFonts w:ascii="宋体" w:hAnsi="宋体" w:cs="宋体" w:eastAsia="宋体" w:hint="default"/>
                <w:sz w:val="18"/>
                <w:szCs w:val="18"/>
              </w:rPr>
            </w:pPr>
            <w:r>
              <w:rPr>
                <w:rFonts w:ascii="宋体" w:hAnsi="宋体" w:cs="宋体" w:eastAsia="宋体" w:hint="default"/>
                <w:sz w:val="18"/>
                <w:szCs w:val="18"/>
              </w:rPr>
              <w:t>澳元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506,629.81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2,580,164.30</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4"/>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219,390.09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4.8831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1,071,303.75</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4"/>
              <w:jc w:val="right"/>
              <w:rPr>
                <w:rFonts w:ascii="宋体" w:hAnsi="宋体" w:cs="宋体" w:eastAsia="宋体" w:hint="default"/>
                <w:sz w:val="18"/>
                <w:szCs w:val="18"/>
              </w:rPr>
            </w:pPr>
            <w:r>
              <w:rPr>
                <w:rFonts w:ascii="宋体" w:hAnsi="宋体" w:cs="宋体" w:eastAsia="宋体" w:hint="default"/>
                <w:sz w:val="18"/>
                <w:szCs w:val="18"/>
              </w:rPr>
              <w:t>瑞士法郎</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38,231.80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6.6779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255,308.14</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163,735,366.78</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9,145,550.67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59,758,857.19</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6,945,444.64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54,190,442.71</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50,609,590.31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42,304,556.54</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6"/>
              <w:jc w:val="center"/>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40,134,698.27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0.0578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2,319,785.56</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6"/>
              <w:jc w:val="center"/>
              <w:rPr>
                <w:rFonts w:ascii="宋体" w:hAnsi="宋体" w:cs="宋体" w:eastAsia="宋体" w:hint="default"/>
                <w:sz w:val="18"/>
                <w:szCs w:val="18"/>
              </w:rPr>
            </w:pPr>
            <w:r>
              <w:rPr>
                <w:rFonts w:ascii="宋体" w:hAnsi="宋体" w:cs="宋体" w:eastAsia="宋体" w:hint="default"/>
                <w:sz w:val="18"/>
                <w:szCs w:val="18"/>
              </w:rPr>
              <w:t>英镑</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300,758.80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2,640,421.69</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4"/>
              <w:jc w:val="right"/>
              <w:rPr>
                <w:rFonts w:ascii="宋体" w:hAnsi="宋体" w:cs="宋体" w:eastAsia="宋体" w:hint="default"/>
                <w:sz w:val="18"/>
                <w:szCs w:val="18"/>
              </w:rPr>
            </w:pPr>
            <w:r>
              <w:rPr>
                <w:rFonts w:ascii="宋体" w:hAnsi="宋体" w:cs="宋体" w:eastAsia="宋体" w:hint="default"/>
                <w:sz w:val="18"/>
                <w:szCs w:val="18"/>
              </w:rPr>
              <w:t>丹麦克朗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2,101,051.88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1.0476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2,201,061.95</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6"/>
              <w:jc w:val="center"/>
              <w:rPr>
                <w:rFonts w:ascii="宋体" w:hAnsi="宋体" w:cs="宋体" w:eastAsia="宋体" w:hint="default"/>
                <w:sz w:val="18"/>
                <w:szCs w:val="18"/>
              </w:rPr>
            </w:pPr>
            <w:r>
              <w:rPr>
                <w:rFonts w:ascii="宋体" w:hAnsi="宋体" w:cs="宋体" w:eastAsia="宋体" w:hint="default"/>
                <w:sz w:val="18"/>
                <w:szCs w:val="18"/>
              </w:rPr>
              <w:t>澳元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62,881.16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320,241.17</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1,486,522.72</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12,070.24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78,869.36</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6"/>
              <w:jc w:val="center"/>
              <w:rPr>
                <w:rFonts w:ascii="宋体" w:hAnsi="宋体" w:cs="宋体" w:eastAsia="宋体" w:hint="default"/>
                <w:sz w:val="18"/>
                <w:szCs w:val="18"/>
              </w:rPr>
            </w:pPr>
            <w:r>
              <w:rPr>
                <w:rFonts w:ascii="宋体" w:hAnsi="宋体" w:cs="宋体" w:eastAsia="宋体" w:hint="default"/>
                <w:sz w:val="18"/>
                <w:szCs w:val="18"/>
              </w:rPr>
              <w:t>港元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605,128.95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505,827.29</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6"/>
              <w:jc w:val="center"/>
              <w:rPr>
                <w:rFonts w:ascii="宋体" w:hAnsi="宋体" w:cs="宋体" w:eastAsia="宋体" w:hint="default"/>
                <w:sz w:val="18"/>
                <w:szCs w:val="18"/>
              </w:rPr>
            </w:pP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1,825.11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14,240.06</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6"/>
              <w:jc w:val="center"/>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3,763,546.71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0.0578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217,533.00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6"/>
              <w:jc w:val="center"/>
              <w:rPr>
                <w:rFonts w:ascii="宋体" w:hAnsi="宋体" w:cs="宋体" w:eastAsia="宋体" w:hint="default"/>
                <w:sz w:val="18"/>
                <w:szCs w:val="18"/>
              </w:rPr>
            </w:pPr>
            <w:r>
              <w:rPr>
                <w:rFonts w:ascii="宋体" w:hAnsi="宋体" w:cs="宋体" w:eastAsia="宋体" w:hint="default"/>
                <w:sz w:val="18"/>
                <w:szCs w:val="18"/>
              </w:rPr>
              <w:t>英镑</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6,585.01</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6" w:right="0"/>
              <w:jc w:val="left"/>
              <w:rPr>
                <w:rFonts w:ascii="宋体" w:hAnsi="宋体" w:cs="宋体" w:eastAsia="宋体" w:hint="default"/>
                <w:sz w:val="18"/>
                <w:szCs w:val="18"/>
              </w:rPr>
            </w:pPr>
            <w:r>
              <w:rPr>
                <w:rFonts w:ascii="宋体" w:hAnsi="宋体" w:cs="宋体" w:eastAsia="宋体" w:hint="default"/>
                <w:sz w:val="18"/>
                <w:szCs w:val="18"/>
              </w:rPr>
              <w:t>丹麦克朗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539,392.90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1.0476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565,068.00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6"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119,751.73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0.8217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98,400.00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2494"/>
        <w:gridCol w:w="2295"/>
        <w:gridCol w:w="2391"/>
        <w:gridCol w:w="2389"/>
      </w:tblGrid>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5,403,505.69</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52,555.22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343,406.32</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8"/>
              <w:jc w:val="center"/>
              <w:rPr>
                <w:rFonts w:ascii="宋体" w:hAnsi="宋体" w:cs="宋体" w:eastAsia="宋体" w:hint="default"/>
                <w:sz w:val="18"/>
                <w:szCs w:val="18"/>
              </w:rPr>
            </w:pPr>
            <w:r>
              <w:rPr>
                <w:rFonts w:ascii="宋体" w:hAnsi="宋体" w:cs="宋体" w:eastAsia="宋体" w:hint="default"/>
                <w:sz w:val="18"/>
                <w:szCs w:val="18"/>
              </w:rPr>
              <w:t>港元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5,278,048.15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4,411,920.45</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8"/>
              <w:jc w:val="center"/>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12,088.41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0.0578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698.71</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5"/>
              <w:jc w:val="right"/>
              <w:rPr>
                <w:rFonts w:ascii="宋体" w:hAnsi="宋体" w:cs="宋体" w:eastAsia="宋体" w:hint="default"/>
                <w:sz w:val="18"/>
                <w:szCs w:val="18"/>
              </w:rPr>
            </w:pPr>
            <w:r>
              <w:rPr>
                <w:rFonts w:ascii="宋体" w:hAnsi="宋体" w:cs="宋体" w:eastAsia="宋体" w:hint="default"/>
                <w:sz w:val="18"/>
                <w:szCs w:val="18"/>
              </w:rPr>
              <w:t>丹麦克朗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618,060.53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1.0476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647,480.21</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630,819.19</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10,819.95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70,699.72</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8"/>
              <w:jc w:val="center"/>
              <w:rPr>
                <w:rFonts w:ascii="宋体" w:hAnsi="宋体" w:cs="宋体" w:eastAsia="宋体" w:hint="default"/>
                <w:sz w:val="18"/>
                <w:szCs w:val="18"/>
              </w:rPr>
            </w:pP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154,978.14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129,546.23</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8"/>
              <w:jc w:val="center"/>
              <w:rPr>
                <w:rFonts w:ascii="宋体" w:hAnsi="宋体" w:cs="宋体" w:eastAsia="宋体" w:hint="default"/>
                <w:sz w:val="18"/>
                <w:szCs w:val="18"/>
              </w:rPr>
            </w:pPr>
            <w:r>
              <w:rPr>
                <w:rFonts w:ascii="宋体" w:hAnsi="宋体" w:cs="宋体" w:eastAsia="宋体" w:hint="default"/>
                <w:sz w:val="18"/>
                <w:szCs w:val="18"/>
              </w:rPr>
              <w:t>港元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30,138.38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235,148.68</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8"/>
              <w:jc w:val="center"/>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1,231,402.42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0.0578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71,175.06</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8"/>
              <w:jc w:val="center"/>
              <w:rPr>
                <w:rFonts w:ascii="宋体" w:hAnsi="宋体" w:cs="宋体" w:eastAsia="宋体" w:hint="default"/>
                <w:sz w:val="18"/>
                <w:szCs w:val="18"/>
              </w:rPr>
            </w:pPr>
            <w:r>
              <w:rPr>
                <w:rFonts w:ascii="宋体" w:hAnsi="宋体" w:cs="宋体" w:eastAsia="宋体" w:hint="default"/>
                <w:sz w:val="18"/>
                <w:szCs w:val="18"/>
              </w:rPr>
              <w:t>英镑</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1,307.45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11,478.37</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35"/>
              <w:jc w:val="right"/>
              <w:rPr>
                <w:rFonts w:ascii="宋体" w:hAnsi="宋体" w:cs="宋体" w:eastAsia="宋体" w:hint="default"/>
                <w:sz w:val="18"/>
                <w:szCs w:val="18"/>
              </w:rPr>
            </w:pPr>
            <w:r>
              <w:rPr>
                <w:rFonts w:ascii="宋体" w:hAnsi="宋体" w:cs="宋体" w:eastAsia="宋体" w:hint="default"/>
                <w:sz w:val="18"/>
                <w:szCs w:val="18"/>
              </w:rPr>
              <w:t>丹麦克朗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107,647.13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1.0476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112,771.13</w:t>
            </w:r>
          </w:p>
        </w:tc>
      </w:tr>
    </w:tbl>
    <w:p>
      <w:pPr>
        <w:spacing w:line="240" w:lineRule="auto" w:before="7"/>
        <w:rPr>
          <w:rFonts w:ascii="宋体" w:hAnsi="宋体" w:cs="宋体" w:eastAsia="宋体" w:hint="default"/>
          <w:sz w:val="20"/>
          <w:szCs w:val="20"/>
        </w:rPr>
      </w:pPr>
    </w:p>
    <w:p>
      <w:pPr>
        <w:pStyle w:val="Heading4"/>
        <w:spacing w:line="302" w:lineRule="auto"/>
        <w:ind w:right="0"/>
        <w:jc w:val="left"/>
        <w:rPr>
          <w:b w:val="0"/>
          <w:bCs w:val="0"/>
        </w:rPr>
      </w:pPr>
      <w:r>
        <w:rPr>
          <w:w w:val="95"/>
        </w:rPr>
        <w:t>（</w:t>
      </w:r>
      <w:r>
        <w:rPr>
          <w:rFonts w:ascii="Times New Roman" w:hAnsi="Times New Roman" w:cs="Times New Roman" w:eastAsia="Times New Roman" w:hint="default"/>
          <w:w w:val="95"/>
        </w:rPr>
        <w:t>2</w:t>
      </w:r>
      <w:r>
        <w:rPr>
          <w:w w:val="95"/>
        </w:rPr>
        <w:t>）境外经营实体说明，包括对于重要的境外经营实体，应披露其境外主要经营地、记账本位币及选择依据，记账本位币</w:t>
      </w:r>
      <w:r>
        <w:rPr>
          <w:spacing w:val="14"/>
          <w:w w:val="95"/>
        </w:rPr>
        <w:t> </w:t>
      </w:r>
      <w:r>
        <w:rPr>
          <w:spacing w:val="14"/>
          <w:w w:val="95"/>
        </w:rPr>
      </w:r>
      <w:r>
        <w:rPr/>
        <w:t>发生变化的还应披露原因。</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6"/>
        <w:rPr>
          <w:rFonts w:ascii="宋体" w:hAnsi="宋体" w:cs="宋体" w:eastAsia="宋体" w:hint="default"/>
          <w:sz w:val="7"/>
          <w:szCs w:val="7"/>
        </w:rPr>
      </w:pPr>
    </w:p>
    <w:tbl>
      <w:tblPr>
        <w:tblW w:w="0" w:type="auto"/>
        <w:jc w:val="left"/>
        <w:tblInd w:w="196" w:type="dxa"/>
        <w:tblLayout w:type="fixed"/>
        <w:tblCellMar>
          <w:top w:w="0" w:type="dxa"/>
          <w:left w:w="0" w:type="dxa"/>
          <w:bottom w:w="0" w:type="dxa"/>
          <w:right w:w="0" w:type="dxa"/>
        </w:tblCellMar>
        <w:tblLook w:val="01E0"/>
      </w:tblPr>
      <w:tblGrid>
        <w:gridCol w:w="3512"/>
        <w:gridCol w:w="994"/>
        <w:gridCol w:w="1133"/>
        <w:gridCol w:w="4395"/>
      </w:tblGrid>
      <w:tr>
        <w:trPr>
          <w:trHeight w:val="773" w:hRule="exact"/>
        </w:trPr>
        <w:tc>
          <w:tcPr>
            <w:tcW w:w="35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1121" w:right="0"/>
              <w:jc w:val="left"/>
              <w:rPr>
                <w:rFonts w:ascii="宋体" w:hAnsi="宋体" w:cs="宋体" w:eastAsia="宋体" w:hint="default"/>
                <w:sz w:val="18"/>
                <w:szCs w:val="18"/>
              </w:rPr>
            </w:pPr>
            <w:r>
              <w:rPr>
                <w:rFonts w:ascii="宋体" w:hAnsi="宋体" w:cs="宋体" w:eastAsia="宋体" w:hint="default"/>
                <w:sz w:val="18"/>
                <w:szCs w:val="18"/>
              </w:rPr>
              <w:t>境外子公司名称</w:t>
            </w:r>
          </w:p>
        </w:tc>
        <w:tc>
          <w:tcPr>
            <w:tcW w:w="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60" w:lineRule="auto" w:before="56"/>
              <w:ind w:left="220" w:right="216" w:firstLine="88"/>
              <w:jc w:val="left"/>
              <w:rPr>
                <w:rFonts w:ascii="宋体" w:hAnsi="宋体" w:cs="宋体" w:eastAsia="宋体" w:hint="default"/>
                <w:sz w:val="18"/>
                <w:szCs w:val="18"/>
              </w:rPr>
            </w:pPr>
            <w:r>
              <w:rPr>
                <w:rFonts w:ascii="宋体" w:hAnsi="宋体" w:cs="宋体" w:eastAsia="宋体" w:hint="default"/>
                <w:sz w:val="18"/>
                <w:szCs w:val="18"/>
              </w:rPr>
              <w:t>注册 经营地</w:t>
            </w:r>
          </w:p>
        </w:tc>
        <w:tc>
          <w:tcPr>
            <w:tcW w:w="11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60" w:lineRule="auto" w:before="56"/>
              <w:ind w:left="287" w:right="288" w:firstLine="91"/>
              <w:jc w:val="left"/>
              <w:rPr>
                <w:rFonts w:ascii="宋体" w:hAnsi="宋体" w:cs="宋体" w:eastAsia="宋体" w:hint="default"/>
                <w:sz w:val="18"/>
                <w:szCs w:val="18"/>
              </w:rPr>
            </w:pPr>
            <w:r>
              <w:rPr>
                <w:rFonts w:ascii="宋体" w:hAnsi="宋体" w:cs="宋体" w:eastAsia="宋体" w:hint="default"/>
                <w:sz w:val="18"/>
                <w:szCs w:val="18"/>
              </w:rPr>
              <w:t>记账 本位币</w:t>
            </w:r>
          </w:p>
        </w:tc>
        <w:tc>
          <w:tcPr>
            <w:tcW w:w="43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1291" w:right="0"/>
              <w:jc w:val="left"/>
              <w:rPr>
                <w:rFonts w:ascii="宋体" w:hAnsi="宋体" w:cs="宋体" w:eastAsia="宋体" w:hint="default"/>
                <w:sz w:val="18"/>
                <w:szCs w:val="18"/>
              </w:rPr>
            </w:pPr>
            <w:r>
              <w:rPr>
                <w:rFonts w:ascii="宋体" w:hAnsi="宋体" w:cs="宋体" w:eastAsia="宋体" w:hint="default"/>
                <w:sz w:val="18"/>
                <w:szCs w:val="18"/>
              </w:rPr>
              <w:t>采用记账本位币的依据</w:t>
            </w:r>
          </w:p>
        </w:tc>
      </w:tr>
      <w:tr>
        <w:trPr>
          <w:trHeight w:val="42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BGI HEALTH (HK)</w:t>
            </w:r>
            <w:r>
              <w:rPr>
                <w:rFonts w:ascii="Times New Roman"/>
                <w:spacing w:val="-6"/>
                <w:sz w:val="18"/>
              </w:rPr>
              <w:t> </w:t>
            </w:r>
            <w:r>
              <w:rPr>
                <w:rFonts w:ascii="Times New Roman"/>
                <w:sz w:val="18"/>
              </w:rPr>
              <w:t>CO.,LTD</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香港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港元</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销售、采购、融资及其他经营活动主要采用港元计价</w:t>
            </w:r>
          </w:p>
        </w:tc>
      </w:tr>
      <w:tr>
        <w:trPr>
          <w:trHeight w:val="42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BGI Tech Solution (Europe) Cooperatief</w:t>
            </w:r>
            <w:r>
              <w:rPr>
                <w:rFonts w:ascii="Times New Roman"/>
                <w:spacing w:val="-16"/>
                <w:sz w:val="18"/>
              </w:rPr>
              <w:t> </w:t>
            </w:r>
            <w:r>
              <w:rPr>
                <w:rFonts w:ascii="Times New Roman"/>
                <w:sz w:val="18"/>
              </w:rPr>
              <w:t>U.A.</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荷兰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欧元</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销售、采购、融资及其他经营活动主要采用欧元计价</w:t>
            </w:r>
          </w:p>
        </w:tc>
      </w:tr>
      <w:tr>
        <w:trPr>
          <w:trHeight w:val="73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105"/>
              <w:ind w:left="4" w:right="35"/>
              <w:jc w:val="left"/>
              <w:rPr>
                <w:rFonts w:ascii="Times New Roman" w:hAnsi="Times New Roman" w:cs="Times New Roman" w:eastAsia="Times New Roman" w:hint="default"/>
                <w:sz w:val="18"/>
                <w:szCs w:val="18"/>
              </w:rPr>
            </w:pPr>
            <w:r>
              <w:rPr>
                <w:rFonts w:ascii="Times New Roman"/>
                <w:sz w:val="18"/>
              </w:rPr>
              <w:t>BGI TECH SOLUTIONS (HONGKONG)</w:t>
            </w:r>
            <w:r>
              <w:rPr>
                <w:rFonts w:ascii="Times New Roman"/>
                <w:spacing w:val="-11"/>
                <w:sz w:val="18"/>
              </w:rPr>
              <w:t> </w:t>
            </w:r>
            <w:r>
              <w:rPr>
                <w:rFonts w:ascii="Times New Roman"/>
                <w:sz w:val="18"/>
              </w:rPr>
              <w:t>CO.,</w:t>
            </w:r>
            <w:r>
              <w:rPr>
                <w:rFonts w:ascii="Times New Roman"/>
                <w:w w:val="99"/>
                <w:sz w:val="18"/>
              </w:rPr>
              <w:t> </w:t>
            </w:r>
            <w:r>
              <w:rPr>
                <w:rFonts w:ascii="Times New Roman"/>
                <w:sz w:val="18"/>
              </w:rPr>
              <w:t>LIMITED</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香港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港元</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销售、采购、融资及其他经营活动主要采用港元计价</w:t>
            </w:r>
          </w:p>
        </w:tc>
      </w:tr>
      <w:tr>
        <w:trPr>
          <w:trHeight w:val="42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BGI Tech Holding (HongKong) Co.,</w:t>
            </w:r>
            <w:r>
              <w:rPr>
                <w:rFonts w:ascii="Times New Roman"/>
                <w:spacing w:val="-16"/>
                <w:sz w:val="18"/>
              </w:rPr>
              <w:t> </w:t>
            </w:r>
            <w:r>
              <w:rPr>
                <w:rFonts w:ascii="Times New Roman"/>
                <w:sz w:val="18"/>
              </w:rPr>
              <w:t>Limited</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香港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港元</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销售、采购、融资及其他经营活动主要采用港元计价</w:t>
            </w:r>
          </w:p>
        </w:tc>
      </w:tr>
      <w:tr>
        <w:trPr>
          <w:trHeight w:val="42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BGI Tech Solutions (Europe)</w:t>
            </w:r>
            <w:r>
              <w:rPr>
                <w:rFonts w:ascii="Times New Roman"/>
                <w:spacing w:val="-6"/>
                <w:sz w:val="18"/>
              </w:rPr>
              <w:t> </w:t>
            </w:r>
            <w:r>
              <w:rPr>
                <w:rFonts w:ascii="Times New Roman"/>
                <w:sz w:val="18"/>
              </w:rPr>
              <w:t>B.V.</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荷兰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欧元</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销售、采购、融资及其他经营活动主要采用欧元计价</w:t>
            </w:r>
          </w:p>
        </w:tc>
      </w:tr>
      <w:tr>
        <w:trPr>
          <w:trHeight w:val="42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BGI Health (SG) Company Pte.</w:t>
            </w:r>
            <w:r>
              <w:rPr>
                <w:rFonts w:ascii="Times New Roman"/>
                <w:spacing w:val="-10"/>
                <w:sz w:val="18"/>
              </w:rPr>
              <w:t> </w:t>
            </w:r>
            <w:r>
              <w:rPr>
                <w:rFonts w:ascii="Times New Roman"/>
                <w:sz w:val="18"/>
              </w:rPr>
              <w:t>Ltd.</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新加坡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美元</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销售、采购、融资及其他经营活动主要采用美元计价</w:t>
            </w:r>
          </w:p>
        </w:tc>
      </w:tr>
      <w:tr>
        <w:trPr>
          <w:trHeight w:val="73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3"/>
              <w:ind w:left="4" w:right="47"/>
              <w:jc w:val="left"/>
              <w:rPr>
                <w:rFonts w:ascii="Times New Roman" w:hAnsi="Times New Roman" w:cs="Times New Roman" w:eastAsia="Times New Roman" w:hint="default"/>
                <w:sz w:val="18"/>
                <w:szCs w:val="18"/>
              </w:rPr>
            </w:pPr>
            <w:r>
              <w:rPr>
                <w:rFonts w:ascii="Times New Roman"/>
                <w:sz w:val="18"/>
              </w:rPr>
              <w:t>China Hong Kong International Medical</w:t>
            </w:r>
            <w:r>
              <w:rPr>
                <w:rFonts w:ascii="Times New Roman"/>
                <w:spacing w:val="-10"/>
                <w:sz w:val="18"/>
              </w:rPr>
              <w:t> </w:t>
            </w:r>
            <w:r>
              <w:rPr>
                <w:rFonts w:ascii="Times New Roman"/>
                <w:sz w:val="18"/>
              </w:rPr>
              <w:t>Centre</w:t>
            </w:r>
            <w:r>
              <w:rPr>
                <w:rFonts w:ascii="Times New Roman"/>
                <w:sz w:val="18"/>
              </w:rPr>
              <w:t> Co.,</w:t>
            </w:r>
            <w:r>
              <w:rPr>
                <w:rFonts w:ascii="Times New Roman"/>
                <w:spacing w:val="-6"/>
                <w:sz w:val="18"/>
              </w:rPr>
              <w:t> </w:t>
            </w:r>
            <w:r>
              <w:rPr>
                <w:rFonts w:ascii="Times New Roman"/>
                <w:sz w:val="18"/>
              </w:rPr>
              <w:t>Limited</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香港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港元</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销售、采购、融资及其他经营活动主要采用港元计价</w:t>
            </w:r>
          </w:p>
        </w:tc>
      </w:tr>
      <w:tr>
        <w:trPr>
          <w:trHeight w:val="73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BGI Europe</w:t>
            </w:r>
            <w:r>
              <w:rPr>
                <w:rFonts w:ascii="Times New Roman"/>
                <w:spacing w:val="-5"/>
                <w:sz w:val="18"/>
              </w:rPr>
              <w:t> </w:t>
            </w:r>
            <w:r>
              <w:rPr>
                <w:rFonts w:ascii="Times New Roman"/>
                <w:sz w:val="18"/>
              </w:rPr>
              <w:t>A/S</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丹麦</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丹麦克朗</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销售、采购、融资及其他经营活动主要采用丹麦克朗计</w:t>
            </w:r>
          </w:p>
          <w:p>
            <w:pPr>
              <w:pStyle w:val="TableParagraph"/>
              <w:spacing w:line="240" w:lineRule="auto" w:before="76"/>
              <w:ind w:right="-1"/>
              <w:jc w:val="right"/>
              <w:rPr>
                <w:rFonts w:ascii="宋体" w:hAnsi="宋体" w:cs="宋体" w:eastAsia="宋体" w:hint="default"/>
                <w:sz w:val="18"/>
                <w:szCs w:val="18"/>
              </w:rPr>
            </w:pPr>
            <w:r>
              <w:rPr>
                <w:rFonts w:ascii="宋体" w:hAnsi="宋体" w:cs="宋体" w:eastAsia="宋体" w:hint="default"/>
                <w:sz w:val="18"/>
                <w:szCs w:val="18"/>
              </w:rPr>
              <w:t>价</w:t>
            </w:r>
          </w:p>
        </w:tc>
      </w:tr>
      <w:tr>
        <w:trPr>
          <w:trHeight w:val="42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BGI JAPAN</w:t>
            </w:r>
            <w:r>
              <w:rPr>
                <w:rFonts w:ascii="Times New Roman"/>
                <w:spacing w:val="-5"/>
                <w:sz w:val="18"/>
              </w:rPr>
              <w:t> </w:t>
            </w:r>
            <w:r>
              <w:rPr>
                <w:rFonts w:ascii="Times New Roman"/>
                <w:sz w:val="18"/>
              </w:rPr>
              <w:t>KABUSHIKIKAISYA</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日本</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日元</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销售、采购、融资及其他经营活动主要采用日元计价</w:t>
            </w:r>
          </w:p>
        </w:tc>
      </w:tr>
      <w:tr>
        <w:trPr>
          <w:trHeight w:val="427" w:hRule="exact"/>
        </w:trPr>
        <w:tc>
          <w:tcPr>
            <w:tcW w:w="35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BGI Americas</w:t>
            </w:r>
            <w:r>
              <w:rPr>
                <w:rFonts w:ascii="Times New Roman"/>
                <w:spacing w:val="-3"/>
                <w:sz w:val="18"/>
              </w:rPr>
              <w:t> </w:t>
            </w:r>
            <w:r>
              <w:rPr>
                <w:rFonts w:ascii="Times New Roman"/>
                <w:sz w:val="18"/>
              </w:rPr>
              <w:t>Corporation</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美国</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美元</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销售、采购、融资及其他经营活动主要采用美元计价</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51</w:t>
      </w:r>
      <w:r>
        <w:rPr/>
        <w:t>、套期</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4074"/>
        <w:jc w:val="left"/>
      </w:pPr>
      <w:r>
        <w:rPr/>
        <w:t>按照套期类别披露套期项目及相关套期工具、被套期风险的定性和定量信息： 无</w:t>
      </w:r>
    </w:p>
    <w:p>
      <w:pPr>
        <w:spacing w:after="0" w:line="360" w:lineRule="auto"/>
        <w:jc w:val="left"/>
        <w:sectPr>
          <w:pgSz w:w="11910" w:h="16840"/>
          <w:pgMar w:header="0" w:footer="974" w:top="1100" w:bottom="1160" w:left="980" w:right="560"/>
        </w:sectPr>
      </w:pPr>
    </w:p>
    <w:p>
      <w:pPr>
        <w:spacing w:line="240" w:lineRule="auto" w:before="12"/>
        <w:rPr>
          <w:rFonts w:ascii="宋体" w:hAnsi="宋体" w:cs="宋体" w:eastAsia="宋体" w:hint="default"/>
          <w:sz w:val="20"/>
          <w:szCs w:val="20"/>
        </w:rPr>
      </w:pPr>
    </w:p>
    <w:p>
      <w:pPr>
        <w:pStyle w:val="Heading3"/>
        <w:spacing w:line="240" w:lineRule="auto" w:before="36"/>
        <w:ind w:right="141"/>
        <w:jc w:val="left"/>
        <w:rPr>
          <w:b w:val="0"/>
          <w:bCs w:val="0"/>
        </w:rPr>
      </w:pPr>
      <w:r>
        <w:rPr>
          <w:rFonts w:ascii="Times New Roman" w:hAnsi="Times New Roman" w:cs="Times New Roman" w:eastAsia="Times New Roman" w:hint="default"/>
        </w:rPr>
        <w:t>52</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t>无</w:t>
      </w:r>
    </w:p>
    <w:p>
      <w:pPr>
        <w:spacing w:line="240" w:lineRule="auto" w:before="3"/>
        <w:rPr>
          <w:rFonts w:ascii="宋体" w:hAnsi="宋体" w:cs="宋体" w:eastAsia="宋体" w:hint="default"/>
          <w:sz w:val="25"/>
          <w:szCs w:val="25"/>
        </w:rPr>
      </w:pPr>
    </w:p>
    <w:p>
      <w:pPr>
        <w:pStyle w:val="Heading2"/>
        <w:spacing w:line="240" w:lineRule="auto"/>
        <w:ind w:right="141"/>
        <w:jc w:val="left"/>
        <w:rPr>
          <w:b w:val="0"/>
          <w:bCs w:val="0"/>
        </w:rPr>
      </w:pPr>
      <w:r>
        <w:rPr/>
        <w:t>八、合并范围的变更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2934"/>
        <w:jc w:val="left"/>
      </w:pPr>
      <w:r>
        <w:rPr/>
        <w:t>说明其他原因导致的合并范围变动（如，新设子公司、清算子公司等）及其相关情况： 无</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3"/>
        <w:spacing w:line="240" w:lineRule="auto"/>
        <w:ind w:right="141"/>
        <w:jc w:val="left"/>
        <w:rPr>
          <w:b w:val="0"/>
          <w:bCs w:val="0"/>
        </w:rPr>
      </w:pPr>
      <w:r>
        <w:rPr>
          <w:rFonts w:ascii="Times New Roman" w:hAnsi="Times New Roman" w:cs="Times New Roman" w:eastAsia="Times New Roman" w:hint="default"/>
        </w:rPr>
        <w:t>2</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t>无</w:t>
      </w:r>
    </w:p>
    <w:p>
      <w:pPr>
        <w:spacing w:line="240" w:lineRule="auto" w:before="3"/>
        <w:rPr>
          <w:rFonts w:ascii="宋体" w:hAnsi="宋体" w:cs="宋体" w:eastAsia="宋体" w:hint="default"/>
          <w:sz w:val="25"/>
          <w:szCs w:val="25"/>
        </w:rPr>
      </w:pPr>
    </w:p>
    <w:p>
      <w:pPr>
        <w:pStyle w:val="Heading2"/>
        <w:spacing w:line="240" w:lineRule="auto"/>
        <w:ind w:right="141"/>
        <w:jc w:val="left"/>
        <w:rPr>
          <w:b w:val="0"/>
          <w:bCs w:val="0"/>
        </w:rPr>
      </w:pPr>
      <w:r>
        <w:rPr/>
        <w:t>九、在其他主体中的权益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1"/>
        <w:rPr>
          <w:rFonts w:ascii="宋体" w:hAnsi="宋体" w:cs="宋体" w:eastAsia="宋体" w:hint="default"/>
          <w:b/>
          <w:bCs/>
          <w:sz w:val="26"/>
          <w:szCs w:val="26"/>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24" w:right="238"/>
              <w:jc w:val="left"/>
              <w:rPr>
                <w:rFonts w:ascii="Times New Roman" w:hAnsi="Times New Roman" w:cs="Times New Roman" w:eastAsia="Times New Roman" w:hint="default"/>
                <w:sz w:val="18"/>
                <w:szCs w:val="18"/>
              </w:rPr>
            </w:pPr>
            <w:r>
              <w:rPr>
                <w:rFonts w:ascii="Times New Roman"/>
                <w:sz w:val="18"/>
              </w:rPr>
              <w:t>BGI</w:t>
            </w:r>
            <w:r>
              <w:rPr>
                <w:rFonts w:ascii="Times New Roman"/>
                <w:spacing w:val="-1"/>
                <w:sz w:val="18"/>
              </w:rPr>
              <w:t> </w:t>
            </w:r>
            <w:r>
              <w:rPr>
                <w:rFonts w:ascii="Times New Roman"/>
                <w:spacing w:val="-3"/>
                <w:sz w:val="18"/>
              </w:rPr>
              <w:t>HEALTH</w:t>
            </w:r>
            <w:r>
              <w:rPr>
                <w:rFonts w:ascii="Times New Roman"/>
                <w:w w:val="99"/>
                <w:sz w:val="18"/>
              </w:rPr>
              <w:t> </w:t>
            </w:r>
            <w:r>
              <w:rPr>
                <w:rFonts w:ascii="Times New Roman"/>
                <w:sz w:val="18"/>
              </w:rPr>
              <w:t>(HK) </w:t>
            </w:r>
            <w:r>
              <w:rPr>
                <w:rFonts w:ascii="Times New Roman"/>
                <w:spacing w:val="-3"/>
                <w:sz w:val="18"/>
              </w:rPr>
              <w:t>CO.,LTD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北京华大优康科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75"/>
              <w:jc w:val="left"/>
              <w:rPr>
                <w:rFonts w:ascii="宋体" w:hAnsi="宋体" w:cs="宋体" w:eastAsia="宋体" w:hint="default"/>
                <w:sz w:val="18"/>
                <w:szCs w:val="18"/>
              </w:rPr>
            </w:pPr>
            <w:r>
              <w:rPr>
                <w:rFonts w:ascii="宋体" w:hAnsi="宋体" w:cs="宋体" w:eastAsia="宋体" w:hint="default"/>
                <w:sz w:val="18"/>
                <w:szCs w:val="18"/>
              </w:rPr>
              <w:t>本溪华大医学检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本溪</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广州华大基因医 学检验所有限公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南京华大基因科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潍坊华大基因健 康科技有限公司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武汉华大医学检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云南华大基因医 学有限公司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90.00%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武汉华大基因生 物医学工程有限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40"/>
              <w:jc w:val="left"/>
              <w:rPr>
                <w:rFonts w:ascii="Times New Roman" w:hAnsi="Times New Roman" w:cs="Times New Roman" w:eastAsia="Times New Roman" w:hint="default"/>
                <w:sz w:val="18"/>
                <w:szCs w:val="18"/>
              </w:rPr>
            </w:pPr>
            <w:r>
              <w:rPr>
                <w:rFonts w:ascii="Times New Roman"/>
                <w:sz w:val="18"/>
              </w:rPr>
              <w:t>BGI</w:t>
            </w:r>
            <w:r>
              <w:rPr>
                <w:rFonts w:ascii="Times New Roman"/>
                <w:spacing w:val="-3"/>
                <w:sz w:val="18"/>
              </w:rPr>
              <w:t> </w:t>
            </w:r>
            <w:r>
              <w:rPr>
                <w:rFonts w:ascii="Times New Roman"/>
                <w:spacing w:val="-4"/>
                <w:sz w:val="18"/>
              </w:rPr>
              <w:t>Tech</w:t>
            </w:r>
            <w:r>
              <w:rPr>
                <w:rFonts w:ascii="Times New Roman"/>
                <w:sz w:val="18"/>
              </w:rPr>
              <w:t> Solution</w:t>
            </w:r>
            <w:r>
              <w:rPr>
                <w:rFonts w:ascii="Times New Roman"/>
                <w:spacing w:val="-3"/>
                <w:sz w:val="18"/>
              </w:rPr>
              <w:t> </w:t>
            </w:r>
            <w:r>
              <w:rPr>
                <w:rFonts w:ascii="Times New Roman"/>
                <w:sz w:val="18"/>
              </w:rPr>
              <w:t>(Europe)</w:t>
            </w:r>
            <w:r>
              <w:rPr>
                <w:rFonts w:ascii="Times New Roman"/>
                <w:w w:val="99"/>
                <w:sz w:val="18"/>
              </w:rPr>
              <w:t> </w:t>
            </w:r>
            <w:r>
              <w:rPr>
                <w:rFonts w:ascii="Times New Roman"/>
                <w:sz w:val="18"/>
              </w:rPr>
              <w:t>Cooperatief</w:t>
            </w:r>
            <w:r>
              <w:rPr>
                <w:rFonts w:ascii="Times New Roman"/>
                <w:spacing w:val="-6"/>
                <w:sz w:val="18"/>
              </w:rPr>
              <w:t> </w:t>
            </w:r>
            <w:r>
              <w:rPr>
                <w:rFonts w:ascii="Times New Roman"/>
                <w:sz w:val="18"/>
              </w:rPr>
              <w:t>U.A.</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上海华大医学检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南京华大医学检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24" w:right="348"/>
              <w:jc w:val="left"/>
              <w:rPr>
                <w:rFonts w:ascii="Times New Roman" w:hAnsi="Times New Roman" w:cs="Times New Roman" w:eastAsia="Times New Roman" w:hint="default"/>
                <w:sz w:val="18"/>
                <w:szCs w:val="18"/>
              </w:rPr>
            </w:pPr>
            <w:r>
              <w:rPr>
                <w:rFonts w:ascii="Times New Roman"/>
                <w:sz w:val="18"/>
              </w:rPr>
              <w:t>BGI</w:t>
            </w:r>
            <w:r>
              <w:rPr>
                <w:rFonts w:ascii="Times New Roman"/>
                <w:spacing w:val="-3"/>
                <w:sz w:val="18"/>
              </w:rPr>
              <w:t> </w:t>
            </w:r>
            <w:r>
              <w:rPr>
                <w:rFonts w:ascii="Times New Roman"/>
                <w:spacing w:val="-4"/>
                <w:sz w:val="18"/>
              </w:rPr>
              <w:t>Tech</w:t>
            </w:r>
            <w:r>
              <w:rPr>
                <w:rFonts w:ascii="Times New Roman"/>
                <w:sz w:val="18"/>
              </w:rPr>
              <w:t> Solutions</w:t>
            </w:r>
            <w:r>
              <w:rPr>
                <w:rFonts w:ascii="Times New Roman"/>
                <w:spacing w:val="-1"/>
                <w:sz w:val="18"/>
              </w:rPr>
              <w:t> </w:t>
            </w:r>
            <w:r>
              <w:rPr>
                <w:rFonts w:ascii="Times New Roman"/>
                <w:sz w:val="18"/>
              </w:rPr>
              <w:t>HK</w:t>
            </w:r>
            <w:r>
              <w:rPr>
                <w:rFonts w:ascii="Times New Roman"/>
                <w:w w:val="99"/>
                <w:sz w:val="18"/>
              </w:rPr>
              <w:t> </w:t>
            </w:r>
            <w:r>
              <w:rPr>
                <w:rFonts w:ascii="Times New Roman"/>
                <w:sz w:val="18"/>
              </w:rPr>
              <w:t>Co.,</w:t>
            </w:r>
            <w:r>
              <w:rPr>
                <w:rFonts w:ascii="Times New Roman"/>
                <w:spacing w:val="-1"/>
                <w:sz w:val="18"/>
              </w:rPr>
              <w:t> </w:t>
            </w:r>
            <w:r>
              <w:rPr>
                <w:rFonts w:ascii="Times New Roman"/>
                <w:sz w:val="18"/>
              </w:rPr>
              <w:t>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320"/>
              <w:jc w:val="left"/>
              <w:rPr>
                <w:rFonts w:ascii="Times New Roman" w:hAnsi="Times New Roman" w:cs="Times New Roman" w:eastAsia="Times New Roman" w:hint="default"/>
                <w:sz w:val="18"/>
                <w:szCs w:val="18"/>
              </w:rPr>
            </w:pPr>
            <w:r>
              <w:rPr>
                <w:rFonts w:ascii="Times New Roman"/>
                <w:sz w:val="18"/>
              </w:rPr>
              <w:t>BGI</w:t>
            </w:r>
            <w:r>
              <w:rPr>
                <w:rFonts w:ascii="Times New Roman"/>
                <w:spacing w:val="-3"/>
                <w:sz w:val="18"/>
              </w:rPr>
              <w:t> </w:t>
            </w:r>
            <w:r>
              <w:rPr>
                <w:rFonts w:ascii="Times New Roman"/>
                <w:sz w:val="18"/>
              </w:rPr>
              <w:t>Holdings</w:t>
            </w:r>
            <w:r>
              <w:rPr>
                <w:rFonts w:ascii="Times New Roman"/>
                <w:w w:val="99"/>
                <w:sz w:val="18"/>
              </w:rPr>
              <w:t> </w:t>
            </w:r>
            <w:r>
              <w:rPr>
                <w:rFonts w:ascii="Times New Roman"/>
                <w:sz w:val="18"/>
              </w:rPr>
              <w:t>HK Co.,</w:t>
            </w:r>
            <w:r>
              <w:rPr>
                <w:rFonts w:ascii="Times New Roman"/>
                <w:spacing w:val="-2"/>
                <w:sz w:val="18"/>
              </w:rPr>
              <w:t> </w:t>
            </w:r>
            <w:r>
              <w:rPr>
                <w:rFonts w:ascii="Times New Roman"/>
                <w:sz w:val="18"/>
              </w:rPr>
              <w:t>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24" w:right="333"/>
              <w:jc w:val="left"/>
              <w:rPr>
                <w:rFonts w:ascii="Times New Roman" w:hAnsi="Times New Roman" w:cs="Times New Roman" w:eastAsia="Times New Roman" w:hint="default"/>
                <w:sz w:val="18"/>
                <w:szCs w:val="18"/>
              </w:rPr>
            </w:pPr>
            <w:r>
              <w:rPr>
                <w:rFonts w:ascii="Times New Roman"/>
                <w:sz w:val="18"/>
              </w:rPr>
              <w:t>BGI</w:t>
            </w:r>
            <w:r>
              <w:rPr>
                <w:rFonts w:ascii="Times New Roman"/>
                <w:spacing w:val="-3"/>
                <w:sz w:val="18"/>
              </w:rPr>
              <w:t> </w:t>
            </w:r>
            <w:r>
              <w:rPr>
                <w:rFonts w:ascii="Times New Roman"/>
                <w:spacing w:val="-4"/>
                <w:sz w:val="18"/>
              </w:rPr>
              <w:t>Tech</w:t>
            </w:r>
            <w:r>
              <w:rPr>
                <w:rFonts w:ascii="Times New Roman"/>
                <w:sz w:val="18"/>
              </w:rPr>
              <w:t> Solutions</w:t>
            </w:r>
            <w:r>
              <w:rPr>
                <w:rFonts w:ascii="Times New Roman"/>
                <w:w w:val="99"/>
                <w:sz w:val="18"/>
              </w:rPr>
              <w:t> </w:t>
            </w:r>
            <w:r>
              <w:rPr>
                <w:rFonts w:ascii="Times New Roman"/>
                <w:sz w:val="18"/>
              </w:rPr>
              <w:t>(Europe)</w:t>
            </w:r>
            <w:r>
              <w:rPr>
                <w:rFonts w:ascii="Times New Roman"/>
                <w:spacing w:val="2"/>
                <w:sz w:val="18"/>
              </w:rPr>
              <w:t> </w:t>
            </w:r>
            <w:r>
              <w:rPr>
                <w:rFonts w:ascii="Times New Roman"/>
                <w:spacing w:val="-7"/>
                <w:sz w:val="18"/>
              </w:rPr>
              <w:t>B.V.</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107"/>
              <w:jc w:val="left"/>
              <w:rPr>
                <w:rFonts w:ascii="Times New Roman" w:hAnsi="Times New Roman" w:cs="Times New Roman" w:eastAsia="Times New Roman" w:hint="default"/>
                <w:sz w:val="18"/>
                <w:szCs w:val="18"/>
              </w:rPr>
            </w:pPr>
            <w:r>
              <w:rPr>
                <w:rFonts w:ascii="Times New Roman"/>
                <w:sz w:val="18"/>
              </w:rPr>
              <w:t>BGI Health</w:t>
            </w:r>
            <w:r>
              <w:rPr>
                <w:rFonts w:ascii="Times New Roman"/>
                <w:spacing w:val="-5"/>
                <w:sz w:val="18"/>
              </w:rPr>
              <w:t> </w:t>
            </w:r>
            <w:r>
              <w:rPr>
                <w:rFonts w:ascii="Times New Roman"/>
                <w:sz w:val="18"/>
              </w:rPr>
              <w:t>(SG)</w:t>
            </w:r>
            <w:r>
              <w:rPr>
                <w:rFonts w:ascii="Times New Roman"/>
                <w:w w:val="99"/>
                <w:sz w:val="18"/>
              </w:rPr>
              <w:t> </w:t>
            </w:r>
            <w:r>
              <w:rPr>
                <w:rFonts w:ascii="Times New Roman"/>
                <w:sz w:val="18"/>
              </w:rPr>
              <w:t>Company</w:t>
            </w:r>
            <w:r>
              <w:rPr>
                <w:rFonts w:ascii="Times New Roman"/>
                <w:spacing w:val="-3"/>
                <w:sz w:val="18"/>
              </w:rPr>
              <w:t> </w:t>
            </w:r>
            <w:r>
              <w:rPr>
                <w:rFonts w:ascii="Times New Roman"/>
                <w:sz w:val="18"/>
              </w:rPr>
              <w:t>Pte.</w:t>
            </w:r>
          </w:p>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sz w:val="18"/>
              </w:rPr>
              <w:t>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天津华大医学检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济宁华大基因医 学研究有限公司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成都华大创新医 学检验所有限公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长垣华大医学检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云南华大昆华医 学检验所有限公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219"/>
              <w:jc w:val="left"/>
              <w:rPr>
                <w:rFonts w:ascii="Times New Roman" w:hAnsi="Times New Roman" w:cs="Times New Roman" w:eastAsia="Times New Roman" w:hint="default"/>
                <w:sz w:val="18"/>
                <w:szCs w:val="18"/>
              </w:rPr>
            </w:pPr>
            <w:r>
              <w:rPr>
                <w:rFonts w:ascii="Times New Roman"/>
                <w:sz w:val="18"/>
              </w:rPr>
              <w:t>China</w:t>
            </w:r>
            <w:r>
              <w:rPr>
                <w:rFonts w:ascii="Times New Roman"/>
                <w:spacing w:val="-1"/>
                <w:sz w:val="18"/>
              </w:rPr>
              <w:t> </w:t>
            </w:r>
            <w:r>
              <w:rPr>
                <w:rFonts w:ascii="Times New Roman"/>
                <w:sz w:val="18"/>
              </w:rPr>
              <w:t>Hong</w:t>
            </w:r>
            <w:r>
              <w:rPr>
                <w:rFonts w:ascii="Times New Roman"/>
                <w:sz w:val="18"/>
              </w:rPr>
              <w:t> Kong International</w:t>
            </w:r>
            <w:r>
              <w:rPr>
                <w:rFonts w:ascii="Times New Roman"/>
                <w:w w:val="100"/>
                <w:sz w:val="18"/>
              </w:rPr>
              <w:t> </w:t>
            </w:r>
            <w:r>
              <w:rPr>
                <w:rFonts w:ascii="Times New Roman"/>
                <w:sz w:val="18"/>
              </w:rPr>
              <w:t>Medical</w:t>
            </w:r>
            <w:r>
              <w:rPr>
                <w:rFonts w:ascii="Times New Roman"/>
                <w:spacing w:val="-2"/>
                <w:sz w:val="18"/>
              </w:rPr>
              <w:t> </w:t>
            </w:r>
            <w:r>
              <w:rPr>
                <w:rFonts w:ascii="Times New Roman"/>
                <w:sz w:val="18"/>
              </w:rPr>
              <w:t>Centre</w:t>
            </w:r>
            <w:r>
              <w:rPr>
                <w:rFonts w:ascii="Times New Roman"/>
                <w:w w:val="100"/>
                <w:sz w:val="18"/>
              </w:rPr>
              <w:t> </w:t>
            </w:r>
            <w:r>
              <w:rPr>
                <w:rFonts w:ascii="Times New Roman"/>
                <w:sz w:val="18"/>
              </w:rPr>
              <w:t>Co.,</w:t>
            </w:r>
            <w:r>
              <w:rPr>
                <w:rFonts w:ascii="Times New Roman"/>
                <w:spacing w:val="-6"/>
                <w:sz w:val="18"/>
              </w:rPr>
              <w:t> </w:t>
            </w:r>
            <w:r>
              <w:rPr>
                <w:rFonts w:ascii="Times New Roman"/>
                <w:sz w:val="18"/>
              </w:rPr>
              <w:t>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北京六合华大基 因（香港）科技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秦皇岛华大基因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贵州华大医学检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青岛华大精准医 学管理中心有限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重庆华大医学医 检所有限公司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安徽华大医学检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上海华大建林基 因科技有限公司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上海华大基因科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深圳华大临床检 验中心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97.50%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天津华大基因科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华大生物科技</w:t>
            </w:r>
          </w:p>
          <w:p>
            <w:pPr>
              <w:pStyle w:val="TableParagraph"/>
              <w:spacing w:line="316" w:lineRule="auto" w:before="76"/>
              <w:ind w:left="24" w:right="75"/>
              <w:jc w:val="left"/>
              <w:rPr>
                <w:rFonts w:ascii="宋体" w:hAnsi="宋体" w:cs="宋体" w:eastAsia="宋体" w:hint="default"/>
                <w:sz w:val="18"/>
                <w:szCs w:val="18"/>
              </w:rPr>
            </w:pPr>
            <w:r>
              <w:rPr>
                <w:rFonts w:ascii="宋体" w:hAnsi="宋体" w:cs="宋体" w:eastAsia="宋体" w:hint="default"/>
                <w:sz w:val="18"/>
                <w:szCs w:val="18"/>
              </w:rPr>
              <w:t>（武汉）有限公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深圳华大基因科 技服务有限公司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90.91%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深圳华大基因生 物医学工程有限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华大基因生物科 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BGI Europe</w:t>
            </w:r>
            <w:r>
              <w:rPr>
                <w:rFonts w:ascii="Times New Roman"/>
                <w:spacing w:val="-13"/>
                <w:sz w:val="18"/>
              </w:rPr>
              <w:t> </w:t>
            </w:r>
            <w:r>
              <w:rPr>
                <w:rFonts w:ascii="Times New Roman"/>
                <w:sz w:val="18"/>
              </w:rPr>
              <w:t>A/S</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丹麦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丹麦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北京华大吉比爱 生物技术有限公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z w:val="18"/>
              </w:rPr>
              <w:t>BGI</w:t>
            </w:r>
            <w:r>
              <w:rPr>
                <w:rFonts w:ascii="Times New Roman"/>
                <w:spacing w:val="-3"/>
                <w:sz w:val="18"/>
              </w:rPr>
              <w:t> </w:t>
            </w:r>
            <w:r>
              <w:rPr>
                <w:rFonts w:ascii="Times New Roman"/>
                <w:spacing w:val="-4"/>
                <w:sz w:val="18"/>
              </w:rPr>
              <w:t>JAPAN</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3"/>
              <w:ind w:left="24" w:right="27"/>
              <w:jc w:val="left"/>
              <w:rPr>
                <w:rFonts w:ascii="Times New Roman" w:hAnsi="Times New Roman" w:cs="Times New Roman" w:eastAsia="Times New Roman" w:hint="default"/>
                <w:sz w:val="18"/>
                <w:szCs w:val="18"/>
              </w:rPr>
            </w:pPr>
            <w:r>
              <w:rPr>
                <w:rFonts w:ascii="Times New Roman"/>
                <w:sz w:val="18"/>
              </w:rPr>
              <w:t>KABUSHIKIKAI</w:t>
            </w:r>
            <w:r>
              <w:rPr>
                <w:rFonts w:ascii="Times New Roman"/>
                <w:w w:val="99"/>
                <w:sz w:val="18"/>
              </w:rPr>
              <w:t> </w:t>
            </w:r>
            <w:r>
              <w:rPr>
                <w:rFonts w:ascii="Times New Roman"/>
                <w:spacing w:val="-7"/>
                <w:sz w:val="18"/>
              </w:rPr>
              <w:t>SYA</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302"/>
              <w:jc w:val="left"/>
              <w:rPr>
                <w:rFonts w:ascii="Times New Roman" w:hAnsi="Times New Roman" w:cs="Times New Roman" w:eastAsia="Times New Roman" w:hint="default"/>
                <w:sz w:val="18"/>
                <w:szCs w:val="18"/>
              </w:rPr>
            </w:pPr>
            <w:r>
              <w:rPr>
                <w:rFonts w:ascii="Times New Roman"/>
                <w:sz w:val="18"/>
              </w:rPr>
              <w:t>BGI</w:t>
            </w:r>
            <w:r>
              <w:rPr>
                <w:rFonts w:ascii="Times New Roman"/>
                <w:spacing w:val="-13"/>
                <w:sz w:val="18"/>
              </w:rPr>
              <w:t> </w:t>
            </w:r>
            <w:r>
              <w:rPr>
                <w:rFonts w:ascii="Times New Roman"/>
                <w:sz w:val="18"/>
              </w:rPr>
              <w:t>Americas</w:t>
            </w:r>
            <w:r>
              <w:rPr>
                <w:rFonts w:ascii="Times New Roman"/>
                <w:w w:val="99"/>
                <w:sz w:val="18"/>
              </w:rPr>
              <w:t> </w:t>
            </w:r>
            <w:r>
              <w:rPr>
                <w:rFonts w:ascii="Times New Roman"/>
                <w:sz w:val="18"/>
              </w:rPr>
              <w:t>Corporation</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北京六合华大基 因科技有限公司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bl>
    <w:p>
      <w:pPr>
        <w:pStyle w:val="BodyText"/>
        <w:spacing w:line="357" w:lineRule="auto" w:before="51"/>
        <w:ind w:right="5994"/>
        <w:jc w:val="left"/>
      </w:pPr>
      <w:r>
        <w:rPr/>
        <w:t>在子公司的持股比例不同于表决权比例的说明： 无</w:t>
      </w:r>
    </w:p>
    <w:p>
      <w:pPr>
        <w:pStyle w:val="BodyText"/>
        <w:spacing w:line="360" w:lineRule="auto" w:before="29"/>
        <w:ind w:right="1854"/>
        <w:jc w:val="left"/>
      </w:pPr>
      <w:r>
        <w:rPr/>
        <w:t>持有半数或以下表决权但仍控制被投资单位、以及持有半数以上表决权但不控制被投资单位的依据： 无</w:t>
      </w:r>
    </w:p>
    <w:p>
      <w:pPr>
        <w:pStyle w:val="BodyText"/>
        <w:spacing w:line="357" w:lineRule="auto" w:before="28"/>
        <w:ind w:right="5454"/>
        <w:jc w:val="left"/>
      </w:pPr>
      <w:r>
        <w:rPr/>
        <w:t>对于纳入合并范围的重要的结构化主体，控制的依据： 无</w:t>
      </w:r>
    </w:p>
    <w:p>
      <w:pPr>
        <w:pStyle w:val="BodyText"/>
        <w:spacing w:line="357" w:lineRule="auto" w:before="29"/>
        <w:ind w:right="6714"/>
        <w:jc w:val="left"/>
      </w:pPr>
      <w:r>
        <w:rPr/>
        <w:t>确定公司是代理人还是委托人的依据： 无</w:t>
      </w:r>
    </w:p>
    <w:p>
      <w:pPr>
        <w:pStyle w:val="BodyText"/>
        <w:spacing w:line="360" w:lineRule="auto" w:before="29"/>
        <w:ind w:right="8874"/>
        <w:jc w:val="left"/>
      </w:pPr>
      <w:r>
        <w:rPr/>
        <w:t>其他说明： 无</w:t>
      </w:r>
    </w:p>
    <w:p>
      <w:pPr>
        <w:spacing w:line="240" w:lineRule="auto" w:before="1"/>
        <w:rPr>
          <w:rFonts w:ascii="宋体" w:hAnsi="宋体" w:cs="宋体" w:eastAsia="宋体" w:hint="default"/>
          <w:sz w:val="22"/>
          <w:szCs w:val="22"/>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6"/>
        <w:gridCol w:w="1916"/>
        <w:gridCol w:w="1913"/>
        <w:gridCol w:w="1913"/>
        <w:gridCol w:w="1913"/>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深圳华大基因科技服务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5,209,279.80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2,775,954.25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61,001,736.64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深圳华大临床检验中心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5,566,560.23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3,996,007.92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7,711,304.38</w:t>
            </w:r>
          </w:p>
        </w:tc>
      </w:tr>
    </w:tbl>
    <w:p>
      <w:pPr>
        <w:pStyle w:val="BodyText"/>
        <w:spacing w:line="360" w:lineRule="auto" w:before="51"/>
        <w:ind w:right="5454"/>
        <w:jc w:val="left"/>
      </w:pPr>
      <w:r>
        <w:rPr/>
        <w:t>子公司少数股东的持股比例不同于表决权比例的说明： 无</w:t>
      </w:r>
    </w:p>
    <w:p>
      <w:pPr>
        <w:pStyle w:val="BodyText"/>
        <w:spacing w:line="357" w:lineRule="auto" w:before="27"/>
        <w:ind w:right="8874"/>
        <w:jc w:val="left"/>
      </w:pPr>
      <w:r>
        <w:rPr/>
        <w:t>其他说明： 无</w:t>
      </w:r>
    </w:p>
    <w:p>
      <w:pPr>
        <w:spacing w:after="0" w:line="357" w:lineRule="auto"/>
        <w:jc w:val="left"/>
        <w:sectPr>
          <w:pgSz w:w="11910" w:h="16840"/>
          <w:pgMar w:header="0" w:footer="974" w:top="1100" w:bottom="1160" w:left="980" w:right="980"/>
        </w:sectPr>
      </w:pPr>
    </w:p>
    <w:p>
      <w:pPr>
        <w:spacing w:line="240" w:lineRule="auto" w:before="8"/>
        <w:rPr>
          <w:rFonts w:ascii="宋体" w:hAnsi="宋体" w:cs="宋体" w:eastAsia="宋体" w:hint="default"/>
          <w:sz w:val="2"/>
          <w:szCs w:val="2"/>
        </w:rPr>
      </w:pPr>
    </w:p>
    <w:p>
      <w:pPr>
        <w:spacing w:line="20" w:lineRule="exact"/>
        <w:ind w:left="46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22"/>
        <w:ind w:left="500"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535"/>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38"/>
        <w:gridCol w:w="1316"/>
        <w:gridCol w:w="1181"/>
        <w:gridCol w:w="1316"/>
        <w:gridCol w:w="1181"/>
        <w:gridCol w:w="1087"/>
        <w:gridCol w:w="1181"/>
        <w:gridCol w:w="1315"/>
        <w:gridCol w:w="1181"/>
        <w:gridCol w:w="1316"/>
        <w:gridCol w:w="1181"/>
        <w:gridCol w:w="1092"/>
        <w:gridCol w:w="1181"/>
      </w:tblGrid>
      <w:tr>
        <w:trPr>
          <w:trHeight w:val="401" w:hRule="exact"/>
        </w:trPr>
        <w:tc>
          <w:tcPr>
            <w:tcW w:w="2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子 公 司 名 称</w:t>
            </w:r>
          </w:p>
        </w:tc>
        <w:tc>
          <w:tcPr>
            <w:tcW w:w="726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2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48" w:hRule="exact"/>
        </w:trPr>
        <w:tc>
          <w:tcPr>
            <w:tcW w:w="238"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4460" w:hRule="exact"/>
        </w:trPr>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3"/>
              <w:jc w:val="both"/>
              <w:rPr>
                <w:rFonts w:ascii="宋体" w:hAnsi="宋体" w:cs="宋体" w:eastAsia="宋体" w:hint="default"/>
                <w:sz w:val="18"/>
                <w:szCs w:val="18"/>
              </w:rPr>
            </w:pPr>
            <w:r>
              <w:rPr>
                <w:rFonts w:ascii="宋体" w:hAnsi="宋体" w:cs="宋体" w:eastAsia="宋体" w:hint="default"/>
                <w:sz w:val="18"/>
                <w:szCs w:val="18"/>
              </w:rPr>
              <w:t>深 圳 华 大 基 因 科 技 服 务 有 限 公 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1,127,672,359.45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235,209,632.53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1,362,881,991.98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680,379,118.05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11,416,662.27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691,795,780.32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1,122,497,520.55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193,367,986.05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1,315,865,506.60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673,785,108.48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10,869,103.75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684,654,212.23</w:t>
            </w:r>
          </w:p>
        </w:tc>
      </w:tr>
      <w:tr>
        <w:trPr>
          <w:trHeight w:val="2235" w:hRule="exact"/>
        </w:trPr>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深 圳 华 大 临 床 检</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740,944,415.23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92,659,778.80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833,604,194.03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525,285,691.79</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525,285,691.79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31" w:right="0"/>
              <w:jc w:val="center"/>
              <w:rPr>
                <w:rFonts w:ascii="Times New Roman" w:hAnsi="Times New Roman" w:cs="Times New Roman" w:eastAsia="Times New Roman" w:hint="default"/>
                <w:sz w:val="18"/>
                <w:szCs w:val="18"/>
              </w:rPr>
            </w:pPr>
            <w:r>
              <w:rPr>
                <w:rFonts w:ascii="Times New Roman"/>
                <w:sz w:val="18"/>
              </w:rPr>
              <w:t>333,588,027.73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48,747,705.97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382,335,733.70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189,345,719.19</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189,345,719.19</w:t>
            </w:r>
          </w:p>
        </w:tc>
      </w:tr>
    </w:tbl>
    <w:p>
      <w:pPr>
        <w:spacing w:after="0" w:line="240" w:lineRule="auto"/>
        <w:jc w:val="center"/>
        <w:rPr>
          <w:rFonts w:ascii="Times New Roman" w:hAnsi="Times New Roman" w:cs="Times New Roman" w:eastAsia="Times New Roman" w:hint="default"/>
          <w:sz w:val="18"/>
          <w:szCs w:val="18"/>
        </w:rPr>
        <w:sectPr>
          <w:headerReference w:type="default" r:id="rId69"/>
          <w:footerReference w:type="default" r:id="rId70"/>
          <w:pgSz w:w="16840" w:h="11910" w:orient="landscape"/>
          <w:pgMar w:header="870" w:footer="975" w:top="1060" w:bottom="1160" w:left="940" w:right="900"/>
          <w:pgNumType w:start="222"/>
        </w:sectPr>
      </w:pPr>
    </w:p>
    <w:p>
      <w:pPr>
        <w:spacing w:line="240" w:lineRule="auto" w:before="8"/>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38"/>
        <w:gridCol w:w="1316"/>
        <w:gridCol w:w="1181"/>
        <w:gridCol w:w="1316"/>
        <w:gridCol w:w="1181"/>
        <w:gridCol w:w="1087"/>
        <w:gridCol w:w="1181"/>
        <w:gridCol w:w="1315"/>
        <w:gridCol w:w="1181"/>
        <w:gridCol w:w="1316"/>
        <w:gridCol w:w="1181"/>
        <w:gridCol w:w="1092"/>
        <w:gridCol w:w="1181"/>
      </w:tblGrid>
      <w:tr>
        <w:trPr>
          <w:trHeight w:val="1001" w:hRule="exact"/>
        </w:trPr>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7"/>
              <w:ind w:left="24" w:right="23"/>
              <w:jc w:val="both"/>
              <w:rPr>
                <w:rFonts w:ascii="宋体" w:hAnsi="宋体" w:cs="宋体" w:eastAsia="宋体" w:hint="default"/>
                <w:sz w:val="18"/>
                <w:szCs w:val="18"/>
              </w:rPr>
            </w:pPr>
            <w:r>
              <w:rPr>
                <w:rFonts w:ascii="宋体" w:hAnsi="宋体" w:cs="宋体" w:eastAsia="宋体" w:hint="default"/>
                <w:sz w:val="18"/>
                <w:szCs w:val="18"/>
              </w:rPr>
              <w:t>验 中 心</w:t>
            </w:r>
          </w:p>
        </w:tc>
        <w:tc>
          <w:tcPr>
            <w:tcW w:w="131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8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535"/>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387" w:type="dxa"/>
        <w:tblLayout w:type="fixed"/>
        <w:tblCellMar>
          <w:top w:w="0" w:type="dxa"/>
          <w:left w:w="0" w:type="dxa"/>
          <w:bottom w:w="0" w:type="dxa"/>
          <w:right w:w="0" w:type="dxa"/>
        </w:tblCellMar>
        <w:tblLook w:val="01E0"/>
      </w:tblPr>
      <w:tblGrid>
        <w:gridCol w:w="2897"/>
        <w:gridCol w:w="1445"/>
        <w:gridCol w:w="1445"/>
        <w:gridCol w:w="1445"/>
        <w:gridCol w:w="1445"/>
        <w:gridCol w:w="1448"/>
        <w:gridCol w:w="1445"/>
        <w:gridCol w:w="1445"/>
        <w:gridCol w:w="1445"/>
      </w:tblGrid>
      <w:tr>
        <w:trPr>
          <w:trHeight w:val="401" w:hRule="exact"/>
        </w:trPr>
        <w:tc>
          <w:tcPr>
            <w:tcW w:w="28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57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78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897" w:type="dxa"/>
            <w:vMerge/>
            <w:tcBorders>
              <w:left w:val="single" w:sz="4" w:space="0" w:color="000000"/>
              <w:bottom w:val="single" w:sz="4" w:space="0" w:color="000000"/>
              <w:right w:val="single" w:sz="4" w:space="0" w:color="000000"/>
            </w:tcBorders>
            <w:shd w:val="clear" w:color="auto" w:fill="D2D2D2"/>
          </w:tcPr>
          <w:p>
            <w:pP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8" w:right="84" w:hanging="540"/>
              <w:jc w:val="left"/>
              <w:rPr>
                <w:rFonts w:ascii="宋体" w:hAnsi="宋体" w:cs="宋体" w:eastAsia="宋体" w:hint="default"/>
                <w:sz w:val="18"/>
                <w:szCs w:val="18"/>
              </w:rPr>
            </w:pPr>
            <w:r>
              <w:rPr>
                <w:rFonts w:ascii="宋体" w:hAnsi="宋体" w:cs="宋体" w:eastAsia="宋体" w:hint="default"/>
                <w:sz w:val="18"/>
                <w:szCs w:val="18"/>
              </w:rPr>
              <w:t>经营活动现金流 量</w:t>
            </w: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6" w:right="87" w:hanging="541"/>
              <w:jc w:val="left"/>
              <w:rPr>
                <w:rFonts w:ascii="宋体" w:hAnsi="宋体" w:cs="宋体" w:eastAsia="宋体" w:hint="default"/>
                <w:sz w:val="18"/>
                <w:szCs w:val="18"/>
              </w:rPr>
            </w:pPr>
            <w:r>
              <w:rPr>
                <w:rFonts w:ascii="宋体" w:hAnsi="宋体" w:cs="宋体" w:eastAsia="宋体" w:hint="default"/>
                <w:sz w:val="18"/>
                <w:szCs w:val="18"/>
              </w:rPr>
              <w:t>经营活动现金流 量</w:t>
            </w:r>
          </w:p>
        </w:tc>
      </w:tr>
      <w:tr>
        <w:trPr>
          <w:trHeight w:val="40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深圳华大基因科技服务有限公司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8" w:right="0"/>
              <w:jc w:val="left"/>
              <w:rPr>
                <w:rFonts w:ascii="Times New Roman" w:hAnsi="Times New Roman" w:cs="Times New Roman" w:eastAsia="Times New Roman" w:hint="default"/>
                <w:sz w:val="18"/>
                <w:szCs w:val="18"/>
              </w:rPr>
            </w:pPr>
            <w:r>
              <w:rPr>
                <w:rFonts w:ascii="Times New Roman"/>
                <w:sz w:val="18"/>
              </w:rPr>
              <w:t>566,643,097.58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57,307,808.58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83,580,181.59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10,367,288.59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565,376,781.19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3,014,619.23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10,086,449.85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9,547,918.48</w:t>
            </w:r>
          </w:p>
        </w:tc>
      </w:tr>
      <w:tr>
        <w:trPr>
          <w:trHeight w:val="40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深圳华大临床检验中心</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8" w:right="0"/>
              <w:jc w:val="left"/>
              <w:rPr>
                <w:rFonts w:ascii="Times New Roman" w:hAnsi="Times New Roman" w:cs="Times New Roman" w:eastAsia="Times New Roman" w:hint="default"/>
                <w:sz w:val="18"/>
                <w:szCs w:val="18"/>
              </w:rPr>
            </w:pPr>
            <w:r>
              <w:rPr>
                <w:rFonts w:ascii="Times New Roman"/>
                <w:sz w:val="18"/>
              </w:rPr>
              <w:t>619,031,809.60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112,940,246.10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112,940,246.10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64,198,143.85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549,405,364.61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133,200,263.94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133,200,263.94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137,798,319.34</w:t>
            </w:r>
          </w:p>
        </w:tc>
      </w:tr>
    </w:tbl>
    <w:p>
      <w:pPr>
        <w:pStyle w:val="BodyText"/>
        <w:spacing w:line="357" w:lineRule="auto" w:before="51"/>
        <w:ind w:left="500" w:right="13578"/>
        <w:jc w:val="left"/>
      </w:pPr>
      <w:r>
        <w:rPr/>
        <w:t>其他说明： 无</w:t>
      </w:r>
    </w:p>
    <w:p>
      <w:pPr>
        <w:spacing w:after="0" w:line="357" w:lineRule="auto"/>
        <w:jc w:val="left"/>
        <w:sectPr>
          <w:pgSz w:w="16840" w:h="11910" w:orient="landscape"/>
          <w:pgMar w:header="870" w:footer="975" w:top="1060" w:bottom="1160" w:left="940" w:right="900"/>
        </w:sectPr>
      </w:pPr>
    </w:p>
    <w:p>
      <w:pPr>
        <w:spacing w:line="240" w:lineRule="auto" w:before="3"/>
        <w:rPr>
          <w:rFonts w:ascii="宋体" w:hAnsi="宋体" w:cs="宋体" w:eastAsia="宋体" w:hint="default"/>
          <w:sz w:val="22"/>
          <w:szCs w:val="22"/>
        </w:rPr>
      </w:pPr>
    </w:p>
    <w:p>
      <w:pPr>
        <w:pStyle w:val="Heading4"/>
        <w:spacing w:line="590" w:lineRule="auto"/>
        <w:ind w:right="5347"/>
        <w:jc w:val="left"/>
        <w:rPr>
          <w:rFonts w:ascii="宋体" w:hAnsi="宋体" w:cs="宋体" w:eastAsia="宋体" w:hint="default"/>
          <w:b w:val="0"/>
          <w:bCs w:val="0"/>
        </w:rPr>
      </w:pPr>
      <w:r>
        <w:rPr/>
        <w:t>（</w:t>
      </w:r>
      <w:r>
        <w:rPr>
          <w:rFonts w:ascii="Times New Roman" w:hAnsi="Times New Roman" w:cs="Times New Roman" w:eastAsia="Times New Roman" w:hint="default"/>
        </w:rPr>
        <w:t>4</w:t>
      </w:r>
      <w:r>
        <w:rPr/>
        <w:t>）使用企业集团资产和清偿企业集团债务的重大限制</w:t>
      </w:r>
      <w:r>
        <w:rPr>
          <w:w w:val="99"/>
        </w:rPr>
        <w:t> </w:t>
      </w:r>
      <w:r>
        <w:rPr>
          <w:rFonts w:ascii="宋体" w:hAnsi="宋体" w:cs="宋体" w:eastAsia="宋体" w:hint="default"/>
          <w:b w:val="0"/>
          <w:bCs w:val="0"/>
        </w:rPr>
        <w:t>无</w:t>
      </w:r>
    </w:p>
    <w:p>
      <w:pPr>
        <w:spacing w:line="592" w:lineRule="auto" w:before="116"/>
        <w:ind w:left="152" w:right="3942" w:firstLine="0"/>
        <w:jc w:val="left"/>
        <w:rPr>
          <w:rFonts w:ascii="宋体" w:hAnsi="宋体" w:cs="宋体" w:eastAsia="宋体" w:hint="default"/>
          <w:sz w:val="21"/>
          <w:szCs w:val="21"/>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）向纳入合并财务报表范围的结构化主体提供的财务支持或其他支持</w:t>
      </w:r>
      <w:r>
        <w:rPr>
          <w:rFonts w:ascii="宋体" w:hAnsi="宋体" w:cs="宋体" w:eastAsia="宋体" w:hint="default"/>
          <w:b/>
          <w:bCs/>
          <w:w w:val="99"/>
          <w:sz w:val="18"/>
          <w:szCs w:val="18"/>
        </w:rPr>
        <w:t> </w:t>
      </w:r>
      <w:r>
        <w:rPr>
          <w:rFonts w:ascii="宋体" w:hAnsi="宋体" w:cs="宋体" w:eastAsia="宋体" w:hint="default"/>
          <w:sz w:val="18"/>
          <w:szCs w:val="18"/>
        </w:rPr>
        <w:t>无 </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、在子公司的所有者权益份额发生变化且仍控制子公司的交易</w:t>
      </w:r>
      <w:r>
        <w:rPr>
          <w:rFonts w:ascii="宋体" w:hAnsi="宋体" w:cs="宋体" w:eastAsia="宋体" w:hint="default"/>
          <w:spacing w:val="-1"/>
          <w:sz w:val="21"/>
          <w:szCs w:val="21"/>
        </w:rPr>
      </w:r>
    </w:p>
    <w:p>
      <w:pPr>
        <w:pStyle w:val="Heading4"/>
        <w:spacing w:line="240" w:lineRule="auto" w:before="7"/>
        <w:ind w:right="141"/>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5"/>
        <w:ind w:right="237" w:firstLine="360"/>
        <w:jc w:val="both"/>
      </w:pPr>
      <w:r>
        <w:rPr>
          <w:spacing w:val="-5"/>
        </w:rPr>
        <w:t>根据</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8</w:t>
      </w:r>
      <w:r>
        <w:rPr>
          <w:spacing w:val="-5"/>
        </w:rPr>
        <w:t>月</w:t>
      </w:r>
      <w:r>
        <w:rPr>
          <w:rFonts w:ascii="Times New Roman" w:hAnsi="Times New Roman" w:cs="Times New Roman" w:eastAsia="Times New Roman" w:hint="default"/>
          <w:spacing w:val="-5"/>
        </w:rPr>
        <w:t>29</w:t>
      </w:r>
      <w:r>
        <w:rPr>
          <w:spacing w:val="-5"/>
        </w:rPr>
        <w:t>日召开的第一届董事会第十四次会议审议通过的《关于公司使用募集资金对子公司进行增资的议案》，</w:t>
      </w:r>
      <w:r>
        <w:rPr>
          <w:spacing w:val="-87"/>
        </w:rPr>
        <w:t> </w:t>
      </w:r>
      <w:r>
        <w:rPr/>
        <w:t>本公司用募集资金人民币</w:t>
      </w:r>
      <w:r>
        <w:rPr>
          <w:rFonts w:ascii="Times New Roman" w:hAnsi="Times New Roman" w:cs="Times New Roman" w:eastAsia="Times New Roman" w:hint="default"/>
        </w:rPr>
        <w:t>483,861,339.62</w:t>
      </w:r>
      <w:r>
        <w:rPr/>
        <w:t>元对各子公司进行增资。</w:t>
      </w:r>
    </w:p>
    <w:p>
      <w:pPr>
        <w:pStyle w:val="BodyText"/>
        <w:spacing w:line="300" w:lineRule="auto" w:before="13"/>
        <w:ind w:right="151" w:firstLine="360"/>
        <w:jc w:val="both"/>
      </w:pPr>
      <w:r>
        <w:rPr/>
        <w:t>使用募集资金对深圳华大临床检验中心增资人民币</w:t>
      </w:r>
      <w:r>
        <w:rPr>
          <w:rFonts w:ascii="Times New Roman" w:hAnsi="Times New Roman" w:cs="Times New Roman" w:eastAsia="Times New Roman" w:hint="default"/>
        </w:rPr>
        <w:t>82,308,400.00</w:t>
      </w:r>
      <w:r>
        <w:rPr/>
        <w:t>元，其中人民币</w:t>
      </w:r>
      <w:r>
        <w:rPr>
          <w:rFonts w:ascii="Times New Roman" w:hAnsi="Times New Roman" w:cs="Times New Roman" w:eastAsia="Times New Roman" w:hint="default"/>
        </w:rPr>
        <w:t>10,000,000.00</w:t>
      </w:r>
      <w:r>
        <w:rPr/>
        <w:t>元计入注册资本，人民币 </w:t>
      </w:r>
      <w:r>
        <w:rPr>
          <w:rFonts w:ascii="Times New Roman" w:hAnsi="Times New Roman" w:cs="Times New Roman" w:eastAsia="Times New Roman" w:hint="default"/>
          <w:spacing w:val="-2"/>
        </w:rPr>
        <w:t>72,308,400.00</w:t>
      </w:r>
      <w:r>
        <w:rPr>
          <w:spacing w:val="-2"/>
        </w:rPr>
        <w:t>元计入资本公积，少数股东权益持股比例由</w:t>
      </w:r>
      <w:r>
        <w:rPr>
          <w:rFonts w:ascii="Times New Roman" w:hAnsi="Times New Roman" w:cs="Times New Roman" w:eastAsia="Times New Roman" w:hint="default"/>
          <w:spacing w:val="-2"/>
        </w:rPr>
        <w:t>5.00%</w:t>
      </w:r>
      <w:r>
        <w:rPr>
          <w:spacing w:val="-2"/>
        </w:rPr>
        <w:t>稀释为</w:t>
      </w:r>
      <w:r>
        <w:rPr>
          <w:rFonts w:ascii="Times New Roman" w:hAnsi="Times New Roman" w:cs="Times New Roman" w:eastAsia="Times New Roman" w:hint="default"/>
          <w:spacing w:val="-2"/>
        </w:rPr>
        <w:t>2.50%</w:t>
      </w:r>
      <w:r>
        <w:rPr>
          <w:spacing w:val="-2"/>
        </w:rPr>
        <w:t>，增资完成后，子公司深圳华大临床检验中心注</w:t>
      </w:r>
      <w:r>
        <w:rPr>
          <w:spacing w:val="-34"/>
        </w:rPr>
        <w:t> </w:t>
      </w:r>
      <w:r>
        <w:rPr>
          <w:spacing w:val="-34"/>
        </w:rPr>
      </w:r>
      <w:r>
        <w:rPr/>
        <w:t>册资本从人民币</w:t>
      </w:r>
      <w:r>
        <w:rPr>
          <w:rFonts w:ascii="Times New Roman" w:hAnsi="Times New Roman" w:cs="Times New Roman" w:eastAsia="Times New Roman" w:hint="default"/>
        </w:rPr>
        <w:t>1,000</w:t>
      </w:r>
      <w:r>
        <w:rPr/>
        <w:t>万元增至人民币</w:t>
      </w:r>
      <w:r>
        <w:rPr>
          <w:rFonts w:ascii="Times New Roman" w:hAnsi="Times New Roman" w:cs="Times New Roman" w:eastAsia="Times New Roman" w:hint="default"/>
        </w:rPr>
        <w:t>2,000</w:t>
      </w:r>
      <w:r>
        <w:rPr/>
        <w:t>万元。</w:t>
      </w:r>
    </w:p>
    <w:p>
      <w:pPr>
        <w:pStyle w:val="BodyText"/>
        <w:spacing w:line="300" w:lineRule="auto" w:before="13"/>
        <w:ind w:right="148" w:firstLine="360"/>
        <w:jc w:val="both"/>
      </w:pPr>
      <w:r>
        <w:rPr/>
        <w:t>使用募集资金对全资子公司天津华大医学检验所有限公司增资人民币</w:t>
      </w:r>
      <w:r>
        <w:rPr>
          <w:rFonts w:ascii="Times New Roman" w:hAnsi="Times New Roman" w:cs="Times New Roman" w:eastAsia="Times New Roman" w:hint="default"/>
        </w:rPr>
        <w:t>170,412,939.62</w:t>
      </w:r>
      <w:r>
        <w:rPr/>
        <w:t>元，其中人民币</w:t>
      </w:r>
      <w:r>
        <w:rPr>
          <w:rFonts w:ascii="Times New Roman" w:hAnsi="Times New Roman" w:cs="Times New Roman" w:eastAsia="Times New Roman" w:hint="default"/>
        </w:rPr>
        <w:t>10,000,000.00</w:t>
      </w:r>
      <w:r>
        <w:rPr/>
        <w:t>元计</w:t>
      </w:r>
      <w:r>
        <w:rPr>
          <w:spacing w:val="2"/>
        </w:rPr>
        <w:t> </w:t>
      </w:r>
      <w:r>
        <w:rPr>
          <w:spacing w:val="-3"/>
        </w:rPr>
        <w:t>入注册资本，人民币</w:t>
      </w:r>
      <w:r>
        <w:rPr>
          <w:rFonts w:ascii="Times New Roman" w:hAnsi="Times New Roman" w:cs="Times New Roman" w:eastAsia="Times New Roman" w:hint="default"/>
          <w:spacing w:val="-3"/>
        </w:rPr>
        <w:t>160,412,939.62</w:t>
      </w:r>
      <w:r>
        <w:rPr>
          <w:spacing w:val="-3"/>
        </w:rPr>
        <w:t>元计入资本公积，增资完成后子公司天津华大医学检验所有限公司注册资本从人民币</w:t>
      </w:r>
      <w:r>
        <w:rPr>
          <w:rFonts w:ascii="Times New Roman" w:hAnsi="Times New Roman" w:cs="Times New Roman" w:eastAsia="Times New Roman" w:hint="default"/>
          <w:spacing w:val="-3"/>
        </w:rPr>
        <w:t>1,000</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万元增加至人民币</w:t>
      </w:r>
      <w:r>
        <w:rPr>
          <w:rFonts w:ascii="Times New Roman" w:hAnsi="Times New Roman" w:cs="Times New Roman" w:eastAsia="Times New Roman" w:hint="default"/>
        </w:rPr>
        <w:t>2,000</w:t>
      </w:r>
      <w:r>
        <w:rPr/>
        <w:t>万元。</w:t>
      </w:r>
    </w:p>
    <w:p>
      <w:pPr>
        <w:pStyle w:val="BodyText"/>
        <w:spacing w:line="300" w:lineRule="auto" w:before="13"/>
        <w:ind w:right="150" w:firstLine="360"/>
        <w:jc w:val="both"/>
      </w:pPr>
      <w:r>
        <w:rPr/>
        <w:t>使用募集资金向全资子公司武汉华大医学检验所有限公司增资人民币</w:t>
      </w:r>
      <w:r>
        <w:rPr>
          <w:rFonts w:ascii="Times New Roman" w:hAnsi="Times New Roman" w:cs="Times New Roman" w:eastAsia="Times New Roman" w:hint="default"/>
        </w:rPr>
        <w:t>231,140,000.00</w:t>
      </w:r>
      <w:r>
        <w:rPr/>
        <w:t>元，其中人民币</w:t>
      </w:r>
      <w:r>
        <w:rPr>
          <w:rFonts w:ascii="Times New Roman" w:hAnsi="Times New Roman" w:cs="Times New Roman" w:eastAsia="Times New Roman" w:hint="default"/>
        </w:rPr>
        <w:t>6,000,000.00</w:t>
      </w:r>
      <w:r>
        <w:rPr/>
        <w:t>元计入 注册资本，人民币</w:t>
      </w:r>
      <w:r>
        <w:rPr>
          <w:rFonts w:ascii="Times New Roman" w:hAnsi="Times New Roman" w:cs="Times New Roman" w:eastAsia="Times New Roman" w:hint="default"/>
        </w:rPr>
        <w:t>225,140,000.00</w:t>
      </w:r>
      <w:r>
        <w:rPr/>
        <w:t>元计入资本公积，增资完成后子公司武汉华大医学检验所有限公司注册资本从人民币</w:t>
      </w:r>
      <w:r>
        <w:rPr>
          <w:rFonts w:ascii="Times New Roman" w:hAnsi="Times New Roman" w:cs="Times New Roman" w:eastAsia="Times New Roman" w:hint="default"/>
        </w:rPr>
        <w:t>9,400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万元增加至人民币</w:t>
      </w:r>
      <w:r>
        <w:rPr>
          <w:rFonts w:ascii="Times New Roman" w:hAnsi="Times New Roman" w:cs="Times New Roman" w:eastAsia="Times New Roman" w:hint="default"/>
        </w:rPr>
        <w:t>10,000</w:t>
      </w:r>
      <w:r>
        <w:rPr/>
        <w:t>万元。</w:t>
      </w:r>
    </w:p>
    <w:p>
      <w:pPr>
        <w:spacing w:line="240" w:lineRule="auto" w:before="1"/>
        <w:rPr>
          <w:rFonts w:ascii="宋体" w:hAnsi="宋体" w:cs="宋体" w:eastAsia="宋体" w:hint="default"/>
          <w:sz w:val="24"/>
          <w:szCs w:val="24"/>
        </w:rPr>
      </w:pPr>
    </w:p>
    <w:p>
      <w:pPr>
        <w:pStyle w:val="Heading4"/>
        <w:spacing w:line="590" w:lineRule="auto" w:before="0"/>
        <w:ind w:right="4805"/>
        <w:jc w:val="left"/>
        <w:rPr>
          <w:rFonts w:ascii="宋体" w:hAnsi="宋体" w:cs="宋体" w:eastAsia="宋体" w:hint="default"/>
          <w:b w:val="0"/>
          <w:bCs w:val="0"/>
        </w:rPr>
      </w:pPr>
      <w:r>
        <w:rPr/>
        <w:t>（</w:t>
      </w:r>
      <w:r>
        <w:rPr>
          <w:rFonts w:ascii="Times New Roman" w:hAnsi="Times New Roman" w:cs="Times New Roman" w:eastAsia="Times New Roman" w:hint="default"/>
        </w:rPr>
        <w:t>2</w:t>
      </w:r>
      <w:r>
        <w:rPr/>
        <w:t>）交易对于少数股东权益及归属于母公司所有者权益的影响</w:t>
      </w:r>
      <w:r>
        <w:rPr>
          <w:w w:val="99"/>
        </w:rPr>
        <w:t> </w:t>
      </w:r>
      <w:r>
        <w:rPr>
          <w:rFonts w:ascii="宋体" w:hAnsi="宋体" w:cs="宋体" w:eastAsia="宋体" w:hint="default"/>
          <w:b w:val="0"/>
          <w:bCs w:val="0"/>
        </w:rPr>
        <w:t>无</w:t>
      </w:r>
    </w:p>
    <w:p>
      <w:pPr>
        <w:pStyle w:val="Heading3"/>
        <w:spacing w:line="240" w:lineRule="auto" w:before="88"/>
        <w:ind w:right="141"/>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pStyle w:val="Heading4"/>
        <w:spacing w:line="612" w:lineRule="exact" w:before="69"/>
        <w:ind w:right="7154"/>
        <w:jc w:val="left"/>
        <w:rPr>
          <w:rFonts w:ascii="宋体" w:hAnsi="宋体" w:cs="宋体" w:eastAsia="宋体" w:hint="default"/>
          <w:b w:val="0"/>
          <w:bCs w:val="0"/>
        </w:rPr>
      </w:pPr>
      <w:r>
        <w:rPr/>
        <w:t>（</w:t>
      </w:r>
      <w:r>
        <w:rPr>
          <w:rFonts w:ascii="Times New Roman" w:hAnsi="Times New Roman" w:cs="Times New Roman" w:eastAsia="Times New Roman" w:hint="default"/>
        </w:rPr>
        <w:t>1</w:t>
      </w:r>
      <w:r>
        <w:rPr/>
        <w:t>）重要的合营企业或联营企业</w:t>
      </w:r>
      <w:r>
        <w:rPr>
          <w:w w:val="99"/>
        </w:rPr>
        <w:t> </w:t>
      </w:r>
      <w:r>
        <w:rPr>
          <w:rFonts w:ascii="宋体" w:hAnsi="宋体" w:cs="宋体" w:eastAsia="宋体" w:hint="default"/>
          <w:b w:val="0"/>
          <w:bCs w:val="0"/>
        </w:rPr>
        <w:t>无</w:t>
      </w:r>
    </w:p>
    <w:p>
      <w:pPr>
        <w:pStyle w:val="BodyText"/>
        <w:spacing w:line="360" w:lineRule="auto" w:before="17"/>
        <w:ind w:right="4914"/>
        <w:jc w:val="left"/>
      </w:pPr>
      <w:r>
        <w:rPr/>
        <w:t>在合营企业或联营企业的持股比例不同于表决权比例的说明： 无</w:t>
      </w:r>
    </w:p>
    <w:p>
      <w:pPr>
        <w:pStyle w:val="BodyText"/>
        <w:spacing w:line="338" w:lineRule="auto" w:before="27"/>
        <w:ind w:right="2368"/>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 无</w:t>
      </w:r>
    </w:p>
    <w:p>
      <w:pPr>
        <w:spacing w:line="240" w:lineRule="auto" w:before="4"/>
        <w:rPr>
          <w:rFonts w:ascii="宋体" w:hAnsi="宋体" w:cs="宋体" w:eastAsia="宋体" w:hint="default"/>
          <w:sz w:val="23"/>
          <w:szCs w:val="23"/>
        </w:rPr>
      </w:pPr>
    </w:p>
    <w:p>
      <w:pPr>
        <w:pStyle w:val="Heading4"/>
        <w:spacing w:line="590" w:lineRule="auto" w:before="0"/>
        <w:ind w:right="6973"/>
        <w:jc w:val="left"/>
        <w:rPr>
          <w:rFonts w:ascii="宋体" w:hAnsi="宋体" w:cs="宋体" w:eastAsia="宋体" w:hint="default"/>
          <w:b w:val="0"/>
          <w:bCs w:val="0"/>
        </w:rPr>
      </w:pPr>
      <w:r>
        <w:rPr/>
        <w:t>（</w:t>
      </w:r>
      <w:r>
        <w:rPr>
          <w:rFonts w:ascii="Times New Roman" w:hAnsi="Times New Roman" w:cs="Times New Roman" w:eastAsia="Times New Roman" w:hint="default"/>
        </w:rPr>
        <w:t>2</w:t>
      </w:r>
      <w:r>
        <w:rPr/>
        <w:t>）重要合营企业的主要财务信息</w:t>
      </w:r>
      <w:r>
        <w:rPr>
          <w:w w:val="99"/>
        </w:rPr>
        <w:t> </w:t>
      </w:r>
      <w:r>
        <w:rPr>
          <w:rFonts w:ascii="宋体" w:hAnsi="宋体" w:cs="宋体" w:eastAsia="宋体" w:hint="default"/>
          <w:b w:val="0"/>
          <w:bCs w:val="0"/>
        </w:rPr>
        <w:t>无</w:t>
      </w:r>
    </w:p>
    <w:p>
      <w:pPr>
        <w:spacing w:after="0" w:line="590" w:lineRule="auto"/>
        <w:jc w:val="left"/>
        <w:rPr>
          <w:rFonts w:ascii="宋体" w:hAnsi="宋体" w:cs="宋体" w:eastAsia="宋体" w:hint="default"/>
        </w:rPr>
        <w:sectPr>
          <w:headerReference w:type="default" r:id="rId71"/>
          <w:footerReference w:type="default" r:id="rId72"/>
          <w:pgSz w:w="11910" w:h="16840"/>
          <w:pgMar w:header="880" w:footer="974" w:top="1100" w:bottom="1160" w:left="980" w:right="980"/>
          <w:pgNumType w:start="224"/>
        </w:sectPr>
      </w:pPr>
    </w:p>
    <w:p>
      <w:pPr>
        <w:spacing w:line="240" w:lineRule="auto" w:before="3"/>
        <w:rPr>
          <w:rFonts w:ascii="宋体" w:hAnsi="宋体" w:cs="宋体" w:eastAsia="宋体" w:hint="default"/>
          <w:sz w:val="22"/>
          <w:szCs w:val="22"/>
        </w:rPr>
      </w:pPr>
    </w:p>
    <w:p>
      <w:pPr>
        <w:pStyle w:val="Heading4"/>
        <w:spacing w:line="590" w:lineRule="auto"/>
        <w:ind w:right="6973"/>
        <w:jc w:val="left"/>
        <w:rPr>
          <w:rFonts w:ascii="宋体" w:hAnsi="宋体" w:cs="宋体" w:eastAsia="宋体" w:hint="default"/>
          <w:b w:val="0"/>
          <w:bCs w:val="0"/>
        </w:rPr>
      </w:pPr>
      <w:r>
        <w:rPr/>
        <w:t>（</w:t>
      </w:r>
      <w:r>
        <w:rPr>
          <w:rFonts w:ascii="Times New Roman" w:hAnsi="Times New Roman" w:cs="Times New Roman" w:eastAsia="Times New Roman" w:hint="default"/>
        </w:rPr>
        <w:t>3</w:t>
      </w:r>
      <w:r>
        <w:rPr/>
        <w:t>）重要联营企业的主要财务信息</w:t>
      </w:r>
      <w:r>
        <w:rPr>
          <w:w w:val="99"/>
        </w:rPr>
        <w:t> </w:t>
      </w:r>
      <w:r>
        <w:rPr>
          <w:rFonts w:ascii="宋体" w:hAnsi="宋体" w:cs="宋体" w:eastAsia="宋体" w:hint="default"/>
          <w:b w:val="0"/>
          <w:bCs w:val="0"/>
        </w:rPr>
        <w:t>无</w:t>
      </w:r>
    </w:p>
    <w:p>
      <w:pPr>
        <w:pStyle w:val="Heading4"/>
        <w:spacing w:line="240" w:lineRule="auto" w:before="116"/>
        <w:ind w:right="141"/>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25"/>
        <w:gridCol w:w="3058"/>
        <w:gridCol w:w="3188"/>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11,357,993.68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13,696,029.81</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-2,311,774.45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-3,510,990.34</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-26,261.68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-2,338,036.13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-3,510,990.34</w:t>
            </w:r>
          </w:p>
        </w:tc>
      </w:tr>
    </w:tbl>
    <w:p>
      <w:pPr>
        <w:spacing w:line="240" w:lineRule="auto" w:before="7"/>
        <w:rPr>
          <w:rFonts w:ascii="宋体" w:hAnsi="宋体" w:cs="宋体" w:eastAsia="宋体" w:hint="default"/>
          <w:sz w:val="20"/>
          <w:szCs w:val="20"/>
        </w:rPr>
      </w:pPr>
    </w:p>
    <w:p>
      <w:pPr>
        <w:pStyle w:val="Heading4"/>
        <w:spacing w:line="590" w:lineRule="auto"/>
        <w:ind w:right="4082"/>
        <w:jc w:val="left"/>
        <w:rPr>
          <w:rFonts w:ascii="宋体" w:hAnsi="宋体" w:cs="宋体" w:eastAsia="宋体" w:hint="default"/>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w w:val="99"/>
        </w:rPr>
        <w:t> </w:t>
      </w:r>
      <w:r>
        <w:rPr>
          <w:rFonts w:ascii="宋体" w:hAnsi="宋体" w:cs="宋体" w:eastAsia="宋体" w:hint="default"/>
          <w:b w:val="0"/>
          <w:bCs w:val="0"/>
        </w:rPr>
        <w:t>无</w:t>
      </w:r>
    </w:p>
    <w:p>
      <w:pPr>
        <w:pStyle w:val="Heading4"/>
        <w:spacing w:line="588" w:lineRule="auto" w:before="116"/>
        <w:ind w:right="6431"/>
        <w:jc w:val="left"/>
        <w:rPr>
          <w:rFonts w:ascii="宋体" w:hAnsi="宋体" w:cs="宋体" w:eastAsia="宋体" w:hint="default"/>
          <w:b w:val="0"/>
          <w:bCs w:val="0"/>
        </w:rPr>
      </w:pPr>
      <w:r>
        <w:rPr/>
        <w:t>（</w:t>
      </w:r>
      <w:r>
        <w:rPr>
          <w:rFonts w:ascii="Times New Roman" w:hAnsi="Times New Roman" w:cs="Times New Roman" w:eastAsia="Times New Roman" w:hint="default"/>
        </w:rPr>
        <w:t>6</w:t>
      </w:r>
      <w:r>
        <w:rPr/>
        <w:t>）合营企业或联营企业发生的超额亏损</w:t>
      </w:r>
      <w:r>
        <w:rPr>
          <w:w w:val="99"/>
        </w:rPr>
        <w:t> </w:t>
      </w:r>
      <w:r>
        <w:rPr>
          <w:rFonts w:ascii="宋体" w:hAnsi="宋体" w:cs="宋体" w:eastAsia="宋体" w:hint="default"/>
          <w:b w:val="0"/>
          <w:bCs w:val="0"/>
        </w:rPr>
        <w:t>无</w:t>
      </w:r>
    </w:p>
    <w:p>
      <w:pPr>
        <w:pStyle w:val="Heading4"/>
        <w:spacing w:line="590" w:lineRule="auto" w:before="118"/>
        <w:ind w:right="6612"/>
        <w:jc w:val="left"/>
        <w:rPr>
          <w:rFonts w:ascii="宋体" w:hAnsi="宋体" w:cs="宋体" w:eastAsia="宋体" w:hint="default"/>
          <w:b w:val="0"/>
          <w:bCs w:val="0"/>
        </w:rPr>
      </w:pPr>
      <w:r>
        <w:rPr/>
        <w:t>（</w:t>
      </w:r>
      <w:r>
        <w:rPr>
          <w:rFonts w:ascii="Times New Roman" w:hAnsi="Times New Roman" w:cs="Times New Roman" w:eastAsia="Times New Roman" w:hint="default"/>
        </w:rPr>
        <w:t>7</w:t>
      </w:r>
      <w:r>
        <w:rPr/>
        <w:t>）与合营企业投资相关的未确认承诺</w:t>
      </w:r>
      <w:r>
        <w:rPr>
          <w:w w:val="99"/>
        </w:rPr>
        <w:t> </w:t>
      </w:r>
      <w:r>
        <w:rPr>
          <w:rFonts w:ascii="宋体" w:hAnsi="宋体" w:cs="宋体" w:eastAsia="宋体" w:hint="default"/>
          <w:b w:val="0"/>
          <w:bCs w:val="0"/>
        </w:rPr>
        <w:t>无</w:t>
      </w:r>
    </w:p>
    <w:p>
      <w:pPr>
        <w:pStyle w:val="Heading4"/>
        <w:spacing w:line="590" w:lineRule="auto" w:before="116"/>
        <w:ind w:right="5889"/>
        <w:jc w:val="left"/>
        <w:rPr>
          <w:rFonts w:ascii="宋体" w:hAnsi="宋体" w:cs="宋体" w:eastAsia="宋体" w:hint="default"/>
          <w:b w:val="0"/>
          <w:bCs w:val="0"/>
        </w:rPr>
      </w:pPr>
      <w:r>
        <w:rPr/>
        <w:t>（</w:t>
      </w:r>
      <w:r>
        <w:rPr>
          <w:rFonts w:ascii="Times New Roman" w:hAnsi="Times New Roman" w:cs="Times New Roman" w:eastAsia="Times New Roman" w:hint="default"/>
        </w:rPr>
        <w:t>8</w:t>
      </w:r>
      <w:r>
        <w:rPr/>
        <w:t>）与合营企业或联营企业投资相关的或有负债</w:t>
      </w:r>
      <w:r>
        <w:rPr>
          <w:w w:val="99"/>
        </w:rPr>
        <w:t> </w:t>
      </w:r>
      <w:r>
        <w:rPr>
          <w:rFonts w:ascii="宋体" w:hAnsi="宋体" w:cs="宋体" w:eastAsia="宋体" w:hint="default"/>
          <w:b w:val="0"/>
          <w:bCs w:val="0"/>
        </w:rPr>
        <w:t>无</w:t>
      </w:r>
    </w:p>
    <w:p>
      <w:pPr>
        <w:pStyle w:val="Heading3"/>
        <w:spacing w:line="240" w:lineRule="auto" w:before="90"/>
        <w:ind w:right="141"/>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4554"/>
        <w:jc w:val="left"/>
      </w:pPr>
      <w:r>
        <w:rPr/>
        <w:t>在共同经营中的持股比例或享有的份额不同于表决权比例的说明： 无</w:t>
      </w:r>
    </w:p>
    <w:p>
      <w:pPr>
        <w:pStyle w:val="BodyText"/>
        <w:spacing w:line="357" w:lineRule="auto" w:before="27"/>
        <w:ind w:right="5814"/>
        <w:jc w:val="left"/>
      </w:pPr>
      <w:r>
        <w:rPr/>
        <w:t>共同经营为单独主体的，分类为共同经营的依据： 无</w:t>
      </w:r>
    </w:p>
    <w:p>
      <w:pPr>
        <w:spacing w:after="0" w:line="357" w:lineRule="auto"/>
        <w:jc w:val="left"/>
        <w:sectPr>
          <w:pgSz w:w="11910" w:h="16840"/>
          <w:pgMar w:header="880" w:footer="974"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94"/>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5674"/>
        <w:jc w:val="left"/>
      </w:pPr>
      <w:r>
        <w:rPr/>
        <w:t>未纳入合并财务报表范围的结构化主体的相关说明： 无</w:t>
      </w:r>
    </w:p>
    <w:p>
      <w:pPr>
        <w:spacing w:line="240" w:lineRule="auto" w:before="3"/>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94"/>
        <w:jc w:val="left"/>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公司的主要金融工具包括货币资金，银行借款等。这些金融工具的主要目的在于为公司的运营融资。公司具有多种因经</w:t>
      </w:r>
      <w:r>
        <w:rPr/>
        <w:t> 营而直接产生的其他金融资产和负债，如应收账款和应付账款等。</w:t>
      </w:r>
    </w:p>
    <w:p>
      <w:pPr>
        <w:pStyle w:val="BodyText"/>
        <w:spacing w:line="360" w:lineRule="auto" w:before="60"/>
        <w:ind w:right="3874" w:firstLine="360"/>
        <w:jc w:val="left"/>
        <w:rPr>
          <w:rFonts w:ascii="宋体" w:hAnsi="宋体" w:cs="宋体" w:eastAsia="宋体" w:hint="default"/>
        </w:rPr>
      </w:pPr>
      <w:r>
        <w:rPr/>
        <w:t>公司的金融工具导致的主要风险是信用风险、流动性风险及汇率风险。 </w:t>
      </w:r>
      <w:r>
        <w:rPr>
          <w:rFonts w:ascii="宋体" w:hAnsi="宋体" w:cs="宋体" w:eastAsia="宋体" w:hint="default"/>
          <w:b/>
          <w:bCs/>
        </w:rPr>
        <w:t>金融工具分类</w:t>
      </w:r>
      <w:r>
        <w:rPr>
          <w:rFonts w:ascii="宋体" w:hAnsi="宋体" w:cs="宋体" w:eastAsia="宋体" w:hint="default"/>
        </w:rPr>
      </w:r>
    </w:p>
    <w:p>
      <w:pPr>
        <w:pStyle w:val="BodyText"/>
        <w:spacing w:line="240" w:lineRule="auto" w:before="25"/>
        <w:ind w:left="513" w:right="94"/>
        <w:jc w:val="left"/>
      </w:pPr>
      <w:r>
        <w:rPr/>
        <w:t>于资产负债表日，各类金融资产和负债的账面价值如下：</w:t>
      </w:r>
    </w:p>
    <w:p>
      <w:pPr>
        <w:pStyle w:val="BodyText"/>
        <w:spacing w:line="240" w:lineRule="auto" w:before="117"/>
        <w:ind w:left="513" w:right="94"/>
        <w:jc w:val="left"/>
      </w:pPr>
      <w:r>
        <w:rPr>
          <w:rFonts w:ascii="Times New Roman" w:hAnsi="Times New Roman" w:cs="Times New Roman" w:eastAsia="Times New Roman" w:hint="default"/>
        </w:rPr>
        <w:t>2017</w:t>
      </w:r>
      <w:r>
        <w:rPr/>
        <w:t>年</w:t>
      </w:r>
    </w:p>
    <w:p>
      <w:pPr>
        <w:pStyle w:val="BodyText"/>
        <w:spacing w:line="240" w:lineRule="auto" w:before="103"/>
        <w:ind w:left="513" w:right="94"/>
        <w:jc w:val="left"/>
      </w:pPr>
      <w:r>
        <w:rPr/>
        <w:t>金融资产</w:t>
      </w:r>
    </w:p>
    <w:p>
      <w:pPr>
        <w:spacing w:line="240" w:lineRule="auto" w:before="13"/>
        <w:rPr>
          <w:rFonts w:ascii="宋体" w:hAnsi="宋体" w:cs="宋体" w:eastAsia="宋体" w:hint="default"/>
          <w:sz w:val="7"/>
          <w:szCs w:val="7"/>
        </w:rPr>
      </w:pPr>
    </w:p>
    <w:tbl>
      <w:tblPr>
        <w:tblW w:w="0" w:type="auto"/>
        <w:jc w:val="left"/>
        <w:tblInd w:w="590" w:type="dxa"/>
        <w:tblLayout w:type="fixed"/>
        <w:tblCellMar>
          <w:top w:w="0" w:type="dxa"/>
          <w:left w:w="0" w:type="dxa"/>
          <w:bottom w:w="0" w:type="dxa"/>
          <w:right w:w="0" w:type="dxa"/>
        </w:tblCellMar>
        <w:tblLook w:val="01E0"/>
      </w:tblPr>
      <w:tblGrid>
        <w:gridCol w:w="2821"/>
        <w:gridCol w:w="2153"/>
        <w:gridCol w:w="2148"/>
        <w:gridCol w:w="2141"/>
      </w:tblGrid>
      <w:tr>
        <w:trPr>
          <w:trHeight w:val="427" w:hRule="exact"/>
        </w:trPr>
        <w:tc>
          <w:tcPr>
            <w:tcW w:w="2821"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hAnsi="宋体" w:cs="宋体" w:eastAsia="宋体" w:hint="default"/>
                <w:sz w:val="18"/>
                <w:szCs w:val="18"/>
              </w:rPr>
              <w:t>贷款和应收款项</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946,644,902.62</w:t>
            </w:r>
          </w:p>
        </w:tc>
        <w:tc>
          <w:tcPr>
            <w:tcW w:w="2148"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946,644,902.62</w:t>
            </w:r>
          </w:p>
        </w:tc>
      </w:tr>
      <w:tr>
        <w:trPr>
          <w:trHeight w:val="427" w:hRule="exact"/>
        </w:trPr>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16,542,777.00</w:t>
            </w:r>
          </w:p>
        </w:tc>
        <w:tc>
          <w:tcPr>
            <w:tcW w:w="2148"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16,542,777.00</w:t>
            </w:r>
          </w:p>
        </w:tc>
      </w:tr>
      <w:tr>
        <w:trPr>
          <w:trHeight w:val="428" w:hRule="exact"/>
        </w:trPr>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811,563,548.75</w:t>
            </w:r>
          </w:p>
        </w:tc>
        <w:tc>
          <w:tcPr>
            <w:tcW w:w="2148"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811,563,548.75</w:t>
            </w:r>
          </w:p>
        </w:tc>
      </w:tr>
      <w:tr>
        <w:trPr>
          <w:trHeight w:val="427" w:hRule="exact"/>
        </w:trPr>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14,869,394.16</w:t>
            </w:r>
          </w:p>
        </w:tc>
        <w:tc>
          <w:tcPr>
            <w:tcW w:w="2148"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14,869,394.16</w:t>
            </w:r>
          </w:p>
        </w:tc>
      </w:tr>
      <w:tr>
        <w:trPr>
          <w:trHeight w:val="427" w:hRule="exact"/>
        </w:trPr>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53" w:type="dxa"/>
            <w:tcBorders>
              <w:top w:val="single" w:sz="6" w:space="0" w:color="000000"/>
              <w:left w:val="single" w:sz="6" w:space="0" w:color="000000"/>
              <w:bottom w:val="single" w:sz="6" w:space="0" w:color="000000"/>
              <w:right w:val="single" w:sz="6" w:space="0" w:color="000000"/>
            </w:tcBorders>
          </w:tcPr>
          <w:p>
            <w:pP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206,391,334.95</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206,391,334.95</w:t>
            </w:r>
          </w:p>
        </w:tc>
      </w:tr>
      <w:tr>
        <w:trPr>
          <w:trHeight w:val="427" w:hRule="exact"/>
        </w:trPr>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2,240,346.27</w:t>
            </w:r>
          </w:p>
        </w:tc>
        <w:tc>
          <w:tcPr>
            <w:tcW w:w="2148"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2,240,346.27</w:t>
            </w:r>
          </w:p>
        </w:tc>
      </w:tr>
      <w:tr>
        <w:trPr>
          <w:trHeight w:val="427" w:hRule="exact"/>
        </w:trPr>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1,784,360,810.49</w:t>
            </w:r>
          </w:p>
        </w:tc>
        <w:tc>
          <w:tcPr>
            <w:tcW w:w="2148"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1,784,360,810.49</w:t>
            </w:r>
          </w:p>
        </w:tc>
      </w:tr>
      <w:tr>
        <w:trPr>
          <w:trHeight w:val="427" w:hRule="exact"/>
        </w:trPr>
        <w:tc>
          <w:tcPr>
            <w:tcW w:w="2821"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3,576,221,779.29</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206,391,334.95</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3,782,613,114.24</w:t>
            </w:r>
          </w:p>
        </w:tc>
      </w:tr>
    </w:tbl>
    <w:p>
      <w:pPr>
        <w:pStyle w:val="BodyText"/>
        <w:spacing w:line="240" w:lineRule="auto" w:before="51"/>
        <w:ind w:left="513" w:right="94"/>
        <w:jc w:val="left"/>
      </w:pPr>
      <w:r>
        <w:rPr/>
        <w:t>金融负债</w:t>
      </w:r>
    </w:p>
    <w:p>
      <w:pPr>
        <w:spacing w:line="240" w:lineRule="auto" w:before="13"/>
        <w:rPr>
          <w:rFonts w:ascii="宋体" w:hAnsi="宋体" w:cs="宋体" w:eastAsia="宋体" w:hint="default"/>
          <w:sz w:val="7"/>
          <w:szCs w:val="7"/>
        </w:rPr>
      </w:pPr>
    </w:p>
    <w:tbl>
      <w:tblPr>
        <w:tblW w:w="0" w:type="auto"/>
        <w:jc w:val="left"/>
        <w:tblInd w:w="590" w:type="dxa"/>
        <w:tblLayout w:type="fixed"/>
        <w:tblCellMar>
          <w:top w:w="0" w:type="dxa"/>
          <w:left w:w="0" w:type="dxa"/>
          <w:bottom w:w="0" w:type="dxa"/>
          <w:right w:w="0" w:type="dxa"/>
        </w:tblCellMar>
        <w:tblLook w:val="01E0"/>
      </w:tblPr>
      <w:tblGrid>
        <w:gridCol w:w="5031"/>
        <w:gridCol w:w="2138"/>
        <w:gridCol w:w="1995"/>
      </w:tblGrid>
      <w:tr>
        <w:trPr>
          <w:trHeight w:val="427" w:hRule="exact"/>
        </w:trPr>
        <w:tc>
          <w:tcPr>
            <w:tcW w:w="5031" w:type="dxa"/>
            <w:tcBorders>
              <w:top w:val="single" w:sz="6" w:space="0" w:color="000000"/>
              <w:left w:val="single" w:sz="6" w:space="0" w:color="000000"/>
              <w:bottom w:val="single" w:sz="6" w:space="0" w:color="000000"/>
              <w:right w:val="single" w:sz="6" w:space="0" w:color="000000"/>
            </w:tcBorders>
          </w:tcPr>
          <w:p>
            <w:pP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1"/>
              <w:jc w:val="right"/>
              <w:rPr>
                <w:rFonts w:ascii="宋体" w:hAnsi="宋体" w:cs="宋体" w:eastAsia="宋体" w:hint="default"/>
                <w:sz w:val="18"/>
                <w:szCs w:val="18"/>
              </w:rPr>
            </w:pPr>
            <w:r>
              <w:rPr>
                <w:rFonts w:ascii="宋体" w:hAnsi="宋体" w:cs="宋体" w:eastAsia="宋体" w:hint="default"/>
                <w:sz w:val="18"/>
                <w:szCs w:val="18"/>
              </w:rPr>
              <w:t>其他金融负债</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428" w:hRule="exact"/>
        </w:trPr>
        <w:tc>
          <w:tcPr>
            <w:tcW w:w="5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8,000,000.00</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27" w:hRule="exact"/>
        </w:trPr>
        <w:tc>
          <w:tcPr>
            <w:tcW w:w="5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119,658,078.74</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119,658,078.74</w:t>
            </w:r>
          </w:p>
        </w:tc>
      </w:tr>
      <w:tr>
        <w:trPr>
          <w:trHeight w:val="427" w:hRule="exact"/>
        </w:trPr>
        <w:tc>
          <w:tcPr>
            <w:tcW w:w="5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4,676,216.16</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4,676,216.16</w:t>
            </w:r>
          </w:p>
        </w:tc>
      </w:tr>
      <w:tr>
        <w:trPr>
          <w:trHeight w:val="427" w:hRule="exact"/>
        </w:trPr>
        <w:tc>
          <w:tcPr>
            <w:tcW w:w="5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94,649,062.51</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94,649,062.51</w:t>
            </w:r>
          </w:p>
        </w:tc>
      </w:tr>
      <w:tr>
        <w:trPr>
          <w:trHeight w:val="427" w:hRule="exact"/>
        </w:trPr>
        <w:tc>
          <w:tcPr>
            <w:tcW w:w="5031" w:type="dxa"/>
            <w:tcBorders>
              <w:top w:val="single" w:sz="6" w:space="0" w:color="000000"/>
              <w:left w:val="single" w:sz="6" w:space="0" w:color="000000"/>
              <w:bottom w:val="single" w:sz="6" w:space="0" w:color="000000"/>
              <w:right w:val="single" w:sz="6" w:space="0" w:color="000000"/>
            </w:tcBorders>
          </w:tcPr>
          <w:p>
            <w:pP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226,983,357.41</w:t>
            </w:r>
            <w:r>
              <w:rPr>
                <w:rFonts w:ascii="Times New Roman"/>
                <w:sz w:val="18"/>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226,983,357.41</w:t>
            </w:r>
            <w:r>
              <w:rPr>
                <w:rFonts w:ascii="Times New Roman"/>
                <w:sz w:val="18"/>
              </w:rPr>
            </w:r>
          </w:p>
        </w:tc>
      </w:tr>
    </w:tbl>
    <w:p>
      <w:pPr>
        <w:spacing w:line="240" w:lineRule="auto" w:before="4"/>
        <w:rPr>
          <w:rFonts w:ascii="宋体" w:hAnsi="宋体" w:cs="宋体" w:eastAsia="宋体" w:hint="default"/>
          <w:sz w:val="27"/>
          <w:szCs w:val="27"/>
        </w:rPr>
      </w:pPr>
    </w:p>
    <w:p>
      <w:pPr>
        <w:pStyle w:val="BodyText"/>
        <w:spacing w:line="240" w:lineRule="auto" w:before="44"/>
        <w:ind w:left="513" w:right="94"/>
        <w:jc w:val="left"/>
      </w:pPr>
      <w:r>
        <w:rPr>
          <w:rFonts w:ascii="Times New Roman" w:hAnsi="Times New Roman" w:cs="Times New Roman" w:eastAsia="Times New Roman" w:hint="default"/>
        </w:rPr>
        <w:t>2016</w:t>
      </w:r>
      <w:r>
        <w:rPr/>
        <w:t>年</w:t>
      </w:r>
    </w:p>
    <w:p>
      <w:pPr>
        <w:pStyle w:val="BodyText"/>
        <w:spacing w:line="240" w:lineRule="auto" w:before="103"/>
        <w:ind w:left="513" w:right="94"/>
        <w:jc w:val="left"/>
      </w:pPr>
      <w:r>
        <w:rPr/>
        <w:t>金融资产</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tbl>
      <w:tblPr>
        <w:tblW w:w="0" w:type="auto"/>
        <w:jc w:val="left"/>
        <w:tblInd w:w="590" w:type="dxa"/>
        <w:tblLayout w:type="fixed"/>
        <w:tblCellMar>
          <w:top w:w="0" w:type="dxa"/>
          <w:left w:w="0" w:type="dxa"/>
          <w:bottom w:w="0" w:type="dxa"/>
          <w:right w:w="0" w:type="dxa"/>
        </w:tblCellMar>
        <w:tblLook w:val="01E0"/>
      </w:tblPr>
      <w:tblGrid>
        <w:gridCol w:w="2811"/>
        <w:gridCol w:w="2151"/>
        <w:gridCol w:w="2150"/>
        <w:gridCol w:w="2152"/>
      </w:tblGrid>
      <w:tr>
        <w:trPr>
          <w:trHeight w:val="427" w:hRule="exact"/>
        </w:trPr>
        <w:tc>
          <w:tcPr>
            <w:tcW w:w="2811" w:type="dxa"/>
            <w:tcBorders>
              <w:top w:val="single" w:sz="6" w:space="0" w:color="000000"/>
              <w:left w:val="single" w:sz="6" w:space="0" w:color="000000"/>
              <w:bottom w:val="single" w:sz="6" w:space="0" w:color="000000"/>
              <w:right w:val="single" w:sz="6" w:space="0" w:color="000000"/>
            </w:tcBorders>
          </w:tcPr>
          <w:p>
            <w:pP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861"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6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3"/>
              <w:jc w:val="right"/>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right"/>
        <w:rPr>
          <w:rFonts w:ascii="宋体" w:hAnsi="宋体" w:cs="宋体" w:eastAsia="宋体" w:hint="default"/>
          <w:sz w:val="18"/>
          <w:szCs w:val="18"/>
        </w:rPr>
        <w:sectPr>
          <w:pgSz w:w="11910" w:h="16840"/>
          <w:pgMar w:header="880" w:footer="974" w:top="1100" w:bottom="1160" w:left="980" w:right="940"/>
        </w:sectPr>
      </w:pPr>
    </w:p>
    <w:p>
      <w:pPr>
        <w:spacing w:line="240" w:lineRule="auto" w:before="8"/>
        <w:rPr>
          <w:rFonts w:ascii="宋体" w:hAnsi="宋体" w:cs="宋体" w:eastAsia="宋体" w:hint="default"/>
          <w:sz w:val="24"/>
          <w:szCs w:val="24"/>
        </w:rPr>
      </w:pPr>
    </w:p>
    <w:tbl>
      <w:tblPr>
        <w:tblW w:w="0" w:type="auto"/>
        <w:jc w:val="left"/>
        <w:tblInd w:w="590" w:type="dxa"/>
        <w:tblLayout w:type="fixed"/>
        <w:tblCellMar>
          <w:top w:w="0" w:type="dxa"/>
          <w:left w:w="0" w:type="dxa"/>
          <w:bottom w:w="0" w:type="dxa"/>
          <w:right w:w="0" w:type="dxa"/>
        </w:tblCellMar>
        <w:tblLook w:val="01E0"/>
      </w:tblPr>
      <w:tblGrid>
        <w:gridCol w:w="2811"/>
        <w:gridCol w:w="2151"/>
        <w:gridCol w:w="2150"/>
        <w:gridCol w:w="2149"/>
      </w:tblGrid>
      <w:tr>
        <w:trPr>
          <w:trHeight w:val="428" w:hRule="exact"/>
        </w:trPr>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748,643,124.48</w:t>
            </w:r>
          </w:p>
        </w:tc>
        <w:tc>
          <w:tcPr>
            <w:tcW w:w="2150" w:type="dxa"/>
            <w:tcBorders>
              <w:top w:val="single" w:sz="6" w:space="0" w:color="000000"/>
              <w:left w:val="single" w:sz="6" w:space="0" w:color="000000"/>
              <w:bottom w:val="single" w:sz="6" w:space="0" w:color="000000"/>
              <w:right w:val="single" w:sz="6" w:space="0" w:color="000000"/>
            </w:tcBorders>
          </w:tcPr>
          <w:p>
            <w:pP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748,643,124.48</w:t>
            </w:r>
          </w:p>
        </w:tc>
      </w:tr>
      <w:tr>
        <w:trPr>
          <w:trHeight w:val="427" w:hRule="exact"/>
        </w:trPr>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612,286,270.17</w:t>
            </w:r>
          </w:p>
        </w:tc>
        <w:tc>
          <w:tcPr>
            <w:tcW w:w="2150" w:type="dxa"/>
            <w:tcBorders>
              <w:top w:val="single" w:sz="6" w:space="0" w:color="000000"/>
              <w:left w:val="single" w:sz="6" w:space="0" w:color="000000"/>
              <w:bottom w:val="single" w:sz="6" w:space="0" w:color="000000"/>
              <w:right w:val="single" w:sz="6" w:space="0" w:color="000000"/>
            </w:tcBorders>
          </w:tcPr>
          <w:p>
            <w:pP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612,286,270.17</w:t>
            </w:r>
          </w:p>
        </w:tc>
      </w:tr>
      <w:tr>
        <w:trPr>
          <w:trHeight w:val="427" w:hRule="exact"/>
        </w:trPr>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11,766,395.88</w:t>
            </w:r>
          </w:p>
        </w:tc>
        <w:tc>
          <w:tcPr>
            <w:tcW w:w="2150" w:type="dxa"/>
            <w:tcBorders>
              <w:top w:val="single" w:sz="6" w:space="0" w:color="000000"/>
              <w:left w:val="single" w:sz="6" w:space="0" w:color="000000"/>
              <w:bottom w:val="single" w:sz="6" w:space="0" w:color="000000"/>
              <w:right w:val="single" w:sz="6" w:space="0" w:color="000000"/>
            </w:tcBorders>
          </w:tcPr>
          <w:p>
            <w:pP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11,766,395.88</w:t>
            </w:r>
          </w:p>
        </w:tc>
      </w:tr>
      <w:tr>
        <w:trPr>
          <w:trHeight w:val="427" w:hRule="exact"/>
        </w:trPr>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51" w:type="dxa"/>
            <w:tcBorders>
              <w:top w:val="single" w:sz="6" w:space="0" w:color="000000"/>
              <w:left w:val="single" w:sz="6" w:space="0" w:color="000000"/>
              <w:bottom w:val="single" w:sz="6" w:space="0" w:color="000000"/>
              <w:right w:val="single" w:sz="6" w:space="0" w:color="000000"/>
            </w:tcBorders>
          </w:tcPr>
          <w:p>
            <w:pP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86,489,269.00</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86,489,269.00</w:t>
            </w:r>
          </w:p>
        </w:tc>
      </w:tr>
      <w:tr>
        <w:trPr>
          <w:trHeight w:val="427" w:hRule="exact"/>
        </w:trPr>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1,671,305,231.50</w:t>
            </w:r>
          </w:p>
        </w:tc>
        <w:tc>
          <w:tcPr>
            <w:tcW w:w="2150" w:type="dxa"/>
            <w:tcBorders>
              <w:top w:val="single" w:sz="6" w:space="0" w:color="000000"/>
              <w:left w:val="single" w:sz="6" w:space="0" w:color="000000"/>
              <w:bottom w:val="single" w:sz="6" w:space="0" w:color="000000"/>
              <w:right w:val="single" w:sz="6" w:space="0" w:color="000000"/>
            </w:tcBorders>
          </w:tcPr>
          <w:p>
            <w:pP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1,671,305,231.50</w:t>
            </w:r>
          </w:p>
        </w:tc>
      </w:tr>
      <w:tr>
        <w:trPr>
          <w:trHeight w:val="427" w:hRule="exact"/>
        </w:trPr>
        <w:tc>
          <w:tcPr>
            <w:tcW w:w="2811" w:type="dxa"/>
            <w:tcBorders>
              <w:top w:val="single" w:sz="6" w:space="0" w:color="000000"/>
              <w:left w:val="single" w:sz="6" w:space="0" w:color="000000"/>
              <w:bottom w:val="single" w:sz="6" w:space="0" w:color="000000"/>
              <w:right w:val="single" w:sz="6" w:space="0" w:color="000000"/>
            </w:tcBorders>
          </w:tcPr>
          <w:p>
            <w:pP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3,044,001,022.03</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86,489,269.00</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3,130,490,291.03</w:t>
            </w:r>
          </w:p>
        </w:tc>
      </w:tr>
    </w:tbl>
    <w:p>
      <w:pPr>
        <w:spacing w:line="240" w:lineRule="auto" w:before="4"/>
        <w:rPr>
          <w:rFonts w:ascii="宋体" w:hAnsi="宋体" w:cs="宋体" w:eastAsia="宋体" w:hint="default"/>
          <w:sz w:val="27"/>
          <w:szCs w:val="27"/>
        </w:rPr>
      </w:pPr>
    </w:p>
    <w:p>
      <w:pPr>
        <w:pStyle w:val="BodyText"/>
        <w:spacing w:line="240" w:lineRule="auto" w:before="44"/>
        <w:ind w:left="515" w:right="94"/>
        <w:jc w:val="left"/>
      </w:pPr>
      <w:r>
        <w:rPr/>
        <w:t>金融负债</w:t>
      </w:r>
    </w:p>
    <w:p>
      <w:pPr>
        <w:spacing w:line="240" w:lineRule="auto" w:before="2"/>
        <w:rPr>
          <w:rFonts w:ascii="宋体" w:hAnsi="宋体" w:cs="宋体" w:eastAsia="宋体" w:hint="default"/>
          <w:sz w:val="8"/>
          <w:szCs w:val="8"/>
        </w:rPr>
      </w:pPr>
    </w:p>
    <w:tbl>
      <w:tblPr>
        <w:tblW w:w="0" w:type="auto"/>
        <w:jc w:val="left"/>
        <w:tblInd w:w="590" w:type="dxa"/>
        <w:tblLayout w:type="fixed"/>
        <w:tblCellMar>
          <w:top w:w="0" w:type="dxa"/>
          <w:left w:w="0" w:type="dxa"/>
          <w:bottom w:w="0" w:type="dxa"/>
          <w:right w:w="0" w:type="dxa"/>
        </w:tblCellMar>
        <w:tblLook w:val="01E0"/>
      </w:tblPr>
      <w:tblGrid>
        <w:gridCol w:w="5034"/>
        <w:gridCol w:w="2136"/>
        <w:gridCol w:w="1995"/>
      </w:tblGrid>
      <w:tr>
        <w:trPr>
          <w:trHeight w:val="428" w:hRule="exact"/>
        </w:trPr>
        <w:tc>
          <w:tcPr>
            <w:tcW w:w="5034"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hAnsi="宋体" w:cs="宋体" w:eastAsia="宋体" w:hint="default"/>
                <w:sz w:val="18"/>
                <w:szCs w:val="18"/>
              </w:rPr>
              <w:t>其他金融负债</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5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
              <w:jc w:val="right"/>
              <w:rPr>
                <w:rFonts w:ascii="Times New Roman" w:hAnsi="Times New Roman" w:cs="Times New Roman" w:eastAsia="Times New Roman" w:hint="default"/>
                <w:sz w:val="18"/>
                <w:szCs w:val="18"/>
              </w:rPr>
            </w:pPr>
            <w:r>
              <w:rPr>
                <w:rFonts w:ascii="Times New Roman"/>
                <w:spacing w:val="-1"/>
                <w:sz w:val="18"/>
              </w:rPr>
              <w:t>3,000,000.00</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25" w:hRule="exact"/>
        </w:trPr>
        <w:tc>
          <w:tcPr>
            <w:tcW w:w="5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
              <w:jc w:val="right"/>
              <w:rPr>
                <w:rFonts w:ascii="Times New Roman" w:hAnsi="Times New Roman" w:cs="Times New Roman" w:eastAsia="Times New Roman" w:hint="default"/>
                <w:sz w:val="18"/>
                <w:szCs w:val="18"/>
              </w:rPr>
            </w:pPr>
            <w:r>
              <w:rPr>
                <w:rFonts w:ascii="Times New Roman"/>
                <w:spacing w:val="-1"/>
                <w:sz w:val="18"/>
              </w:rPr>
              <w:t>57,924,494.53</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
              <w:jc w:val="right"/>
              <w:rPr>
                <w:rFonts w:ascii="Times New Roman" w:hAnsi="Times New Roman" w:cs="Times New Roman" w:eastAsia="Times New Roman" w:hint="default"/>
                <w:sz w:val="18"/>
                <w:szCs w:val="18"/>
              </w:rPr>
            </w:pPr>
            <w:r>
              <w:rPr>
                <w:rFonts w:ascii="Times New Roman"/>
                <w:spacing w:val="-1"/>
                <w:sz w:val="18"/>
              </w:rPr>
              <w:t>57,924,494.53</w:t>
            </w:r>
          </w:p>
        </w:tc>
      </w:tr>
      <w:tr>
        <w:trPr>
          <w:trHeight w:val="427" w:hRule="exact"/>
        </w:trPr>
        <w:tc>
          <w:tcPr>
            <w:tcW w:w="5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1,900,261.91</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1,900,261.91</w:t>
            </w:r>
          </w:p>
        </w:tc>
      </w:tr>
      <w:tr>
        <w:trPr>
          <w:trHeight w:val="427" w:hRule="exact"/>
        </w:trPr>
        <w:tc>
          <w:tcPr>
            <w:tcW w:w="5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73,774,525.00</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73,774,525.00</w:t>
            </w:r>
          </w:p>
        </w:tc>
      </w:tr>
      <w:tr>
        <w:trPr>
          <w:trHeight w:val="427" w:hRule="exact"/>
        </w:trPr>
        <w:tc>
          <w:tcPr>
            <w:tcW w:w="5034"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136,599,281.44</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136,599,281.44</w:t>
            </w:r>
          </w:p>
        </w:tc>
      </w:tr>
    </w:tbl>
    <w:p>
      <w:pPr>
        <w:spacing w:line="240" w:lineRule="auto" w:before="6"/>
        <w:rPr>
          <w:rFonts w:ascii="宋体" w:hAnsi="宋体" w:cs="宋体" w:eastAsia="宋体" w:hint="default"/>
          <w:sz w:val="27"/>
          <w:szCs w:val="27"/>
        </w:rPr>
      </w:pPr>
    </w:p>
    <w:p>
      <w:pPr>
        <w:pStyle w:val="Heading4"/>
        <w:spacing w:line="240" w:lineRule="auto"/>
        <w:ind w:right="94"/>
        <w:jc w:val="left"/>
        <w:rPr>
          <w:b w:val="0"/>
          <w:bCs w:val="0"/>
        </w:rPr>
      </w:pPr>
      <w:r>
        <w:rPr/>
        <w:t>信用风险</w:t>
      </w:r>
      <w:r>
        <w:rPr>
          <w:b w:val="0"/>
          <w:bCs w:val="0"/>
        </w:rPr>
      </w:r>
    </w:p>
    <w:p>
      <w:pPr>
        <w:pStyle w:val="BodyText"/>
        <w:spacing w:line="360" w:lineRule="auto" w:before="115"/>
        <w:ind w:left="513" w:right="94"/>
        <w:jc w:val="left"/>
      </w:pPr>
      <w:r>
        <w:rPr/>
        <w:t>信用风险，是指金融工具的一方不能履行义务，造成另一方发生财务损失的风险。 </w:t>
      </w:r>
      <w:r>
        <w:rPr>
          <w:spacing w:val="-2"/>
        </w:rPr>
        <w:t>公司仅与经认可的、信誉良好的第三方进行交易。按照公司的政策，需对所有要求采用信用方式进行交易的客户进行信</w:t>
      </w:r>
    </w:p>
    <w:p>
      <w:pPr>
        <w:pStyle w:val="BodyText"/>
        <w:spacing w:line="222" w:lineRule="exact"/>
        <w:ind w:right="0"/>
        <w:jc w:val="left"/>
      </w:pPr>
      <w:r>
        <w:rPr/>
        <w:t>用审核。另外，公司对应收账款余额进行持续监控，以确保公司不致面临重大坏账风险。对于未采用相关经营单位的记账本</w:t>
      </w:r>
    </w:p>
    <w:p>
      <w:pPr>
        <w:pStyle w:val="BodyText"/>
        <w:spacing w:line="360" w:lineRule="auto" w:before="76"/>
        <w:ind w:left="513" w:right="94" w:hanging="361"/>
        <w:jc w:val="left"/>
      </w:pPr>
      <w:r>
        <w:rPr/>
        <w:t>位币结算的交易，除非公司信用控制部门特别批准，否则公司不提供信用交易条件。 </w:t>
      </w:r>
      <w:r>
        <w:rPr>
          <w:spacing w:val="-2"/>
        </w:rPr>
        <w:t>公司其他金融资产包括货币资金、应收账款、其他应收款、其他流动资产等，这些金融资产的信用风险源自交易对手违</w:t>
      </w:r>
    </w:p>
    <w:p>
      <w:pPr>
        <w:pStyle w:val="BodyText"/>
        <w:spacing w:line="222" w:lineRule="exact"/>
        <w:ind w:right="94"/>
        <w:jc w:val="left"/>
      </w:pPr>
      <w:r>
        <w:rPr/>
        <w:t>约，最大风险敞口等于这些工具的账面金额。</w:t>
      </w:r>
    </w:p>
    <w:p>
      <w:pPr>
        <w:pStyle w:val="BodyText"/>
        <w:spacing w:line="316" w:lineRule="auto" w:before="115"/>
        <w:ind w:right="94" w:firstLine="360"/>
        <w:jc w:val="left"/>
      </w:pPr>
      <w:r>
        <w:rPr>
          <w:spacing w:val="-2"/>
        </w:rPr>
        <w:t>由于公司仅与经认可的且信誉良好的第三方进行交易，所以无需担保物。信用风险集中按照客户、地理区域和行业进行</w:t>
      </w:r>
      <w:r>
        <w:rPr/>
        <w:t> 管理。公司对应收账款余额未持有任何担保物或其他信用增级。</w:t>
      </w:r>
    </w:p>
    <w:p>
      <w:pPr>
        <w:pStyle w:val="BodyText"/>
        <w:spacing w:line="240" w:lineRule="auto" w:before="59"/>
        <w:ind w:left="513" w:right="94"/>
        <w:jc w:val="left"/>
      </w:pPr>
      <w:r>
        <w:rPr/>
        <w:t>于</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日，认为没有发生减值的金融资产的期限分析如下：</w:t>
      </w:r>
    </w:p>
    <w:p>
      <w:pPr>
        <w:pStyle w:val="BodyText"/>
        <w:spacing w:line="240" w:lineRule="auto" w:before="103"/>
        <w:ind w:left="513" w:right="94"/>
        <w:jc w:val="left"/>
      </w:pPr>
      <w:r>
        <w:rPr>
          <w:rFonts w:ascii="Times New Roman" w:hAnsi="Times New Roman" w:cs="Times New Roman" w:eastAsia="Times New Roman" w:hint="default"/>
        </w:rPr>
        <w:t>2017</w:t>
      </w:r>
      <w:r>
        <w:rPr/>
        <w:t>年</w:t>
      </w:r>
    </w:p>
    <w:p>
      <w:pPr>
        <w:spacing w:line="240" w:lineRule="auto" w:before="13"/>
        <w:rPr>
          <w:rFonts w:ascii="宋体" w:hAnsi="宋体" w:cs="宋体" w:eastAsia="宋体" w:hint="default"/>
          <w:sz w:val="6"/>
          <w:szCs w:val="6"/>
        </w:rPr>
      </w:pPr>
    </w:p>
    <w:tbl>
      <w:tblPr>
        <w:tblW w:w="0" w:type="auto"/>
        <w:jc w:val="left"/>
        <w:tblInd w:w="590" w:type="dxa"/>
        <w:tblLayout w:type="fixed"/>
        <w:tblCellMar>
          <w:top w:w="0" w:type="dxa"/>
          <w:left w:w="0" w:type="dxa"/>
          <w:bottom w:w="0" w:type="dxa"/>
          <w:right w:w="0" w:type="dxa"/>
        </w:tblCellMar>
        <w:tblLook w:val="01E0"/>
      </w:tblPr>
      <w:tblGrid>
        <w:gridCol w:w="1735"/>
        <w:gridCol w:w="1841"/>
        <w:gridCol w:w="1844"/>
        <w:gridCol w:w="1702"/>
        <w:gridCol w:w="1561"/>
      </w:tblGrid>
      <w:tr>
        <w:trPr>
          <w:trHeight w:val="463" w:hRule="exact"/>
        </w:trPr>
        <w:tc>
          <w:tcPr>
            <w:tcW w:w="1735"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宋体" w:hAnsi="宋体" w:cs="宋体" w:eastAsia="宋体" w:hint="default"/>
                <w:sz w:val="18"/>
                <w:szCs w:val="18"/>
              </w:rPr>
            </w:pPr>
            <w:r>
              <w:rPr>
                <w:rFonts w:ascii="宋体" w:hAnsi="宋体" w:cs="宋体" w:eastAsia="宋体" w:hint="default"/>
                <w:sz w:val="18"/>
                <w:szCs w:val="18"/>
              </w:rPr>
              <w:t>未逾期</w:t>
            </w:r>
          </w:p>
        </w:tc>
        <w:tc>
          <w:tcPr>
            <w:tcW w:w="3262" w:type="dxa"/>
            <w:gridSpan w:val="2"/>
            <w:tcBorders>
              <w:top w:val="single" w:sz="6" w:space="0" w:color="000000"/>
              <w:left w:val="single" w:sz="6" w:space="0" w:color="000000"/>
              <w:bottom w:val="single" w:sz="32" w:space="0" w:color="000000"/>
              <w:right w:val="single" w:sz="6"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逾期</w:t>
            </w:r>
          </w:p>
        </w:tc>
      </w:tr>
      <w:tr>
        <w:trPr>
          <w:trHeight w:val="427" w:hRule="exact"/>
        </w:trPr>
        <w:tc>
          <w:tcPr>
            <w:tcW w:w="1735"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hAnsi="宋体" w:cs="宋体" w:eastAsia="宋体" w:hint="default"/>
                <w:sz w:val="18"/>
                <w:szCs w:val="18"/>
              </w:rPr>
              <w:t>未减值</w:t>
            </w:r>
          </w:p>
        </w:tc>
        <w:tc>
          <w:tcPr>
            <w:tcW w:w="1702" w:type="dxa"/>
            <w:tcBorders>
              <w:top w:val="single" w:sz="32"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61" w:type="dxa"/>
            <w:tcBorders>
              <w:top w:val="single" w:sz="32"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r>
      <w:tr>
        <w:trPr>
          <w:trHeight w:val="427"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946,644,902.62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946,644,902.62</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16,542,777.00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16,542,777.00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811,563,548.75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666,450,203.21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99,446,224.48</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45,667,121.06</w:t>
            </w:r>
          </w:p>
        </w:tc>
      </w:tr>
      <w:tr>
        <w:trPr>
          <w:trHeight w:val="427"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206,391,334.95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206,391,334.95</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2,240,346.27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2,240,346.27</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14,869,394.16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13,850,991.84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828,856.73</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189,545.59</w:t>
            </w:r>
          </w:p>
        </w:tc>
      </w:tr>
      <w:tr>
        <w:trPr>
          <w:trHeight w:val="430"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1,784,360,810.49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1,784,360,810.49</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0" w:footer="974" w:top="1100" w:bottom="1160" w:left="980" w:right="940"/>
        </w:sectPr>
      </w:pPr>
    </w:p>
    <w:p>
      <w:pPr>
        <w:spacing w:line="240" w:lineRule="auto" w:before="8"/>
        <w:rPr>
          <w:rFonts w:ascii="宋体" w:hAnsi="宋体" w:cs="宋体" w:eastAsia="宋体" w:hint="default"/>
          <w:sz w:val="24"/>
          <w:szCs w:val="24"/>
        </w:rPr>
      </w:pPr>
    </w:p>
    <w:tbl>
      <w:tblPr>
        <w:tblW w:w="0" w:type="auto"/>
        <w:jc w:val="left"/>
        <w:tblInd w:w="590" w:type="dxa"/>
        <w:tblLayout w:type="fixed"/>
        <w:tblCellMar>
          <w:top w:w="0" w:type="dxa"/>
          <w:left w:w="0" w:type="dxa"/>
          <w:bottom w:w="0" w:type="dxa"/>
          <w:right w:w="0" w:type="dxa"/>
        </w:tblCellMar>
        <w:tblLook w:val="01E0"/>
      </w:tblPr>
      <w:tblGrid>
        <w:gridCol w:w="1735"/>
        <w:gridCol w:w="1841"/>
        <w:gridCol w:w="1844"/>
        <w:gridCol w:w="1702"/>
        <w:gridCol w:w="1564"/>
      </w:tblGrid>
      <w:tr>
        <w:trPr>
          <w:trHeight w:val="428" w:hRule="exact"/>
        </w:trPr>
        <w:tc>
          <w:tcPr>
            <w:tcW w:w="1735"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66" w:right="0"/>
              <w:jc w:val="left"/>
              <w:rPr>
                <w:rFonts w:ascii="Times New Roman" w:hAnsi="Times New Roman" w:cs="Times New Roman" w:eastAsia="Times New Roman" w:hint="default"/>
                <w:sz w:val="18"/>
                <w:szCs w:val="18"/>
              </w:rPr>
            </w:pPr>
            <w:r>
              <w:rPr>
                <w:rFonts w:ascii="Times New Roman"/>
                <w:sz w:val="18"/>
              </w:rPr>
              <w:t>3,782,613,114.24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68" w:right="0"/>
              <w:jc w:val="left"/>
              <w:rPr>
                <w:rFonts w:ascii="Times New Roman" w:hAnsi="Times New Roman" w:cs="Times New Roman" w:eastAsia="Times New Roman" w:hint="default"/>
                <w:sz w:val="18"/>
                <w:szCs w:val="18"/>
              </w:rPr>
            </w:pPr>
            <w:r>
              <w:rPr>
                <w:rFonts w:ascii="Times New Roman"/>
                <w:sz w:val="18"/>
              </w:rPr>
              <w:t>3,636,481,366.38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59" w:right="0"/>
              <w:jc w:val="left"/>
              <w:rPr>
                <w:rFonts w:ascii="Times New Roman" w:hAnsi="Times New Roman" w:cs="Times New Roman" w:eastAsia="Times New Roman" w:hint="default"/>
                <w:sz w:val="18"/>
                <w:szCs w:val="18"/>
              </w:rPr>
            </w:pPr>
            <w:r>
              <w:rPr>
                <w:rFonts w:ascii="Times New Roman"/>
                <w:sz w:val="18"/>
              </w:rPr>
              <w:t>100,275,081.21</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09" w:right="0"/>
              <w:jc w:val="left"/>
              <w:rPr>
                <w:rFonts w:ascii="Times New Roman" w:hAnsi="Times New Roman" w:cs="Times New Roman" w:eastAsia="Times New Roman" w:hint="default"/>
                <w:sz w:val="18"/>
                <w:szCs w:val="18"/>
              </w:rPr>
            </w:pPr>
            <w:r>
              <w:rPr>
                <w:rFonts w:ascii="Times New Roman"/>
                <w:sz w:val="18"/>
              </w:rPr>
              <w:t>45,856,666.65</w:t>
            </w:r>
          </w:p>
        </w:tc>
      </w:tr>
    </w:tbl>
    <w:p>
      <w:pPr>
        <w:spacing w:line="240" w:lineRule="auto" w:before="4"/>
        <w:rPr>
          <w:rFonts w:ascii="宋体" w:hAnsi="宋体" w:cs="宋体" w:eastAsia="宋体" w:hint="default"/>
          <w:sz w:val="27"/>
          <w:szCs w:val="27"/>
        </w:rPr>
      </w:pPr>
    </w:p>
    <w:p>
      <w:pPr>
        <w:pStyle w:val="BodyText"/>
        <w:spacing w:line="240" w:lineRule="auto" w:before="44"/>
        <w:ind w:left="1005" w:right="141"/>
        <w:jc w:val="left"/>
      </w:pPr>
      <w:r>
        <w:rPr>
          <w:rFonts w:ascii="Times New Roman" w:hAnsi="Times New Roman" w:cs="Times New Roman" w:eastAsia="Times New Roman" w:hint="default"/>
        </w:rPr>
        <w:t>2016</w:t>
      </w:r>
      <w:r>
        <w:rPr/>
        <w:t>年</w:t>
      </w:r>
    </w:p>
    <w:p>
      <w:pPr>
        <w:spacing w:line="240" w:lineRule="auto" w:before="1"/>
        <w:rPr>
          <w:rFonts w:ascii="宋体" w:hAnsi="宋体" w:cs="宋体" w:eastAsia="宋体" w:hint="default"/>
          <w:sz w:val="7"/>
          <w:szCs w:val="7"/>
        </w:rPr>
      </w:pPr>
    </w:p>
    <w:tbl>
      <w:tblPr>
        <w:tblW w:w="0" w:type="auto"/>
        <w:jc w:val="left"/>
        <w:tblInd w:w="590" w:type="dxa"/>
        <w:tblLayout w:type="fixed"/>
        <w:tblCellMar>
          <w:top w:w="0" w:type="dxa"/>
          <w:left w:w="0" w:type="dxa"/>
          <w:bottom w:w="0" w:type="dxa"/>
          <w:right w:w="0" w:type="dxa"/>
        </w:tblCellMar>
        <w:tblLook w:val="01E0"/>
      </w:tblPr>
      <w:tblGrid>
        <w:gridCol w:w="1735"/>
        <w:gridCol w:w="1841"/>
        <w:gridCol w:w="1844"/>
        <w:gridCol w:w="1798"/>
        <w:gridCol w:w="1465"/>
      </w:tblGrid>
      <w:tr>
        <w:trPr>
          <w:trHeight w:val="463" w:hRule="exact"/>
        </w:trPr>
        <w:tc>
          <w:tcPr>
            <w:tcW w:w="1735"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宋体" w:hAnsi="宋体" w:cs="宋体" w:eastAsia="宋体" w:hint="default"/>
                <w:sz w:val="18"/>
                <w:szCs w:val="18"/>
              </w:rPr>
            </w:pPr>
            <w:r>
              <w:rPr>
                <w:rFonts w:ascii="宋体" w:hAnsi="宋体" w:cs="宋体" w:eastAsia="宋体" w:hint="default"/>
                <w:sz w:val="18"/>
                <w:szCs w:val="18"/>
              </w:rPr>
              <w:t>未逾期</w:t>
            </w:r>
          </w:p>
        </w:tc>
        <w:tc>
          <w:tcPr>
            <w:tcW w:w="3262" w:type="dxa"/>
            <w:gridSpan w:val="2"/>
            <w:tcBorders>
              <w:top w:val="single" w:sz="6" w:space="0" w:color="000000"/>
              <w:left w:val="single" w:sz="6" w:space="0" w:color="000000"/>
              <w:bottom w:val="single" w:sz="33" w:space="0" w:color="000000"/>
              <w:right w:val="single" w:sz="6"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逾期</w:t>
            </w:r>
          </w:p>
        </w:tc>
      </w:tr>
      <w:tr>
        <w:trPr>
          <w:trHeight w:val="427" w:hRule="exact"/>
        </w:trPr>
        <w:tc>
          <w:tcPr>
            <w:tcW w:w="1735"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hAnsi="宋体" w:cs="宋体" w:eastAsia="宋体" w:hint="default"/>
                <w:sz w:val="18"/>
                <w:szCs w:val="18"/>
              </w:rPr>
              <w:t>未减值</w:t>
            </w:r>
          </w:p>
        </w:tc>
        <w:tc>
          <w:tcPr>
            <w:tcW w:w="1798" w:type="dxa"/>
            <w:tcBorders>
              <w:top w:val="single" w:sz="33" w:space="0" w:color="000000"/>
              <w:left w:val="single" w:sz="6" w:space="0" w:color="000000"/>
              <w:bottom w:val="single" w:sz="6" w:space="0" w:color="000000"/>
              <w:right w:val="single" w:sz="6" w:space="0" w:color="000000"/>
            </w:tcBorders>
          </w:tcPr>
          <w:p>
            <w:pPr>
              <w:pStyle w:val="TableParagraph"/>
              <w:spacing w:line="240" w:lineRule="auto" w:before="2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65" w:type="dxa"/>
            <w:tcBorders>
              <w:top w:val="single" w:sz="33" w:space="0" w:color="000000"/>
              <w:left w:val="single" w:sz="6" w:space="0" w:color="000000"/>
              <w:bottom w:val="single" w:sz="6" w:space="0" w:color="000000"/>
              <w:right w:val="single" w:sz="6" w:space="0" w:color="000000"/>
            </w:tcBorders>
          </w:tcPr>
          <w:p>
            <w:pPr>
              <w:pStyle w:val="TableParagraph"/>
              <w:spacing w:line="240" w:lineRule="auto" w:before="2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r>
      <w:tr>
        <w:trPr>
          <w:trHeight w:val="425"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748,643,124.48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748,643,124.48</w:t>
            </w:r>
          </w:p>
        </w:tc>
        <w:tc>
          <w:tcPr>
            <w:tcW w:w="179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612,286,270.17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485,792,100.31</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85,874,527.04</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40,619,642.82</w:t>
            </w:r>
          </w:p>
        </w:tc>
      </w:tr>
      <w:tr>
        <w:trPr>
          <w:trHeight w:val="427"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86,489,269.00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86,489,269.00</w:t>
            </w:r>
          </w:p>
        </w:tc>
        <w:tc>
          <w:tcPr>
            <w:tcW w:w="179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3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11,766,395.88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10,220,993.67</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1,545,402.21</w:t>
            </w:r>
          </w:p>
        </w:tc>
        <w:tc>
          <w:tcPr>
            <w:tcW w:w="146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1,671,305,231.50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1,671,305,231.50</w:t>
            </w:r>
          </w:p>
        </w:tc>
        <w:tc>
          <w:tcPr>
            <w:tcW w:w="179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735"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3,130,490,291.03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3,002,450,718.96</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87,419,929.25</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40,619,642.82</w:t>
            </w:r>
          </w:p>
        </w:tc>
      </w:tr>
    </w:tbl>
    <w:p>
      <w:pPr>
        <w:spacing w:line="240" w:lineRule="auto" w:before="6"/>
        <w:rPr>
          <w:rFonts w:ascii="宋体" w:hAnsi="宋体" w:cs="宋体" w:eastAsia="宋体" w:hint="default"/>
          <w:sz w:val="27"/>
          <w:szCs w:val="27"/>
        </w:rPr>
      </w:pPr>
    </w:p>
    <w:p>
      <w:pPr>
        <w:pStyle w:val="BodyText"/>
        <w:spacing w:line="338" w:lineRule="auto" w:before="44"/>
        <w:ind w:left="513" w:right="141"/>
        <w:jc w:val="left"/>
      </w:pP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日，尚未逾期和发生减值的应收账款及其他应收款与大量的近期无违约记录的分散化的客户有关。 </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日，已逾期但未减值的应收账款及其他应收款与大量的和公司有良好交易记录的独立客户有关。根据以</w:t>
      </w:r>
    </w:p>
    <w:p>
      <w:pPr>
        <w:pStyle w:val="BodyText"/>
        <w:spacing w:line="217" w:lineRule="exact"/>
        <w:ind w:right="141"/>
        <w:jc w:val="left"/>
      </w:pPr>
      <w:r>
        <w:rPr/>
        <w:t>往经验，由于信用质量未发生重大变化且仍被认为可全额收回，公司认为无需对其计提减值准备。</w:t>
      </w:r>
    </w:p>
    <w:p>
      <w:pPr>
        <w:pStyle w:val="Heading4"/>
        <w:spacing w:line="240" w:lineRule="auto" w:before="117"/>
        <w:ind w:right="141"/>
        <w:jc w:val="left"/>
        <w:rPr>
          <w:b w:val="0"/>
          <w:bCs w:val="0"/>
        </w:rPr>
      </w:pPr>
      <w:r>
        <w:rPr/>
        <w:t>流动性风险</w:t>
      </w:r>
      <w:r>
        <w:rPr>
          <w:b w:val="0"/>
          <w:bCs w:val="0"/>
        </w:rPr>
      </w:r>
    </w:p>
    <w:p>
      <w:pPr>
        <w:pStyle w:val="BodyText"/>
        <w:spacing w:line="319" w:lineRule="auto" w:before="117"/>
        <w:ind w:right="141" w:firstLine="360"/>
        <w:jc w:val="left"/>
      </w:pPr>
      <w:r>
        <w:rPr>
          <w:spacing w:val="-2"/>
        </w:rPr>
        <w:t>公司采用循环流动性计划工具管理资金短缺风险。该工具既考虑其金融工具的到期日，也考虑公司运营产生的预计现金</w:t>
      </w:r>
      <w:r>
        <w:rPr/>
        <w:t> 流量。</w:t>
      </w:r>
    </w:p>
    <w:p>
      <w:pPr>
        <w:pStyle w:val="BodyText"/>
        <w:spacing w:line="240" w:lineRule="auto" w:before="55"/>
        <w:ind w:left="513" w:right="141"/>
        <w:jc w:val="left"/>
      </w:pPr>
      <w:r>
        <w:rPr/>
        <w:t>下表概括了金融负债按未折现的合同现金流量所作的到期期限分析：</w:t>
      </w:r>
    </w:p>
    <w:p>
      <w:pPr>
        <w:pStyle w:val="BodyText"/>
        <w:spacing w:line="240" w:lineRule="auto" w:before="117"/>
        <w:ind w:left="513" w:right="141"/>
        <w:jc w:val="left"/>
      </w:pPr>
      <w:r>
        <w:rPr>
          <w:rFonts w:ascii="Times New Roman" w:hAnsi="Times New Roman" w:cs="Times New Roman" w:eastAsia="Times New Roman" w:hint="default"/>
        </w:rPr>
        <w:t>2017</w:t>
      </w:r>
      <w:r>
        <w:rPr/>
        <w:t>年</w:t>
      </w:r>
    </w:p>
    <w:p>
      <w:pPr>
        <w:spacing w:line="240" w:lineRule="auto" w:before="1"/>
        <w:rPr>
          <w:rFonts w:ascii="宋体" w:hAnsi="宋体" w:cs="宋体" w:eastAsia="宋体" w:hint="default"/>
          <w:sz w:val="7"/>
          <w:szCs w:val="7"/>
        </w:rPr>
      </w:pPr>
    </w:p>
    <w:tbl>
      <w:tblPr>
        <w:tblW w:w="0" w:type="auto"/>
        <w:jc w:val="left"/>
        <w:tblInd w:w="590" w:type="dxa"/>
        <w:tblLayout w:type="fixed"/>
        <w:tblCellMar>
          <w:top w:w="0" w:type="dxa"/>
          <w:left w:w="0" w:type="dxa"/>
          <w:bottom w:w="0" w:type="dxa"/>
          <w:right w:w="0" w:type="dxa"/>
        </w:tblCellMar>
        <w:tblLook w:val="01E0"/>
      </w:tblPr>
      <w:tblGrid>
        <w:gridCol w:w="2028"/>
        <w:gridCol w:w="1681"/>
        <w:gridCol w:w="1680"/>
        <w:gridCol w:w="1678"/>
        <w:gridCol w:w="1616"/>
      </w:tblGrid>
      <w:tr>
        <w:trPr>
          <w:trHeight w:val="427" w:hRule="exact"/>
        </w:trPr>
        <w:tc>
          <w:tcPr>
            <w:tcW w:w="2028" w:type="dxa"/>
            <w:tcBorders>
              <w:top w:val="single" w:sz="6" w:space="0" w:color="000000"/>
              <w:left w:val="single" w:sz="6" w:space="0" w:color="000000"/>
              <w:bottom w:val="single" w:sz="6" w:space="0" w:color="000000"/>
              <w:right w:val="single" w:sz="6" w:space="0" w:color="000000"/>
            </w:tcBorders>
          </w:tcPr>
          <w:p>
            <w:pP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合计</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即期</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58"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425" w:hRule="exact"/>
        </w:trPr>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8,236,890.27</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8,236,890.27</w:t>
            </w:r>
          </w:p>
        </w:tc>
        <w:tc>
          <w:tcPr>
            <w:tcW w:w="161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105,516,181.22</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105,516,181.22</w:t>
            </w:r>
          </w:p>
        </w:tc>
        <w:tc>
          <w:tcPr>
            <w:tcW w:w="161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4,676,216.16</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4,676,216.16</w:t>
            </w:r>
          </w:p>
        </w:tc>
        <w:tc>
          <w:tcPr>
            <w:tcW w:w="161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94,649,062.51</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94,649,062.51</w:t>
            </w:r>
          </w:p>
        </w:tc>
        <w:tc>
          <w:tcPr>
            <w:tcW w:w="1616"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2028" w:type="dxa"/>
            <w:tcBorders>
              <w:top w:val="single" w:sz="6" w:space="0" w:color="000000"/>
              <w:left w:val="single" w:sz="6" w:space="0" w:color="000000"/>
              <w:bottom w:val="single" w:sz="6" w:space="0" w:color="000000"/>
              <w:right w:val="single" w:sz="6" w:space="0" w:color="000000"/>
            </w:tcBorders>
          </w:tcPr>
          <w:p>
            <w:pP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213,078,350.16</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213,078,350.16</w:t>
            </w:r>
          </w:p>
        </w:tc>
        <w:tc>
          <w:tcPr>
            <w:tcW w:w="161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27"/>
          <w:szCs w:val="27"/>
        </w:rPr>
      </w:pPr>
    </w:p>
    <w:p>
      <w:pPr>
        <w:pStyle w:val="BodyText"/>
        <w:spacing w:line="240" w:lineRule="auto" w:before="44"/>
        <w:ind w:left="1005" w:right="141"/>
        <w:jc w:val="left"/>
      </w:pPr>
      <w:r>
        <w:rPr>
          <w:rFonts w:ascii="Times New Roman" w:hAnsi="Times New Roman" w:cs="Times New Roman" w:eastAsia="Times New Roman" w:hint="default"/>
        </w:rPr>
        <w:t>2016</w:t>
      </w:r>
      <w:r>
        <w:rPr/>
        <w:t>年</w:t>
      </w:r>
    </w:p>
    <w:p>
      <w:pPr>
        <w:spacing w:line="240" w:lineRule="auto" w:before="12"/>
        <w:rPr>
          <w:rFonts w:ascii="宋体" w:hAnsi="宋体" w:cs="宋体" w:eastAsia="宋体" w:hint="default"/>
          <w:sz w:val="6"/>
          <w:szCs w:val="6"/>
        </w:rPr>
      </w:pPr>
    </w:p>
    <w:tbl>
      <w:tblPr>
        <w:tblW w:w="0" w:type="auto"/>
        <w:jc w:val="left"/>
        <w:tblInd w:w="590" w:type="dxa"/>
        <w:tblLayout w:type="fixed"/>
        <w:tblCellMar>
          <w:top w:w="0" w:type="dxa"/>
          <w:left w:w="0" w:type="dxa"/>
          <w:bottom w:w="0" w:type="dxa"/>
          <w:right w:w="0" w:type="dxa"/>
        </w:tblCellMar>
        <w:tblLook w:val="01E0"/>
      </w:tblPr>
      <w:tblGrid>
        <w:gridCol w:w="2052"/>
        <w:gridCol w:w="1702"/>
        <w:gridCol w:w="1632"/>
        <w:gridCol w:w="1702"/>
        <w:gridCol w:w="1594"/>
      </w:tblGrid>
      <w:tr>
        <w:trPr>
          <w:trHeight w:val="427" w:hRule="exact"/>
        </w:trPr>
        <w:tc>
          <w:tcPr>
            <w:tcW w:w="20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合计</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即期</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37"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427" w:hRule="exact"/>
        </w:trPr>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3,080,874.25</w:t>
            </w:r>
          </w:p>
        </w:tc>
        <w:tc>
          <w:tcPr>
            <w:tcW w:w="163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3,080,874.25</w:t>
            </w:r>
          </w:p>
        </w:tc>
        <w:tc>
          <w:tcPr>
            <w:tcW w:w="159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57,924,494.53</w:t>
            </w:r>
          </w:p>
        </w:tc>
        <w:tc>
          <w:tcPr>
            <w:tcW w:w="163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57,924,494.53</w:t>
            </w:r>
          </w:p>
        </w:tc>
        <w:tc>
          <w:tcPr>
            <w:tcW w:w="159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1,900,261.91</w:t>
            </w:r>
          </w:p>
        </w:tc>
        <w:tc>
          <w:tcPr>
            <w:tcW w:w="163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1,900,261.91</w:t>
            </w:r>
          </w:p>
        </w:tc>
        <w:tc>
          <w:tcPr>
            <w:tcW w:w="159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73,774,525.00</w:t>
            </w:r>
          </w:p>
        </w:tc>
        <w:tc>
          <w:tcPr>
            <w:tcW w:w="163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73,774,525.00</w:t>
            </w:r>
          </w:p>
        </w:tc>
        <w:tc>
          <w:tcPr>
            <w:tcW w:w="1594"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20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136,680,155.69</w:t>
            </w:r>
          </w:p>
        </w:tc>
        <w:tc>
          <w:tcPr>
            <w:tcW w:w="163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136,680,155.69</w:t>
            </w:r>
          </w:p>
        </w:tc>
        <w:tc>
          <w:tcPr>
            <w:tcW w:w="159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0" w:footer="974" w:top="1100" w:bottom="1160" w:left="980" w:right="9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Heading4"/>
        <w:spacing w:line="240" w:lineRule="auto"/>
        <w:ind w:right="94"/>
        <w:jc w:val="left"/>
        <w:rPr>
          <w:b w:val="0"/>
          <w:bCs w:val="0"/>
        </w:rPr>
      </w:pPr>
      <w:r>
        <w:rPr/>
        <w:t>汇率风险</w:t>
      </w:r>
      <w:r>
        <w:rPr>
          <w:b w:val="0"/>
          <w:bCs w:val="0"/>
        </w:rPr>
      </w:r>
    </w:p>
    <w:p>
      <w:pPr>
        <w:pStyle w:val="BodyText"/>
        <w:spacing w:line="360" w:lineRule="auto" w:before="115"/>
        <w:ind w:left="513" w:right="94"/>
        <w:jc w:val="left"/>
      </w:pPr>
      <w:r>
        <w:rPr/>
        <w:t>公司面临交易性的汇率风险。此类风险由于经营单位以其记账本位币以外的货币进行的销售或采购所致。 </w:t>
      </w:r>
      <w:r>
        <w:rPr>
          <w:spacing w:val="-2"/>
        </w:rPr>
        <w:t>下表为汇率风险的敏感性分析，反映了在其他变量不变的假设下，港币和美元汇率发生合理、可能的变动时，金融工具</w:t>
      </w:r>
    </w:p>
    <w:p>
      <w:pPr>
        <w:pStyle w:val="BodyText"/>
        <w:spacing w:line="222" w:lineRule="exact"/>
        <w:ind w:right="94"/>
        <w:jc w:val="left"/>
      </w:pPr>
      <w:r>
        <w:rPr/>
        <w:t>将对净利润和其他综合收益总额产生的影响。</w:t>
      </w:r>
    </w:p>
    <w:p>
      <w:pPr>
        <w:pStyle w:val="BodyText"/>
        <w:spacing w:line="240" w:lineRule="auto" w:before="117"/>
        <w:ind w:left="1043" w:right="94"/>
        <w:jc w:val="left"/>
      </w:pPr>
      <w:r>
        <w:rPr>
          <w:rFonts w:ascii="Times New Roman" w:hAnsi="Times New Roman" w:cs="Times New Roman" w:eastAsia="Times New Roman" w:hint="default"/>
        </w:rPr>
        <w:t>2017</w:t>
      </w:r>
      <w:r>
        <w:rPr/>
        <w:t>年</w:t>
      </w:r>
    </w:p>
    <w:p>
      <w:pPr>
        <w:spacing w:line="240" w:lineRule="auto" w:before="12"/>
        <w:rPr>
          <w:rFonts w:ascii="宋体" w:hAnsi="宋体" w:cs="宋体" w:eastAsia="宋体" w:hint="default"/>
          <w:sz w:val="6"/>
          <w:szCs w:val="6"/>
        </w:rPr>
      </w:pPr>
    </w:p>
    <w:tbl>
      <w:tblPr>
        <w:tblW w:w="0" w:type="auto"/>
        <w:jc w:val="left"/>
        <w:tblInd w:w="590" w:type="dxa"/>
        <w:tblLayout w:type="fixed"/>
        <w:tblCellMar>
          <w:top w:w="0" w:type="dxa"/>
          <w:left w:w="0" w:type="dxa"/>
          <w:bottom w:w="0" w:type="dxa"/>
          <w:right w:w="0" w:type="dxa"/>
        </w:tblCellMar>
        <w:tblLook w:val="01E0"/>
      </w:tblPr>
      <w:tblGrid>
        <w:gridCol w:w="2014"/>
        <w:gridCol w:w="1133"/>
        <w:gridCol w:w="1702"/>
        <w:gridCol w:w="1702"/>
        <w:gridCol w:w="2269"/>
      </w:tblGrid>
      <w:tr>
        <w:trPr>
          <w:trHeight w:val="1126" w:hRule="exact"/>
        </w:trPr>
        <w:tc>
          <w:tcPr>
            <w:tcW w:w="201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59" w:right="0"/>
              <w:jc w:val="left"/>
              <w:rPr>
                <w:rFonts w:ascii="宋体" w:hAnsi="宋体" w:cs="宋体" w:eastAsia="宋体" w:hint="default"/>
                <w:sz w:val="18"/>
                <w:szCs w:val="18"/>
              </w:rPr>
            </w:pPr>
            <w:r>
              <w:rPr>
                <w:rFonts w:ascii="宋体" w:hAnsi="宋体" w:cs="宋体" w:eastAsia="宋体" w:hint="default"/>
                <w:sz w:val="18"/>
                <w:szCs w:val="18"/>
              </w:rPr>
              <w:t>汇率</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96" w:right="0" w:firstLine="350"/>
              <w:jc w:val="left"/>
              <w:rPr>
                <w:rFonts w:ascii="宋体" w:hAnsi="宋体" w:cs="宋体" w:eastAsia="宋体" w:hint="default"/>
                <w:sz w:val="18"/>
                <w:szCs w:val="18"/>
              </w:rPr>
            </w:pPr>
            <w:r>
              <w:rPr>
                <w:rFonts w:ascii="宋体" w:hAnsi="宋体" w:cs="宋体" w:eastAsia="宋体" w:hint="default"/>
                <w:sz w:val="18"/>
                <w:szCs w:val="18"/>
              </w:rPr>
              <w:t>净损益</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3"/>
              <w:ind w:left="784" w:right="5" w:hanging="180"/>
              <w:jc w:val="both"/>
              <w:rPr>
                <w:rFonts w:ascii="Times New Roman" w:hAnsi="Times New Roman" w:cs="Times New Roman" w:eastAsia="Times New Roman" w:hint="default"/>
                <w:sz w:val="18"/>
                <w:szCs w:val="18"/>
              </w:rPr>
            </w:pPr>
            <w:r>
              <w:rPr>
                <w:rFonts w:ascii="宋体" w:hAnsi="宋体" w:cs="宋体" w:eastAsia="宋体" w:hint="default"/>
                <w:sz w:val="18"/>
                <w:szCs w:val="18"/>
              </w:rPr>
              <w:t>其他综合收益 的税后净额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宋体" w:hAnsi="宋体" w:cs="宋体" w:eastAsia="宋体" w:hint="default"/>
                <w:sz w:val="18"/>
                <w:szCs w:val="18"/>
              </w:rPr>
            </w:pPr>
            <w:r>
              <w:rPr>
                <w:rFonts w:ascii="宋体" w:hAnsi="宋体" w:cs="宋体" w:eastAsia="宋体" w:hint="default"/>
                <w:sz w:val="18"/>
                <w:szCs w:val="18"/>
              </w:rPr>
              <w:t>股东权益</w:t>
            </w:r>
          </w:p>
          <w:p>
            <w:pPr>
              <w:pStyle w:val="TableParagraph"/>
              <w:spacing w:line="360" w:lineRule="auto" w:before="115"/>
              <w:ind w:left="1363" w:right="2" w:firstLine="530"/>
              <w:jc w:val="right"/>
              <w:rPr>
                <w:rFonts w:ascii="Times New Roman" w:hAnsi="Times New Roman" w:cs="Times New Roman" w:eastAsia="Times New Roman" w:hint="default"/>
                <w:sz w:val="18"/>
                <w:szCs w:val="18"/>
              </w:rPr>
            </w:pPr>
            <w:r>
              <w:rPr>
                <w:rFonts w:ascii="宋体" w:hAnsi="宋体" w:cs="宋体" w:eastAsia="宋体" w:hint="default"/>
                <w:sz w:val="18"/>
                <w:szCs w:val="18"/>
              </w:rPr>
              <w:t>合计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423"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人民币对港币贬值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4" w:right="0"/>
              <w:jc w:val="center"/>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spacing w:val="-1"/>
                <w:sz w:val="18"/>
              </w:rPr>
              <w:t>407,344.89</w:t>
            </w:r>
          </w:p>
        </w:tc>
        <w:tc>
          <w:tcPr>
            <w:tcW w:w="1702"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spacing w:val="-1"/>
                <w:sz w:val="18"/>
              </w:rPr>
              <w:t>407,344.89</w:t>
            </w:r>
          </w:p>
        </w:tc>
      </w:tr>
      <w:tr>
        <w:trPr>
          <w:trHeight w:val="422"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人民币对港币升值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pacing w:val="-1"/>
                <w:sz w:val="18"/>
              </w:rPr>
              <w:t>(407,344.89)</w:t>
            </w:r>
          </w:p>
        </w:tc>
        <w:tc>
          <w:tcPr>
            <w:tcW w:w="1702"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(407,344.89)</w:t>
            </w:r>
          </w:p>
        </w:tc>
      </w:tr>
      <w:tr>
        <w:trPr>
          <w:trHeight w:val="422"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人民币对美元贬值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 w:right="0"/>
              <w:jc w:val="center"/>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2,562,083.62</w:t>
            </w:r>
          </w:p>
        </w:tc>
        <w:tc>
          <w:tcPr>
            <w:tcW w:w="1702"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2,562,083.62</w:t>
            </w:r>
          </w:p>
        </w:tc>
      </w:tr>
      <w:tr>
        <w:trPr>
          <w:trHeight w:val="422"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人民币对美元升值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 w:right="0"/>
              <w:jc w:val="center"/>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(2,562,083.62)</w:t>
            </w:r>
          </w:p>
        </w:tc>
        <w:tc>
          <w:tcPr>
            <w:tcW w:w="1702"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(2,562,083.62)</w:t>
            </w:r>
          </w:p>
        </w:tc>
      </w:tr>
    </w:tbl>
    <w:p>
      <w:pPr>
        <w:pStyle w:val="BodyText"/>
        <w:spacing w:line="240" w:lineRule="auto" w:before="51"/>
        <w:ind w:left="1084" w:right="94"/>
        <w:jc w:val="left"/>
      </w:pPr>
      <w:r>
        <w:rPr>
          <w:rFonts w:ascii="Times New Roman" w:hAnsi="Times New Roman" w:cs="Times New Roman" w:eastAsia="Times New Roman" w:hint="default"/>
        </w:rPr>
        <w:t>2016</w:t>
      </w:r>
      <w:r>
        <w:rPr/>
        <w:t>年</w:t>
      </w:r>
    </w:p>
    <w:p>
      <w:pPr>
        <w:spacing w:line="240" w:lineRule="auto" w:before="12"/>
        <w:rPr>
          <w:rFonts w:ascii="宋体" w:hAnsi="宋体" w:cs="宋体" w:eastAsia="宋体" w:hint="default"/>
          <w:sz w:val="6"/>
          <w:szCs w:val="6"/>
        </w:rPr>
      </w:pPr>
    </w:p>
    <w:tbl>
      <w:tblPr>
        <w:tblW w:w="0" w:type="auto"/>
        <w:jc w:val="left"/>
        <w:tblInd w:w="590" w:type="dxa"/>
        <w:tblLayout w:type="fixed"/>
        <w:tblCellMar>
          <w:top w:w="0" w:type="dxa"/>
          <w:left w:w="0" w:type="dxa"/>
          <w:bottom w:w="0" w:type="dxa"/>
          <w:right w:w="0" w:type="dxa"/>
        </w:tblCellMar>
        <w:tblLook w:val="01E0"/>
      </w:tblPr>
      <w:tblGrid>
        <w:gridCol w:w="2014"/>
        <w:gridCol w:w="1133"/>
        <w:gridCol w:w="1702"/>
        <w:gridCol w:w="1702"/>
        <w:gridCol w:w="2269"/>
      </w:tblGrid>
      <w:tr>
        <w:trPr>
          <w:trHeight w:val="1126" w:hRule="exact"/>
        </w:trPr>
        <w:tc>
          <w:tcPr>
            <w:tcW w:w="201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59" w:right="0"/>
              <w:jc w:val="left"/>
              <w:rPr>
                <w:rFonts w:ascii="宋体" w:hAnsi="宋体" w:cs="宋体" w:eastAsia="宋体" w:hint="default"/>
                <w:sz w:val="18"/>
                <w:szCs w:val="18"/>
              </w:rPr>
            </w:pPr>
            <w:r>
              <w:rPr>
                <w:rFonts w:ascii="宋体" w:hAnsi="宋体" w:cs="宋体" w:eastAsia="宋体" w:hint="default"/>
                <w:sz w:val="18"/>
                <w:szCs w:val="18"/>
              </w:rPr>
              <w:t>汇率</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96" w:right="0" w:firstLine="350"/>
              <w:jc w:val="left"/>
              <w:rPr>
                <w:rFonts w:ascii="宋体" w:hAnsi="宋体" w:cs="宋体" w:eastAsia="宋体" w:hint="default"/>
                <w:sz w:val="18"/>
                <w:szCs w:val="18"/>
              </w:rPr>
            </w:pPr>
            <w:r>
              <w:rPr>
                <w:rFonts w:ascii="宋体" w:hAnsi="宋体" w:cs="宋体" w:eastAsia="宋体" w:hint="default"/>
                <w:sz w:val="18"/>
                <w:szCs w:val="18"/>
              </w:rPr>
              <w:t>净损益</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3"/>
              <w:ind w:left="784" w:right="5" w:hanging="180"/>
              <w:jc w:val="both"/>
              <w:rPr>
                <w:rFonts w:ascii="Times New Roman" w:hAnsi="Times New Roman" w:cs="Times New Roman" w:eastAsia="Times New Roman" w:hint="default"/>
                <w:sz w:val="18"/>
                <w:szCs w:val="18"/>
              </w:rPr>
            </w:pPr>
            <w:r>
              <w:rPr>
                <w:rFonts w:ascii="宋体" w:hAnsi="宋体" w:cs="宋体" w:eastAsia="宋体" w:hint="default"/>
                <w:sz w:val="18"/>
                <w:szCs w:val="18"/>
              </w:rPr>
              <w:t>其他综合收益 的税后净额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宋体" w:hAnsi="宋体" w:cs="宋体" w:eastAsia="宋体" w:hint="default"/>
                <w:sz w:val="18"/>
                <w:szCs w:val="18"/>
              </w:rPr>
            </w:pPr>
            <w:r>
              <w:rPr>
                <w:rFonts w:ascii="宋体" w:hAnsi="宋体" w:cs="宋体" w:eastAsia="宋体" w:hint="default"/>
                <w:sz w:val="18"/>
                <w:szCs w:val="18"/>
              </w:rPr>
              <w:t>股东权益</w:t>
            </w:r>
          </w:p>
          <w:p>
            <w:pPr>
              <w:pStyle w:val="TableParagraph"/>
              <w:spacing w:line="360" w:lineRule="auto" w:before="115"/>
              <w:ind w:left="1363" w:right="2" w:firstLine="530"/>
              <w:jc w:val="right"/>
              <w:rPr>
                <w:rFonts w:ascii="Times New Roman" w:hAnsi="Times New Roman" w:cs="Times New Roman" w:eastAsia="Times New Roman" w:hint="default"/>
                <w:sz w:val="18"/>
                <w:szCs w:val="18"/>
              </w:rPr>
            </w:pPr>
            <w:r>
              <w:rPr>
                <w:rFonts w:ascii="宋体" w:hAnsi="宋体" w:cs="宋体" w:eastAsia="宋体" w:hint="default"/>
                <w:sz w:val="18"/>
                <w:szCs w:val="18"/>
              </w:rPr>
              <w:t>合计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423"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人民币对港币贬值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44,606.52</w:t>
            </w:r>
          </w:p>
        </w:tc>
        <w:tc>
          <w:tcPr>
            <w:tcW w:w="1702"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pacing w:val="-1"/>
                <w:sz w:val="18"/>
              </w:rPr>
              <w:t>44,606.52</w:t>
            </w:r>
          </w:p>
        </w:tc>
      </w:tr>
      <w:tr>
        <w:trPr>
          <w:trHeight w:val="422"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人民币对港币升值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95"/>
                <w:sz w:val="18"/>
              </w:rPr>
              <w:t>(44,606.52)</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95"/>
                <w:sz w:val="18"/>
              </w:rPr>
              <w:t>(44,606.52)</w:t>
            </w:r>
            <w:r>
              <w:rPr>
                <w:rFonts w:ascii="Times New Roman"/>
                <w:sz w:val="18"/>
              </w:rPr>
            </w:r>
          </w:p>
        </w:tc>
      </w:tr>
      <w:tr>
        <w:trPr>
          <w:trHeight w:val="422"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人民币对美元贬值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 w:right="0"/>
              <w:jc w:val="center"/>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2,557,234.88</w:t>
            </w:r>
          </w:p>
        </w:tc>
        <w:tc>
          <w:tcPr>
            <w:tcW w:w="1702"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2,557,234.88</w:t>
            </w:r>
          </w:p>
        </w:tc>
      </w:tr>
      <w:tr>
        <w:trPr>
          <w:trHeight w:val="422"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人民币对美元升值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 w:right="0"/>
              <w:jc w:val="center"/>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(2,557,234.88)</w:t>
            </w:r>
          </w:p>
        </w:tc>
        <w:tc>
          <w:tcPr>
            <w:tcW w:w="1702"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(2,557,234.88)</w:t>
            </w:r>
          </w:p>
        </w:tc>
      </w:tr>
    </w:tbl>
    <w:p>
      <w:pPr>
        <w:spacing w:line="240" w:lineRule="auto" w:before="4"/>
        <w:rPr>
          <w:rFonts w:ascii="宋体" w:hAnsi="宋体" w:cs="宋体" w:eastAsia="宋体" w:hint="default"/>
          <w:sz w:val="27"/>
          <w:szCs w:val="27"/>
        </w:rPr>
      </w:pPr>
    </w:p>
    <w:p>
      <w:pPr>
        <w:pStyle w:val="Heading4"/>
        <w:spacing w:line="240" w:lineRule="auto"/>
        <w:ind w:right="94"/>
        <w:jc w:val="left"/>
        <w:rPr>
          <w:b w:val="0"/>
          <w:bCs w:val="0"/>
        </w:rPr>
      </w:pPr>
      <w:r>
        <w:rPr/>
        <w:t>资本管理</w:t>
      </w:r>
      <w:r>
        <w:rPr>
          <w:b w:val="0"/>
          <w:bCs w:val="0"/>
        </w:rPr>
      </w:r>
    </w:p>
    <w:p>
      <w:pPr>
        <w:pStyle w:val="BodyText"/>
        <w:spacing w:line="360" w:lineRule="auto" w:before="117"/>
        <w:ind w:left="513" w:right="93"/>
        <w:jc w:val="left"/>
      </w:pPr>
      <w:r>
        <w:rPr/>
        <w:t>公司资本管理的主要目标是确保公司持续经营的能力，并保持健康的资本比率，以支持业务发展并使股东价值最大化。</w:t>
      </w:r>
      <w:r>
        <w:rPr>
          <w:spacing w:val="-85"/>
        </w:rPr>
        <w:t> </w:t>
      </w:r>
      <w:r>
        <w:rPr>
          <w:spacing w:val="-85"/>
        </w:rPr>
      </w:r>
      <w:r>
        <w:rPr>
          <w:spacing w:val="-2"/>
        </w:rPr>
        <w:t>公司管理资本结构并根据经济形势以及相关资产的风险特征的变化对其进行调整。公司通过对股东的利润分配、向股东</w:t>
      </w:r>
    </w:p>
    <w:p>
      <w:pPr>
        <w:pStyle w:val="BodyText"/>
        <w:spacing w:line="236" w:lineRule="exact"/>
        <w:ind w:right="94"/>
        <w:jc w:val="left"/>
      </w:pPr>
      <w:r>
        <w:rPr/>
        <w:t>归还资本或发行新股等方式维持或调整资本结构</w:t>
      </w:r>
      <w:r>
        <w:rPr>
          <w:spacing w:val="-87"/>
        </w:rPr>
        <w:t>。</w:t>
      </w:r>
      <w:r>
        <w:rPr/>
        <w:t>公司不受外部强制性资本要求约束</w:t>
      </w:r>
      <w:r>
        <w:rPr>
          <w:spacing w:val="-85"/>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17</w:t>
      </w:r>
      <w:r>
        <w:rPr>
          <w:spacing w:val="-3"/>
        </w:rPr>
        <w:t>年</w:t>
      </w:r>
      <w:r>
        <w:rPr/>
        <w:t>度</w:t>
      </w:r>
      <w:r>
        <w:rPr>
          <w:spacing w:val="-1"/>
        </w:rPr>
        <w:t>及</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2"/>
        </w:rPr>
        <w:t>6</w:t>
      </w:r>
      <w:r>
        <w:rPr/>
        <w:t>年度</w:t>
      </w:r>
      <w:r>
        <w:rPr>
          <w:spacing w:val="-87"/>
        </w:rPr>
        <w:t>，</w:t>
      </w:r>
      <w:r>
        <w:rPr/>
        <w:t>资本管理目标、</w:t>
      </w:r>
    </w:p>
    <w:p>
      <w:pPr>
        <w:pStyle w:val="BodyText"/>
        <w:spacing w:line="357" w:lineRule="auto" w:before="63"/>
        <w:ind w:left="513" w:right="453" w:hanging="361"/>
        <w:jc w:val="left"/>
      </w:pPr>
      <w:r>
        <w:rPr/>
        <w:t>政策或程序未发生变化。 公司采用资产负债率来管理资本，资产负债率是总负债和总资产的比率。公司于资产负债表日的资产负债率如下：</w:t>
      </w:r>
    </w:p>
    <w:p>
      <w:pPr>
        <w:spacing w:line="240" w:lineRule="auto" w:before="5"/>
        <w:rPr>
          <w:rFonts w:ascii="宋体" w:hAnsi="宋体" w:cs="宋体" w:eastAsia="宋体" w:hint="default"/>
          <w:sz w:val="28"/>
          <w:szCs w:val="28"/>
        </w:rPr>
      </w:pPr>
    </w:p>
    <w:tbl>
      <w:tblPr>
        <w:tblW w:w="0" w:type="auto"/>
        <w:jc w:val="left"/>
        <w:tblInd w:w="590" w:type="dxa"/>
        <w:tblLayout w:type="fixed"/>
        <w:tblCellMar>
          <w:top w:w="0" w:type="dxa"/>
          <w:left w:w="0" w:type="dxa"/>
          <w:bottom w:w="0" w:type="dxa"/>
          <w:right w:w="0" w:type="dxa"/>
        </w:tblCellMar>
        <w:tblLook w:val="01E0"/>
      </w:tblPr>
      <w:tblGrid>
        <w:gridCol w:w="4321"/>
        <w:gridCol w:w="2175"/>
        <w:gridCol w:w="2278"/>
      </w:tblGrid>
      <w:tr>
        <w:trPr>
          <w:trHeight w:val="427" w:hRule="exact"/>
        </w:trPr>
        <w:tc>
          <w:tcPr>
            <w:tcW w:w="4321" w:type="dxa"/>
            <w:tcBorders>
              <w:top w:val="single" w:sz="6" w:space="0" w:color="000000"/>
              <w:left w:val="single" w:sz="6" w:space="0" w:color="000000"/>
              <w:bottom w:val="single" w:sz="6" w:space="0" w:color="000000"/>
              <w:right w:val="single" w:sz="6" w:space="0" w:color="000000"/>
            </w:tcBorders>
          </w:tcPr>
          <w:p>
            <w:pP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425"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5,111,813,147.52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4,230,094,299.85</w:t>
            </w:r>
          </w:p>
        </w:tc>
      </w:tr>
      <w:tr>
        <w:trPr>
          <w:trHeight w:val="427"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853,878,299.55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777,521,420.39</w:t>
            </w:r>
          </w:p>
        </w:tc>
      </w:tr>
      <w:tr>
        <w:trPr>
          <w:trHeight w:val="430"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z w:val="18"/>
              </w:rPr>
              <w:t>16.70%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18.38%</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40"/>
        </w:sectPr>
      </w:pPr>
    </w:p>
    <w:p>
      <w:pPr>
        <w:spacing w:line="240" w:lineRule="auto" w:before="12"/>
        <w:rPr>
          <w:rFonts w:ascii="宋体" w:hAnsi="宋体" w:cs="宋体" w:eastAsia="宋体" w:hint="default"/>
          <w:sz w:val="19"/>
          <w:szCs w:val="19"/>
        </w:rPr>
      </w:pPr>
    </w:p>
    <w:p>
      <w:pPr>
        <w:pStyle w:val="Heading2"/>
        <w:spacing w:line="240" w:lineRule="auto" w:before="26"/>
        <w:ind w:right="94"/>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95"/>
        <w:gridCol w:w="1837"/>
        <w:gridCol w:w="1913"/>
        <w:gridCol w:w="1913"/>
        <w:gridCol w:w="1913"/>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一、持续的公允价值计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59"/>
              <w:jc w:val="left"/>
              <w:rPr>
                <w:rFonts w:ascii="宋体" w:hAnsi="宋体" w:cs="宋体" w:eastAsia="宋体" w:hint="default"/>
                <w:sz w:val="18"/>
                <w:szCs w:val="18"/>
              </w:rPr>
            </w:pPr>
            <w:r>
              <w:rPr>
                <w:rFonts w:ascii="宋体" w:hAnsi="宋体" w:cs="宋体" w:eastAsia="宋体" w:hint="default"/>
                <w:sz w:val="18"/>
                <w:szCs w:val="18"/>
              </w:rPr>
              <w:t>（二）可供出售金融资 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74,818,425.48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74,818,425.48</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74,818,425.48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74,818,425.48</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二、非持续的公允价值 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日，公司的货币资金、应收票据、应收账款、其他应收款、其他流动资产、应付账款、 其他应付款、应付股利、短期借款等，因剩余期限不长，公允价值与账面价值相若。</w:t>
      </w:r>
    </w:p>
    <w:p>
      <w:pPr>
        <w:pStyle w:val="BodyText"/>
        <w:spacing w:line="300" w:lineRule="auto" w:before="72"/>
        <w:ind w:right="94"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日及</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日，公司的可供出售金融资产除上述所列以公允价值计量以外，其他均因在活跃市场中</w:t>
      </w:r>
      <w:r>
        <w:rPr/>
        <w:t> 没有报价且其公允价值无法可靠计量，按照账面成本计量。</w:t>
      </w:r>
    </w:p>
    <w:p>
      <w:pPr>
        <w:spacing w:line="240" w:lineRule="auto" w:before="7"/>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无</w:t>
      </w:r>
    </w:p>
    <w:p>
      <w:pPr>
        <w:spacing w:after="0" w:line="240" w:lineRule="auto"/>
        <w:jc w:val="left"/>
        <w:sectPr>
          <w:pgSz w:w="11910" w:h="16840"/>
          <w:pgMar w:header="880" w:footer="974"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141"/>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1"/>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1"/>
        <w:jc w:val="left"/>
      </w:pPr>
      <w:r>
        <w:rPr/>
        <w:t>无</w:t>
      </w:r>
    </w:p>
    <w:p>
      <w:pPr>
        <w:spacing w:line="240" w:lineRule="auto" w:before="3"/>
        <w:rPr>
          <w:rFonts w:ascii="宋体" w:hAnsi="宋体" w:cs="宋体" w:eastAsia="宋体" w:hint="default"/>
          <w:sz w:val="25"/>
          <w:szCs w:val="25"/>
        </w:rPr>
      </w:pPr>
    </w:p>
    <w:p>
      <w:pPr>
        <w:pStyle w:val="Heading2"/>
        <w:spacing w:line="240" w:lineRule="auto"/>
        <w:ind w:right="141"/>
        <w:jc w:val="left"/>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1"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华大控股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7" w:right="0"/>
              <w:jc w:val="left"/>
              <w:rPr>
                <w:rFonts w:ascii="Times New Roman" w:hAnsi="Times New Roman" w:cs="Times New Roman" w:eastAsia="Times New Roman" w:hint="default"/>
                <w:sz w:val="18"/>
                <w:szCs w:val="18"/>
              </w:rPr>
            </w:pPr>
            <w:r>
              <w:rPr>
                <w:rFonts w:ascii="Times New Roman"/>
                <w:sz w:val="18"/>
              </w:rPr>
              <w:t>38.16%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8" w:right="0"/>
              <w:jc w:val="left"/>
              <w:rPr>
                <w:rFonts w:ascii="Times New Roman" w:hAnsi="Times New Roman" w:cs="Times New Roman" w:eastAsia="Times New Roman" w:hint="default"/>
                <w:sz w:val="18"/>
                <w:szCs w:val="18"/>
              </w:rPr>
            </w:pPr>
            <w:r>
              <w:rPr>
                <w:rFonts w:ascii="Times New Roman"/>
                <w:sz w:val="18"/>
              </w:rPr>
              <w:t>38.16%</w:t>
            </w:r>
          </w:p>
        </w:tc>
      </w:tr>
    </w:tbl>
    <w:p>
      <w:pPr>
        <w:pStyle w:val="BodyText"/>
        <w:spacing w:line="240" w:lineRule="auto" w:before="51"/>
        <w:ind w:right="141"/>
        <w:jc w:val="left"/>
      </w:pPr>
      <w:r>
        <w:rPr/>
        <w:t>本企业的母公司情况的说明</w:t>
      </w:r>
    </w:p>
    <w:p>
      <w:pPr>
        <w:pStyle w:val="BodyText"/>
        <w:spacing w:line="312" w:lineRule="auto" w:before="117"/>
        <w:ind w:right="144"/>
        <w:jc w:val="left"/>
      </w:pPr>
      <w:r>
        <w:rPr/>
        <w:t>深圳华大基因科技有限公司系由自然人汪建、王俊和杨爽共同出资设立，于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日取得工商行政管理局颁发的企业 法人营业执照。 经营范围：计算机软硬件及外围设备的技术研发和销售；货物及技术进出口业务；股权投资；投资兴办实业（具体项目另 行申报）；水产品养殖和销售。</w:t>
      </w:r>
    </w:p>
    <w:p>
      <w:pPr>
        <w:pStyle w:val="BodyText"/>
        <w:spacing w:line="240" w:lineRule="auto" w:before="63"/>
        <w:ind w:right="141"/>
        <w:jc w:val="left"/>
      </w:pPr>
      <w:r>
        <w:rPr/>
        <w:t>本企业最终控制方是汪建。</w:t>
      </w:r>
    </w:p>
    <w:p>
      <w:pPr>
        <w:spacing w:line="240" w:lineRule="auto" w:before="11"/>
        <w:rPr>
          <w:rFonts w:ascii="宋体" w:hAnsi="宋体" w:cs="宋体" w:eastAsia="宋体" w:hint="default"/>
          <w:sz w:val="26"/>
          <w:szCs w:val="26"/>
        </w:rPr>
      </w:pPr>
    </w:p>
    <w:p>
      <w:pPr>
        <w:spacing w:line="547" w:lineRule="auto" w:before="0"/>
        <w:ind w:left="152" w:right="1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本企业子公司的情况详见附注第十一节财务报告附注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00" w:lineRule="auto" w:before="46"/>
        <w:ind w:right="264"/>
        <w:jc w:val="left"/>
      </w:pPr>
      <w:r>
        <w:rPr/>
        <w:t>本企业重要的合营或联营企业详见附注第十一节财务报告附注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中</w:t>
      </w:r>
      <w:r>
        <w:rPr>
          <w:rFonts w:ascii="Times New Roman" w:hAnsi="Times New Roman" w:cs="Times New Roman" w:eastAsia="Times New Roman" w:hint="default"/>
        </w:rPr>
        <w:t>“3</w:t>
      </w:r>
      <w:r>
        <w:rPr/>
        <w:t>、在合营合排或联营企业中 的权益</w:t>
      </w:r>
      <w:r>
        <w:rPr>
          <w:rFonts w:ascii="Times New Roman" w:hAnsi="Times New Roman" w:cs="Times New Roman" w:eastAsia="Times New Roman" w:hint="default"/>
        </w:rPr>
        <w:t>”</w:t>
      </w:r>
      <w:r>
        <w:rPr/>
        <w:t>。</w:t>
      </w:r>
    </w:p>
    <w:p>
      <w:pPr>
        <w:pStyle w:val="BodyText"/>
        <w:spacing w:line="240" w:lineRule="auto" w:before="53"/>
        <w:ind w:right="141"/>
        <w:jc w:val="left"/>
      </w:pPr>
      <w:r>
        <w:rPr/>
        <w:t>本期与本公司发生关联方交易，或前期与本公司发生关联方交易形成余额的其他合营或联营企业情况如下：</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苏州泓迅生物科技股份有限公司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云南华大基因研究院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云南华大基因科技有限公司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深圳华大小米产业股份有限公司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大连华安中茂国际贸易有限公司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深圳华大优选科技有限公司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深圳华大海洋科技有限公司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深圳华大智造科技有限公司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深圳华大方舟生物技术有限公司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深圳市华大司法技术协同创新研究院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北京华大基因研究中心有限公司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湖北华大基因研究院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武汉华大基因科技有限公司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深圳华大三生园科技有限公司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武汉华大基因科技有限公司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深圳华大基因物流有限公司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深圳华大生命科学研究院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杭州华大基因研发中心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华大基因香港研发中心有限公司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w:t>
            </w:r>
            <w:r>
              <w:rPr>
                <w:rFonts w:ascii="Times New Roman" w:hAnsi="Times New Roman" w:cs="Times New Roman" w:eastAsia="Times New Roman" w:hint="default"/>
                <w:sz w:val="18"/>
                <w:szCs w:val="18"/>
              </w:rPr>
              <w:t>(</w:t>
            </w:r>
            <w:r>
              <w:rPr>
                <w:rFonts w:ascii="宋体" w:hAnsi="宋体" w:cs="宋体" w:eastAsia="宋体" w:hint="default"/>
                <w:sz w:val="18"/>
                <w:szCs w:val="18"/>
              </w:rPr>
              <w:t>镇江</w:t>
            </w:r>
            <w:r>
              <w:rPr>
                <w:rFonts w:ascii="Times New Roman" w:hAnsi="Times New Roman" w:cs="Times New Roman" w:eastAsia="Times New Roman" w:hint="default"/>
                <w:sz w:val="18"/>
                <w:szCs w:val="18"/>
              </w:rPr>
              <w:t>)</w:t>
            </w:r>
            <w:r>
              <w:rPr>
                <w:rFonts w:ascii="宋体" w:hAnsi="宋体" w:cs="宋体" w:eastAsia="宋体" w:hint="default"/>
                <w:sz w:val="18"/>
                <w:szCs w:val="18"/>
              </w:rPr>
              <w:t>水产科技产业有限公司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北京华大方瑞司法物证鉴定中心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Complete</w:t>
            </w:r>
            <w:r>
              <w:rPr>
                <w:rFonts w:ascii="Times New Roman"/>
                <w:spacing w:val="-6"/>
                <w:sz w:val="18"/>
              </w:rPr>
              <w:t> </w:t>
            </w:r>
            <w:r>
              <w:rPr>
                <w:rFonts w:ascii="Times New Roman"/>
                <w:sz w:val="18"/>
              </w:rPr>
              <w:t>Genomics,Inc.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BGI Complete Genomics Hong Kong Co.,</w:t>
            </w:r>
            <w:r>
              <w:rPr>
                <w:rFonts w:ascii="Times New Roman"/>
                <w:spacing w:val="-15"/>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BGI-Denmark</w:t>
            </w:r>
            <w:r>
              <w:rPr>
                <w:rFonts w:ascii="Times New Roman"/>
                <w:spacing w:val="-14"/>
                <w:sz w:val="18"/>
              </w:rPr>
              <w:t> </w:t>
            </w:r>
            <w:r>
              <w:rPr>
                <w:rFonts w:ascii="Times New Roman"/>
                <w:sz w:val="18"/>
              </w:rPr>
              <w:t>Aps</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深圳华大互联网信息服务有限公司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广州华大锐护科技有限公司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深圳华大法医科技有限公司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武汉华大智造科技有限公司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华大精准营养</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深圳市华大农业应用研究院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bl>
    <w:p>
      <w:pPr>
        <w:spacing w:line="240" w:lineRule="auto" w:before="3"/>
        <w:rPr>
          <w:rFonts w:ascii="宋体" w:hAnsi="宋体" w:cs="宋体" w:eastAsia="宋体" w:hint="default"/>
          <w:b/>
          <w:bCs/>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right="141"/>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39"/>
        <w:gridCol w:w="1455"/>
        <w:gridCol w:w="1454"/>
        <w:gridCol w:w="1707"/>
        <w:gridCol w:w="1709"/>
        <w:gridCol w:w="1706"/>
      </w:tblGrid>
      <w:tr>
        <w:trPr>
          <w:trHeight w:val="403"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苏州泓迅生物科技 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6,852,786.93</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6,882,767.51</w:t>
            </w:r>
          </w:p>
        </w:tc>
      </w:tr>
      <w:tr>
        <w:trPr>
          <w:trHeight w:val="40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9"/>
              <w:jc w:val="center"/>
              <w:rPr>
                <w:rFonts w:ascii="宋体" w:hAnsi="宋体" w:cs="宋体" w:eastAsia="宋体" w:hint="default"/>
                <w:sz w:val="18"/>
                <w:szCs w:val="18"/>
              </w:rPr>
            </w:pPr>
            <w:r>
              <w:rPr>
                <w:rFonts w:ascii="宋体" w:hAnsi="宋体" w:cs="宋体" w:eastAsia="宋体" w:hint="default"/>
                <w:sz w:val="18"/>
                <w:szCs w:val="18"/>
              </w:rPr>
              <w:t>深圳华大生命科学</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432,850.68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412,362.81</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539"/>
        <w:gridCol w:w="1455"/>
        <w:gridCol w:w="1454"/>
        <w:gridCol w:w="1707"/>
        <w:gridCol w:w="1709"/>
        <w:gridCol w:w="1706"/>
      </w:tblGrid>
      <w:tr>
        <w:trPr>
          <w:trHeight w:val="36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研究院</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181"/>
              <w:jc w:val="left"/>
              <w:rPr>
                <w:rFonts w:ascii="Times New Roman" w:hAnsi="Times New Roman" w:cs="Times New Roman" w:eastAsia="Times New Roman" w:hint="default"/>
                <w:sz w:val="18"/>
                <w:szCs w:val="18"/>
              </w:rPr>
            </w:pPr>
            <w:r>
              <w:rPr>
                <w:rFonts w:ascii="Times New Roman"/>
                <w:sz w:val="18"/>
              </w:rPr>
              <w:t>L3</w:t>
            </w:r>
            <w:r>
              <w:rPr>
                <w:rFonts w:ascii="Times New Roman"/>
                <w:spacing w:val="-5"/>
                <w:sz w:val="18"/>
              </w:rPr>
              <w:t> </w:t>
            </w:r>
            <w:r>
              <w:rPr>
                <w:rFonts w:ascii="Times New Roman"/>
                <w:sz w:val="18"/>
              </w:rPr>
              <w:t>Bioinformatics</w:t>
            </w:r>
            <w:r>
              <w:rPr>
                <w:rFonts w:ascii="Times New Roman"/>
                <w:w w:val="99"/>
                <w:sz w:val="18"/>
              </w:rPr>
              <w:t> </w:t>
            </w:r>
            <w:r>
              <w:rPr>
                <w:rFonts w:ascii="Times New Roman"/>
                <w:sz w:val="18"/>
              </w:rPr>
              <w:t>Limited</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6,587,260.30</w:t>
            </w: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深圳华大智造科技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采购固定资产</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210,536,558.90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18,494,820.51</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华大基因香港研发 中心有限公司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采购固定资产</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81,889,591.00</w:t>
            </w:r>
          </w:p>
        </w:tc>
      </w:tr>
      <w:tr>
        <w:trPr>
          <w:trHeight w:val="1028"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147"/>
              <w:jc w:val="left"/>
              <w:rPr>
                <w:rFonts w:ascii="Times New Roman" w:hAnsi="Times New Roman" w:cs="Times New Roman" w:eastAsia="Times New Roman" w:hint="default"/>
                <w:sz w:val="18"/>
                <w:szCs w:val="18"/>
              </w:rPr>
            </w:pPr>
            <w:r>
              <w:rPr>
                <w:rFonts w:ascii="Times New Roman"/>
                <w:sz w:val="18"/>
              </w:rPr>
              <w:t>BGI</w:t>
            </w:r>
            <w:r>
              <w:rPr>
                <w:rFonts w:ascii="Times New Roman"/>
                <w:spacing w:val="-1"/>
                <w:sz w:val="18"/>
              </w:rPr>
              <w:t> </w:t>
            </w:r>
            <w:r>
              <w:rPr>
                <w:rFonts w:ascii="Times New Roman"/>
                <w:sz w:val="18"/>
              </w:rPr>
              <w:t>Complete</w:t>
            </w:r>
            <w:r>
              <w:rPr>
                <w:rFonts w:ascii="Times New Roman"/>
                <w:w w:val="100"/>
                <w:sz w:val="18"/>
              </w:rPr>
              <w:t> </w:t>
            </w:r>
            <w:r>
              <w:rPr>
                <w:rFonts w:ascii="Times New Roman"/>
                <w:sz w:val="18"/>
              </w:rPr>
              <w:t>Genomics</w:t>
            </w:r>
            <w:r>
              <w:rPr>
                <w:rFonts w:ascii="Times New Roman"/>
                <w:spacing w:val="-2"/>
                <w:sz w:val="18"/>
              </w:rPr>
              <w:t> </w:t>
            </w:r>
            <w:r>
              <w:rPr>
                <w:rFonts w:ascii="Times New Roman"/>
                <w:sz w:val="18"/>
              </w:rPr>
              <w:t>Hong</w:t>
            </w:r>
            <w:r>
              <w:rPr>
                <w:rFonts w:ascii="Times New Roman"/>
                <w:sz w:val="18"/>
              </w:rPr>
              <w:t> Kong Co.,</w:t>
            </w:r>
            <w:r>
              <w:rPr>
                <w:rFonts w:ascii="Times New Roman"/>
                <w:spacing w:val="-8"/>
                <w:sz w:val="18"/>
              </w:rPr>
              <w:t> </w:t>
            </w:r>
            <w:r>
              <w:rPr>
                <w:rFonts w:ascii="Times New Roman"/>
                <w:sz w:val="18"/>
              </w:rPr>
              <w:t>Limited</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采购固定资产</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9,594,835.39</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深圳华大智造科技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82,290,271.40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28,844,537.29</w:t>
            </w:r>
          </w:p>
        </w:tc>
      </w:tr>
      <w:tr>
        <w:trPr>
          <w:trHeight w:val="1027"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147"/>
              <w:jc w:val="left"/>
              <w:rPr>
                <w:rFonts w:ascii="Times New Roman" w:hAnsi="Times New Roman" w:cs="Times New Roman" w:eastAsia="Times New Roman" w:hint="default"/>
                <w:sz w:val="18"/>
                <w:szCs w:val="18"/>
              </w:rPr>
            </w:pPr>
            <w:r>
              <w:rPr>
                <w:rFonts w:ascii="Times New Roman"/>
                <w:sz w:val="18"/>
              </w:rPr>
              <w:t>BGI</w:t>
            </w:r>
            <w:r>
              <w:rPr>
                <w:rFonts w:ascii="Times New Roman"/>
                <w:spacing w:val="-1"/>
                <w:sz w:val="18"/>
              </w:rPr>
              <w:t> </w:t>
            </w:r>
            <w:r>
              <w:rPr>
                <w:rFonts w:ascii="Times New Roman"/>
                <w:sz w:val="18"/>
              </w:rPr>
              <w:t>Complete</w:t>
            </w:r>
            <w:r>
              <w:rPr>
                <w:rFonts w:ascii="Times New Roman"/>
                <w:w w:val="100"/>
                <w:sz w:val="18"/>
              </w:rPr>
              <w:t> </w:t>
            </w:r>
            <w:r>
              <w:rPr>
                <w:rFonts w:ascii="Times New Roman"/>
                <w:sz w:val="18"/>
              </w:rPr>
              <w:t>Genomics</w:t>
            </w:r>
            <w:r>
              <w:rPr>
                <w:rFonts w:ascii="Times New Roman"/>
                <w:spacing w:val="-2"/>
                <w:sz w:val="18"/>
              </w:rPr>
              <w:t> </w:t>
            </w:r>
            <w:r>
              <w:rPr>
                <w:rFonts w:ascii="Times New Roman"/>
                <w:sz w:val="18"/>
              </w:rPr>
              <w:t>Hong</w:t>
            </w:r>
            <w:r>
              <w:rPr>
                <w:rFonts w:ascii="Times New Roman"/>
                <w:sz w:val="18"/>
              </w:rPr>
              <w:t> Kong Co.,</w:t>
            </w:r>
            <w:r>
              <w:rPr>
                <w:rFonts w:ascii="Times New Roman"/>
                <w:spacing w:val="-8"/>
                <w:sz w:val="18"/>
              </w:rPr>
              <w:t> </w:t>
            </w:r>
            <w:r>
              <w:rPr>
                <w:rFonts w:ascii="Times New Roman"/>
                <w:sz w:val="18"/>
              </w:rPr>
              <w:t>Limited</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4,270,337.74</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5,823,249.73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455"/>
              <w:jc w:val="left"/>
              <w:rPr>
                <w:rFonts w:ascii="Times New Roman" w:hAnsi="Times New Roman" w:cs="Times New Roman" w:eastAsia="Times New Roman" w:hint="default"/>
                <w:sz w:val="18"/>
                <w:szCs w:val="18"/>
              </w:rPr>
            </w:pPr>
            <w:r>
              <w:rPr>
                <w:rFonts w:ascii="Times New Roman"/>
                <w:sz w:val="18"/>
              </w:rPr>
              <w:t>Complete</w:t>
            </w:r>
            <w:r>
              <w:rPr>
                <w:rFonts w:ascii="Times New Roman"/>
                <w:w w:val="100"/>
                <w:sz w:val="18"/>
              </w:rPr>
              <w:t> </w:t>
            </w:r>
            <w:r>
              <w:rPr>
                <w:rFonts w:ascii="Times New Roman"/>
                <w:sz w:val="18"/>
              </w:rPr>
              <w:t>Genomics,Inc.</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3,263,624.99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4,241,735.29</w:t>
            </w: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深圳华大优选科技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613,706.46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789,396.00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657,830.24</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深圳华大互联网信 息服务有限公司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497,607.48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127,388.89</w:t>
            </w: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深圳华大三生园科 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396,300.79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736,270.80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613,559.14</w:t>
            </w:r>
          </w:p>
        </w:tc>
      </w:tr>
      <w:tr>
        <w:trPr>
          <w:trHeight w:val="401"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华大控股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171,661.00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大连华安中茂国际 贸易有限公司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110,748.17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29,050.00</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华大精准营养（深 圳）科技有限公司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225,311.75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4" w:right="122"/>
              <w:jc w:val="left"/>
              <w:rPr>
                <w:rFonts w:ascii="宋体" w:hAnsi="宋体" w:cs="宋体" w:eastAsia="宋体" w:hint="default"/>
                <w:sz w:val="18"/>
                <w:szCs w:val="18"/>
              </w:rPr>
            </w:pPr>
            <w:r>
              <w:rPr>
                <w:rFonts w:ascii="宋体" w:hAnsi="宋体" w:cs="宋体" w:eastAsia="宋体" w:hint="default"/>
                <w:sz w:val="18"/>
                <w:szCs w:val="18"/>
              </w:rPr>
              <w:t>华大</w:t>
            </w:r>
            <w:r>
              <w:rPr>
                <w:rFonts w:ascii="Times New Roman" w:hAnsi="Times New Roman" w:cs="Times New Roman" w:eastAsia="Times New Roman" w:hint="default"/>
                <w:sz w:val="18"/>
                <w:szCs w:val="18"/>
              </w:rPr>
              <w:t>(</w:t>
            </w:r>
            <w:r>
              <w:rPr>
                <w:rFonts w:ascii="宋体" w:hAnsi="宋体" w:cs="宋体" w:eastAsia="宋体" w:hint="default"/>
                <w:sz w:val="18"/>
                <w:szCs w:val="18"/>
              </w:rPr>
              <w:t>镇江</w:t>
            </w:r>
            <w:r>
              <w:rPr>
                <w:rFonts w:ascii="Times New Roman" w:hAnsi="Times New Roman" w:cs="Times New Roman" w:eastAsia="Times New Roman" w:hint="default"/>
                <w:sz w:val="18"/>
                <w:szCs w:val="18"/>
              </w:rPr>
              <w:t>)</w:t>
            </w:r>
            <w:r>
              <w:rPr>
                <w:rFonts w:ascii="宋体" w:hAnsi="宋体" w:cs="宋体" w:eastAsia="宋体" w:hint="default"/>
                <w:sz w:val="18"/>
                <w:szCs w:val="18"/>
              </w:rPr>
              <w:t>水产科 技产业有限公司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8,179.67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139,060.19</w:t>
            </w:r>
          </w:p>
        </w:tc>
      </w:tr>
    </w:tbl>
    <w:p>
      <w:pPr>
        <w:pStyle w:val="BodyText"/>
        <w:spacing w:line="240" w:lineRule="auto" w:before="51"/>
        <w:ind w:right="141"/>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8"/>
        <w:gridCol w:w="2259"/>
        <w:gridCol w:w="2259"/>
        <w:gridCol w:w="2653"/>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Complete</w:t>
            </w:r>
            <w:r>
              <w:rPr>
                <w:rFonts w:ascii="Times New Roman"/>
                <w:spacing w:val="-5"/>
                <w:sz w:val="18"/>
              </w:rPr>
              <w:t> </w:t>
            </w:r>
            <w:r>
              <w:rPr>
                <w:rFonts w:ascii="Times New Roman"/>
                <w:sz w:val="18"/>
              </w:rPr>
              <w:t>Genomics,Inc.</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27,469,234.57</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深圳华大生命科学研究院</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7,114,342.56</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4,359,126.43</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华大控股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2,884,848.70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1,808,736.65</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83"/>
              <w:jc w:val="left"/>
              <w:rPr>
                <w:rFonts w:ascii="宋体" w:hAnsi="宋体" w:cs="宋体" w:eastAsia="宋体" w:hint="default"/>
                <w:sz w:val="18"/>
                <w:szCs w:val="18"/>
              </w:rPr>
            </w:pPr>
            <w:r>
              <w:rPr>
                <w:rFonts w:ascii="宋体" w:hAnsi="宋体" w:cs="宋体" w:eastAsia="宋体" w:hint="default"/>
                <w:sz w:val="18"/>
                <w:szCs w:val="18"/>
              </w:rPr>
              <w:t>华大</w:t>
            </w:r>
            <w:r>
              <w:rPr>
                <w:rFonts w:ascii="Times New Roman" w:hAnsi="Times New Roman" w:cs="Times New Roman" w:eastAsia="Times New Roman" w:hint="default"/>
                <w:sz w:val="18"/>
                <w:szCs w:val="18"/>
              </w:rPr>
              <w:t>(</w:t>
            </w:r>
            <w:r>
              <w:rPr>
                <w:rFonts w:ascii="宋体" w:hAnsi="宋体" w:cs="宋体" w:eastAsia="宋体" w:hint="default"/>
                <w:sz w:val="18"/>
                <w:szCs w:val="18"/>
              </w:rPr>
              <w:t>镇江</w:t>
            </w:r>
            <w:r>
              <w:rPr>
                <w:rFonts w:ascii="Times New Roman" w:hAnsi="Times New Roman" w:cs="Times New Roman" w:eastAsia="Times New Roman" w:hint="default"/>
                <w:sz w:val="18"/>
                <w:szCs w:val="18"/>
              </w:rPr>
              <w:t>)</w:t>
            </w:r>
            <w:r>
              <w:rPr>
                <w:rFonts w:ascii="宋体" w:hAnsi="宋体" w:cs="宋体" w:eastAsia="宋体" w:hint="default"/>
                <w:sz w:val="18"/>
                <w:szCs w:val="18"/>
              </w:rPr>
              <w:t>水产科技产业有限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782,096.34</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2,086,010.72</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2398"/>
        <w:gridCol w:w="2259"/>
        <w:gridCol w:w="2259"/>
        <w:gridCol w:w="2653"/>
      </w:tblGrid>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北京华大方瑞司法物证鉴定中 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272,312.75</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11,273.59</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深圳华大海洋科技有限公司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193,240.85</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云南华大基因研究院</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187,193.42</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11,044.25</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云南华大基因科技有限公司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52,310.33</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101,874.72</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深圳华大三生园科技有限公司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503,016.18</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深圳华大智造科技有限公司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229,912.44</w:t>
            </w:r>
          </w:p>
        </w:tc>
        <w:tc>
          <w:tcPr>
            <w:tcW w:w="26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0"/>
          <w:szCs w:val="20"/>
        </w:rPr>
      </w:pPr>
    </w:p>
    <w:p>
      <w:pPr>
        <w:pStyle w:val="Heading4"/>
        <w:spacing w:line="590" w:lineRule="auto"/>
        <w:ind w:right="6151"/>
        <w:jc w:val="left"/>
        <w:rPr>
          <w:rFonts w:ascii="宋体" w:hAnsi="宋体" w:cs="宋体" w:eastAsia="宋体" w:hint="default"/>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w w:val="99"/>
        </w:rPr>
        <w:t> </w:t>
      </w:r>
      <w:r>
        <w:rPr>
          <w:rFonts w:ascii="宋体" w:hAnsi="宋体" w:cs="宋体" w:eastAsia="宋体" w:hint="default"/>
          <w:b w:val="0"/>
          <w:bCs w:val="0"/>
        </w:rPr>
        <w:t>无</w:t>
      </w:r>
    </w:p>
    <w:p>
      <w:pPr>
        <w:pStyle w:val="Heading4"/>
        <w:spacing w:line="240" w:lineRule="auto" w:before="116"/>
        <w:ind w:right="141"/>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41"/>
        <w:jc w:val="left"/>
      </w:pPr>
      <w:r>
        <w:rPr/>
        <w:t>本公司作为出租方：</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88"/>
        <w:gridCol w:w="2393"/>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华大控股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5,749,321.96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6,021,694.04</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华大基因香港研发中心有限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610,252.45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291,171.09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湖北华大基因研究院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342,857.16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288,571.44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武汉华大基因科技有限公司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124,260.92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89,262.84</w:t>
            </w:r>
          </w:p>
        </w:tc>
      </w:tr>
    </w:tbl>
    <w:p>
      <w:pPr>
        <w:pStyle w:val="BodyText"/>
        <w:spacing w:line="240" w:lineRule="auto" w:before="51"/>
        <w:ind w:right="141"/>
        <w:jc w:val="left"/>
      </w:pPr>
      <w:r>
        <w:rPr/>
        <w:t>本公司作为承租方：</w:t>
      </w:r>
    </w:p>
    <w:p>
      <w:pPr>
        <w:pStyle w:val="BodyText"/>
        <w:spacing w:line="240" w:lineRule="auto" w:before="117"/>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深圳华大生命科学研究院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3" w:right="0"/>
              <w:jc w:val="left"/>
              <w:rPr>
                <w:rFonts w:ascii="Times New Roman" w:hAnsi="Times New Roman" w:cs="Times New Roman" w:eastAsia="Times New Roman" w:hint="default"/>
                <w:sz w:val="18"/>
                <w:szCs w:val="18"/>
              </w:rPr>
            </w:pPr>
            <w:r>
              <w:rPr>
                <w:rFonts w:ascii="Times New Roman"/>
                <w:sz w:val="18"/>
              </w:rPr>
              <w:t>1,589,023.21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1,650,126.77</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华大基因香港研发中心有限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2,193,374.26</w:t>
            </w:r>
          </w:p>
        </w:tc>
      </w:tr>
    </w:tbl>
    <w:p>
      <w:pPr>
        <w:spacing w:line="240" w:lineRule="auto" w:before="7"/>
        <w:rPr>
          <w:rFonts w:ascii="宋体" w:hAnsi="宋体" w:cs="宋体" w:eastAsia="宋体" w:hint="default"/>
          <w:sz w:val="20"/>
          <w:szCs w:val="20"/>
        </w:rPr>
      </w:pPr>
    </w:p>
    <w:p>
      <w:pPr>
        <w:pStyle w:val="Heading4"/>
        <w:spacing w:line="588" w:lineRule="auto"/>
        <w:ind w:right="8238"/>
        <w:jc w:val="left"/>
        <w:rPr>
          <w:rFonts w:ascii="宋体" w:hAnsi="宋体" w:cs="宋体" w:eastAsia="宋体" w:hint="default"/>
          <w:b w:val="0"/>
          <w:bCs w:val="0"/>
        </w:rPr>
      </w:pPr>
      <w:r>
        <w:rPr/>
        <w:t>（</w:t>
      </w:r>
      <w:r>
        <w:rPr>
          <w:rFonts w:ascii="Times New Roman" w:hAnsi="Times New Roman" w:cs="Times New Roman" w:eastAsia="Times New Roman" w:hint="default"/>
        </w:rPr>
        <w:t>4</w:t>
      </w:r>
      <w:r>
        <w:rPr/>
        <w:t>）关联担保情况</w:t>
      </w:r>
      <w:r>
        <w:rPr>
          <w:w w:val="99"/>
        </w:rPr>
        <w:t> </w:t>
      </w:r>
      <w:r>
        <w:rPr>
          <w:rFonts w:ascii="宋体" w:hAnsi="宋体" w:cs="宋体" w:eastAsia="宋体" w:hint="default"/>
          <w:b w:val="0"/>
          <w:bCs w:val="0"/>
        </w:rPr>
        <w:t>无</w:t>
      </w:r>
    </w:p>
    <w:p>
      <w:pPr>
        <w:pStyle w:val="Heading4"/>
        <w:spacing w:line="590" w:lineRule="auto" w:before="118"/>
        <w:ind w:right="8058"/>
        <w:jc w:val="left"/>
        <w:rPr>
          <w:rFonts w:ascii="宋体" w:hAnsi="宋体" w:cs="宋体" w:eastAsia="宋体" w:hint="default"/>
          <w:b w:val="0"/>
          <w:bCs w:val="0"/>
        </w:rPr>
      </w:pPr>
      <w:r>
        <w:rPr/>
        <w:t>（</w:t>
      </w:r>
      <w:r>
        <w:rPr>
          <w:rFonts w:ascii="Times New Roman" w:hAnsi="Times New Roman" w:cs="Times New Roman" w:eastAsia="Times New Roman" w:hint="default"/>
        </w:rPr>
        <w:t>5</w:t>
      </w:r>
      <w:r>
        <w:rPr/>
        <w:t>）关联方资金拆借</w:t>
      </w:r>
      <w:r>
        <w:rPr>
          <w:w w:val="99"/>
        </w:rPr>
        <w:t> </w:t>
      </w:r>
      <w:r>
        <w:rPr>
          <w:rFonts w:ascii="宋体" w:hAnsi="宋体" w:cs="宋体" w:eastAsia="宋体" w:hint="default"/>
          <w:b w:val="0"/>
          <w:bCs w:val="0"/>
        </w:rPr>
        <w:t>无</w:t>
      </w:r>
    </w:p>
    <w:p>
      <w:pPr>
        <w:pStyle w:val="Heading4"/>
        <w:spacing w:line="590" w:lineRule="auto" w:before="116"/>
        <w:ind w:right="6793"/>
        <w:jc w:val="left"/>
        <w:rPr>
          <w:rFonts w:ascii="宋体" w:hAnsi="宋体" w:cs="宋体" w:eastAsia="宋体" w:hint="default"/>
          <w:b w:val="0"/>
          <w:bCs w:val="0"/>
        </w:rPr>
      </w:pPr>
      <w:r>
        <w:rPr/>
        <w:t>（</w:t>
      </w:r>
      <w:r>
        <w:rPr>
          <w:rFonts w:ascii="Times New Roman" w:hAnsi="Times New Roman" w:cs="Times New Roman" w:eastAsia="Times New Roman" w:hint="default"/>
        </w:rPr>
        <w:t>6</w:t>
      </w:r>
      <w:r>
        <w:rPr/>
        <w:t>）关联方资产转让、债务重组情况</w:t>
      </w:r>
      <w:r>
        <w:rPr>
          <w:w w:val="99"/>
        </w:rPr>
        <w:t> </w:t>
      </w:r>
      <w:r>
        <w:rPr>
          <w:rFonts w:ascii="宋体" w:hAnsi="宋体" w:cs="宋体" w:eastAsia="宋体" w:hint="default"/>
          <w:b w:val="0"/>
          <w:bCs w:val="0"/>
        </w:rPr>
        <w:t>无</w:t>
      </w:r>
    </w:p>
    <w:p>
      <w:pPr>
        <w:spacing w:after="0" w:line="590" w:lineRule="auto"/>
        <w:jc w:val="left"/>
        <w:rPr>
          <w:rFonts w:ascii="宋体" w:hAnsi="宋体" w:cs="宋体" w:eastAsia="宋体" w:hint="default"/>
        </w:rPr>
        <w:sectPr>
          <w:pgSz w:w="11910" w:h="16840"/>
          <w:pgMar w:header="880" w:footer="974" w:top="1100" w:bottom="1160" w:left="980" w:right="980"/>
        </w:sectPr>
      </w:pPr>
    </w:p>
    <w:p>
      <w:pPr>
        <w:spacing w:line="240" w:lineRule="auto" w:before="3"/>
        <w:rPr>
          <w:rFonts w:ascii="宋体" w:hAnsi="宋体" w:cs="宋体" w:eastAsia="宋体" w:hint="default"/>
          <w:sz w:val="22"/>
          <w:szCs w:val="22"/>
        </w:rPr>
      </w:pPr>
    </w:p>
    <w:p>
      <w:pPr>
        <w:pStyle w:val="Heading4"/>
        <w:spacing w:line="240" w:lineRule="auto"/>
        <w:ind w:right="141"/>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10,018,325.68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12,789,498.82</w:t>
            </w:r>
          </w:p>
        </w:tc>
      </w:tr>
    </w:tbl>
    <w:p>
      <w:pPr>
        <w:pStyle w:val="BodyText"/>
        <w:spacing w:line="300" w:lineRule="auto" w:before="51"/>
        <w:ind w:right="143"/>
        <w:jc w:val="left"/>
      </w:pPr>
      <w:r>
        <w:rPr>
          <w:rFonts w:ascii="Times New Roman" w:hAnsi="Times New Roman" w:cs="Times New Roman" w:eastAsia="Times New Roman" w:hint="default"/>
        </w:rPr>
        <w:t>2017 </w:t>
      </w:r>
      <w:r>
        <w:rPr/>
        <w:t>年度，公司关键管理人员为董事、监事及高级管理人员，</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年度，公司关键管理人员为董事、监事、高级管理人员 及核心技术人员。</w:t>
      </w:r>
    </w:p>
    <w:p>
      <w:pPr>
        <w:spacing w:line="240" w:lineRule="auto" w:before="7"/>
        <w:rPr>
          <w:rFonts w:ascii="宋体" w:hAnsi="宋体" w:cs="宋体" w:eastAsia="宋体" w:hint="default"/>
          <w:sz w:val="25"/>
          <w:szCs w:val="25"/>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0"/>
        <w:rPr>
          <w:rFonts w:ascii="宋体" w:hAnsi="宋体" w:cs="宋体" w:eastAsia="宋体" w:hint="default"/>
          <w:b/>
          <w:bCs/>
          <w:sz w:val="18"/>
          <w:szCs w:val="18"/>
        </w:rPr>
      </w:pPr>
    </w:p>
    <w:p>
      <w:pPr>
        <w:pStyle w:val="BodyText"/>
        <w:spacing w:line="309" w:lineRule="auto" w:before="128"/>
        <w:ind w:right="234"/>
        <w:jc w:val="left"/>
      </w:pPr>
      <w:r>
        <w:rPr>
          <w:rFonts w:ascii="Times New Roman" w:hAnsi="Times New Roman" w:cs="Times New Roman" w:eastAsia="Times New Roman" w:hint="default"/>
        </w:rPr>
        <w:t>2013</w:t>
      </w:r>
      <w:r>
        <w:rPr/>
        <w:t>年公司进行业务重组，以双方拟定的协议价向最终控股股东收购子公司或构成业务合并的资产组。 公司从最终控股股东及其若干个子公司处获取了业务合同，按照合同购买或是重组协议，公司需要承担原合同项下的权利 和义务，包括但不限于继续向最终客户提供服务以及相应的收款权利。合同原签署方仍旧是相关关联方最终客户，回款通 常直接支付给原合同签约单位之后再定期转给公司。在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日止期间及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31</w:t>
      </w:r>
      <w:r>
        <w:rPr/>
        <w:t>日止期间，在以上协议下，公司向关联方或通过关联方向最终客户提供服务金额如下：</w:t>
      </w:r>
    </w:p>
    <w:tbl>
      <w:tblPr>
        <w:tblW w:w="0" w:type="auto"/>
        <w:jc w:val="left"/>
        <w:tblInd w:w="162" w:type="dxa"/>
        <w:tblLayout w:type="fixed"/>
        <w:tblCellMar>
          <w:top w:w="0" w:type="dxa"/>
          <w:left w:w="0" w:type="dxa"/>
          <w:bottom w:w="0" w:type="dxa"/>
          <w:right w:w="0" w:type="dxa"/>
        </w:tblCellMar>
        <w:tblLook w:val="01E0"/>
      </w:tblPr>
      <w:tblGrid>
        <w:gridCol w:w="4902"/>
        <w:gridCol w:w="2141"/>
        <w:gridCol w:w="2139"/>
      </w:tblGrid>
      <w:tr>
        <w:trPr>
          <w:trHeight w:val="763"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关联单位</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p>
          <w:p>
            <w:pPr>
              <w:pStyle w:val="TableParagraph"/>
              <w:spacing w:line="240" w:lineRule="auto" w:before="101"/>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日止期间</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p>
          <w:p>
            <w:pPr>
              <w:pStyle w:val="TableParagraph"/>
              <w:spacing w:line="240" w:lineRule="auto" w:before="101"/>
              <w:ind w:left="3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日止期间</w:t>
            </w:r>
          </w:p>
        </w:tc>
      </w:tr>
      <w:tr>
        <w:trPr>
          <w:trHeight w:val="341"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 w:right="0"/>
              <w:jc w:val="left"/>
              <w:rPr>
                <w:rFonts w:ascii="宋体" w:hAnsi="宋体" w:cs="宋体" w:eastAsia="宋体" w:hint="default"/>
                <w:sz w:val="18"/>
                <w:szCs w:val="18"/>
              </w:rPr>
            </w:pPr>
            <w:r>
              <w:rPr>
                <w:rFonts w:ascii="宋体" w:hAnsi="宋体" w:cs="宋体" w:eastAsia="宋体" w:hint="default"/>
                <w:sz w:val="18"/>
                <w:szCs w:val="18"/>
              </w:rPr>
              <w:t>华大控股</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2,521,451.16</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67,786,672.32</w:t>
            </w:r>
          </w:p>
        </w:tc>
      </w:tr>
      <w:tr>
        <w:trPr>
          <w:trHeight w:val="343"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深圳华大生命科学研究院</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right"/>
              <w:rPr>
                <w:rFonts w:ascii="Times New Roman" w:hAnsi="Times New Roman" w:cs="Times New Roman" w:eastAsia="Times New Roman" w:hint="default"/>
                <w:sz w:val="18"/>
                <w:szCs w:val="18"/>
              </w:rPr>
            </w:pPr>
            <w:r>
              <w:rPr>
                <w:rFonts w:ascii="Times New Roman"/>
                <w:spacing w:val="-1"/>
                <w:sz w:val="18"/>
              </w:rPr>
              <w:t>1,245,466.15</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right"/>
              <w:rPr>
                <w:rFonts w:ascii="Times New Roman" w:hAnsi="Times New Roman" w:cs="Times New Roman" w:eastAsia="Times New Roman" w:hint="default"/>
                <w:sz w:val="18"/>
                <w:szCs w:val="18"/>
              </w:rPr>
            </w:pPr>
            <w:r>
              <w:rPr>
                <w:rFonts w:ascii="Times New Roman"/>
                <w:spacing w:val="-1"/>
                <w:sz w:val="18"/>
              </w:rPr>
              <w:t>3,179,521.76</w:t>
            </w:r>
          </w:p>
        </w:tc>
      </w:tr>
      <w:tr>
        <w:trPr>
          <w:trHeight w:val="341"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 w:right="0"/>
              <w:jc w:val="left"/>
              <w:rPr>
                <w:rFonts w:ascii="宋体" w:hAnsi="宋体" w:cs="宋体" w:eastAsia="宋体" w:hint="default"/>
                <w:sz w:val="18"/>
                <w:szCs w:val="18"/>
              </w:rPr>
            </w:pPr>
            <w:r>
              <w:rPr>
                <w:rFonts w:ascii="宋体" w:hAnsi="宋体" w:cs="宋体" w:eastAsia="宋体" w:hint="default"/>
                <w:sz w:val="18"/>
                <w:szCs w:val="18"/>
              </w:rPr>
              <w:t>华大基因香港研发中心有限公司</w:t>
            </w:r>
          </w:p>
        </w:tc>
        <w:tc>
          <w:tcPr>
            <w:tcW w:w="2141"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104,673.45</w:t>
            </w:r>
          </w:p>
        </w:tc>
      </w:tr>
      <w:tr>
        <w:trPr>
          <w:trHeight w:val="34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right"/>
              <w:rPr>
                <w:rFonts w:ascii="Times New Roman" w:hAnsi="Times New Roman" w:cs="Times New Roman" w:eastAsia="Times New Roman" w:hint="default"/>
                <w:sz w:val="18"/>
                <w:szCs w:val="18"/>
              </w:rPr>
            </w:pPr>
            <w:r>
              <w:rPr>
                <w:rFonts w:ascii="Times New Roman"/>
                <w:spacing w:val="-1"/>
                <w:sz w:val="18"/>
              </w:rPr>
              <w:t>3,766,917.31</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right"/>
              <w:rPr>
                <w:rFonts w:ascii="Times New Roman" w:hAnsi="Times New Roman" w:cs="Times New Roman" w:eastAsia="Times New Roman" w:hint="default"/>
                <w:sz w:val="18"/>
                <w:szCs w:val="18"/>
              </w:rPr>
            </w:pPr>
            <w:r>
              <w:rPr>
                <w:rFonts w:ascii="Times New Roman"/>
                <w:spacing w:val="-1"/>
                <w:sz w:val="18"/>
              </w:rPr>
              <w:t>71,070,867.53</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3"/>
        <w:spacing w:line="240" w:lineRule="auto" w:before="36"/>
        <w:ind w:right="141"/>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01"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42"/>
              <w:jc w:val="left"/>
              <w:rPr>
                <w:rFonts w:ascii="Times New Roman" w:hAnsi="Times New Roman" w:cs="Times New Roman" w:eastAsia="Times New Roman" w:hint="default"/>
                <w:sz w:val="18"/>
                <w:szCs w:val="18"/>
              </w:rPr>
            </w:pPr>
            <w:r>
              <w:rPr>
                <w:rFonts w:ascii="Times New Roman"/>
                <w:sz w:val="18"/>
              </w:rPr>
              <w:t>Complete</w:t>
            </w:r>
            <w:r>
              <w:rPr>
                <w:rFonts w:ascii="Times New Roman"/>
                <w:spacing w:val="-4"/>
                <w:sz w:val="18"/>
              </w:rPr>
              <w:t> </w:t>
            </w:r>
            <w:r>
              <w:rPr>
                <w:rFonts w:ascii="Times New Roman"/>
                <w:sz w:val="18"/>
              </w:rPr>
              <w:t>Genomics,</w:t>
            </w:r>
            <w:r>
              <w:rPr>
                <w:rFonts w:ascii="Times New Roman"/>
                <w:w w:val="99"/>
                <w:sz w:val="18"/>
              </w:rPr>
              <w:t> </w:t>
            </w:r>
            <w:r>
              <w:rPr>
                <w:rFonts w:ascii="Times New Roman"/>
                <w:sz w:val="18"/>
              </w:rPr>
              <w:t>Inc.</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27,469,234.57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274,692.35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深圳华大生命科学 研究院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4,371,196.23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w w:val="95"/>
                <w:sz w:val="18"/>
              </w:rPr>
              <w:t>43,711.96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4,202,938.22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510,798.05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华大</w:t>
            </w:r>
            <w:r>
              <w:rPr>
                <w:rFonts w:ascii="Times New Roman" w:hAnsi="Times New Roman" w:cs="Times New Roman" w:eastAsia="Times New Roman" w:hint="default"/>
                <w:sz w:val="18"/>
                <w:szCs w:val="18"/>
              </w:rPr>
              <w:t>(</w:t>
            </w:r>
            <w:r>
              <w:rPr>
                <w:rFonts w:ascii="宋体" w:hAnsi="宋体" w:cs="宋体" w:eastAsia="宋体" w:hint="default"/>
                <w:sz w:val="18"/>
                <w:szCs w:val="18"/>
              </w:rPr>
              <w:t>镇江</w:t>
            </w:r>
            <w:r>
              <w:rPr>
                <w:rFonts w:ascii="Times New Roman" w:hAnsi="Times New Roman" w:cs="Times New Roman" w:eastAsia="Times New Roman" w:hint="default"/>
                <w:sz w:val="18"/>
                <w:szCs w:val="18"/>
              </w:rPr>
              <w:t>)</w:t>
            </w:r>
            <w:r>
              <w:rPr>
                <w:rFonts w:ascii="宋体" w:hAnsi="宋体" w:cs="宋体" w:eastAsia="宋体" w:hint="default"/>
                <w:sz w:val="18"/>
                <w:szCs w:val="18"/>
              </w:rPr>
              <w:t>水产科 技产业有限公司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1,278,888.77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80,231.49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496,792.43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4,967.92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华大控股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4,015,373.73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911,277.75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1,727,790.05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17,277.90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深圳华大海洋科技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68,693.17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818.41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北京华大方瑞司法</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18,267.74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8,121.51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36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物证鉴定中心</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云南华大基因研究 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6,459.77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42"/>
              <w:jc w:val="left"/>
              <w:rPr>
                <w:rFonts w:ascii="Times New Roman" w:hAnsi="Times New Roman" w:cs="Times New Roman" w:eastAsia="Times New Roman" w:hint="default"/>
                <w:sz w:val="18"/>
                <w:szCs w:val="18"/>
              </w:rPr>
            </w:pPr>
            <w:r>
              <w:rPr>
                <w:rFonts w:ascii="Times New Roman"/>
                <w:sz w:val="18"/>
              </w:rPr>
              <w:t>Complete</w:t>
            </w:r>
            <w:r>
              <w:rPr>
                <w:rFonts w:ascii="Times New Roman"/>
                <w:spacing w:val="-4"/>
                <w:sz w:val="18"/>
              </w:rPr>
              <w:t> </w:t>
            </w:r>
            <w:r>
              <w:rPr>
                <w:rFonts w:ascii="Times New Roman"/>
                <w:sz w:val="18"/>
              </w:rPr>
              <w:t>Genomics,</w:t>
            </w:r>
            <w:r>
              <w:rPr>
                <w:rFonts w:ascii="Times New Roman"/>
                <w:w w:val="99"/>
                <w:sz w:val="18"/>
              </w:rPr>
              <w:t> </w:t>
            </w:r>
            <w:r>
              <w:rPr>
                <w:rFonts w:ascii="Times New Roman"/>
                <w:sz w:val="18"/>
              </w:rPr>
              <w:t>Inc.</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688,948.34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深圳华大智造科技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24,097.86</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513"/>
              <w:jc w:val="left"/>
              <w:rPr>
                <w:rFonts w:ascii="Times New Roman" w:hAnsi="Times New Roman" w:cs="Times New Roman" w:eastAsia="Times New Roman" w:hint="default"/>
                <w:sz w:val="18"/>
                <w:szCs w:val="18"/>
              </w:rPr>
            </w:pPr>
            <w:r>
              <w:rPr>
                <w:rFonts w:ascii="Times New Roman"/>
                <w:sz w:val="18"/>
              </w:rPr>
              <w:t>Complete</w:t>
            </w:r>
            <w:r>
              <w:rPr>
                <w:rFonts w:ascii="Times New Roman"/>
                <w:w w:val="100"/>
                <w:sz w:val="18"/>
              </w:rPr>
              <w:t> </w:t>
            </w:r>
            <w:r>
              <w:rPr>
                <w:rFonts w:ascii="Times New Roman"/>
                <w:sz w:val="18"/>
              </w:rPr>
              <w:t>Genomics,Inc.</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30,522,800.00</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2"/>
              <w:jc w:val="left"/>
              <w:rPr>
                <w:rFonts w:ascii="宋体" w:hAnsi="宋体" w:cs="宋体" w:eastAsia="宋体" w:hint="default"/>
                <w:sz w:val="18"/>
                <w:szCs w:val="18"/>
              </w:rPr>
            </w:pPr>
            <w:r>
              <w:rPr>
                <w:rFonts w:ascii="宋体" w:hAnsi="宋体" w:cs="宋体" w:eastAsia="宋体" w:hint="default"/>
                <w:sz w:val="18"/>
                <w:szCs w:val="18"/>
              </w:rPr>
              <w:t>深圳华大智造科技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36,015,893.96</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深圳华大智造科技有限公司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59,854,112.43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1,336,625.40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苏州泓迅生物科技股份有限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3,558,180.84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5,687,893.49</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85"/>
              <w:jc w:val="left"/>
              <w:rPr>
                <w:rFonts w:ascii="Times New Roman" w:hAnsi="Times New Roman" w:cs="Times New Roman" w:eastAsia="Times New Roman" w:hint="default"/>
                <w:sz w:val="18"/>
                <w:szCs w:val="18"/>
              </w:rPr>
            </w:pPr>
            <w:r>
              <w:rPr>
                <w:rFonts w:ascii="Times New Roman"/>
                <w:sz w:val="18"/>
              </w:rPr>
              <w:t>BGI Complete Genomics</w:t>
            </w:r>
            <w:r>
              <w:rPr>
                <w:rFonts w:ascii="Times New Roman"/>
                <w:spacing w:val="-8"/>
                <w:sz w:val="18"/>
              </w:rPr>
              <w:t> </w:t>
            </w:r>
            <w:r>
              <w:rPr>
                <w:rFonts w:ascii="Times New Roman"/>
                <w:sz w:val="18"/>
              </w:rPr>
              <w:t>Hong</w:t>
            </w:r>
            <w:r>
              <w:rPr>
                <w:rFonts w:ascii="Times New Roman"/>
                <w:sz w:val="18"/>
              </w:rPr>
              <w:t> Kong</w:t>
            </w:r>
            <w:r>
              <w:rPr>
                <w:rFonts w:ascii="Times New Roman"/>
                <w:spacing w:val="-8"/>
                <w:sz w:val="18"/>
              </w:rPr>
              <w:t> </w:t>
            </w:r>
            <w:r>
              <w:rPr>
                <w:rFonts w:ascii="Times New Roman"/>
                <w:sz w:val="18"/>
              </w:rPr>
              <w:t>Co.,Limited</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237,697.18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Complete Genomics,</w:t>
            </w:r>
            <w:r>
              <w:rPr>
                <w:rFonts w:ascii="Times New Roman"/>
                <w:spacing w:val="-6"/>
                <w:sz w:val="18"/>
              </w:rPr>
              <w:t> </w:t>
            </w:r>
            <w:r>
              <w:rPr>
                <w:rFonts w:ascii="Times New Roman"/>
                <w:sz w:val="18"/>
              </w:rPr>
              <w:t>Inc.</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70,863.40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294,967.70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深圳华大海洋科技有限公司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1,481,282.75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17,358.49</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华大控股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585,257.50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深圳市华大农业应用研究院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458,695.01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云南华大基因研究院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113,695.68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21,408.58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云南华大基因科技有限公司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15,299.04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101,549.81</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深圳华大生命科学研究院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158,723.97</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北京华大方瑞司法物证鉴定 中心</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281,194.40</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1"/>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1"/>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t>无</w:t>
      </w:r>
    </w:p>
    <w:p>
      <w:pPr>
        <w:spacing w:after="0" w:line="240" w:lineRule="auto"/>
        <w:jc w:val="left"/>
        <w:sectPr>
          <w:pgSz w:w="11910" w:h="16840"/>
          <w:pgMar w:header="880" w:footer="974" w:top="1100" w:bottom="1160" w:left="980" w:right="980"/>
        </w:sectPr>
      </w:pPr>
    </w:p>
    <w:p>
      <w:pPr>
        <w:spacing w:line="240" w:lineRule="auto" w:before="12"/>
        <w:rPr>
          <w:rFonts w:ascii="宋体" w:hAnsi="宋体" w:cs="宋体" w:eastAsia="宋体" w:hint="default"/>
          <w:sz w:val="19"/>
          <w:szCs w:val="19"/>
        </w:rPr>
      </w:pPr>
    </w:p>
    <w:p>
      <w:pPr>
        <w:pStyle w:val="Heading2"/>
        <w:spacing w:line="240" w:lineRule="auto" w:before="26"/>
        <w:ind w:right="141"/>
        <w:jc w:val="left"/>
        <w:rPr>
          <w:b w:val="0"/>
          <w:bCs w:val="0"/>
        </w:rPr>
      </w:pPr>
      <w:r>
        <w:rPr/>
        <w:t>十三、股份支付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spacing w:line="547" w:lineRule="auto" w:before="0"/>
        <w:ind w:left="152" w:right="69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pStyle w:val="Heading3"/>
        <w:spacing w:line="240" w:lineRule="auto" w:before="123"/>
        <w:ind w:right="141"/>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1"/>
        <w:jc w:val="left"/>
      </w:pPr>
      <w:r>
        <w:rPr/>
        <w:t>无</w:t>
      </w:r>
    </w:p>
    <w:p>
      <w:pPr>
        <w:spacing w:line="240" w:lineRule="auto" w:before="4"/>
        <w:rPr>
          <w:rFonts w:ascii="宋体" w:hAnsi="宋体" w:cs="宋体" w:eastAsia="宋体" w:hint="default"/>
          <w:sz w:val="25"/>
          <w:szCs w:val="25"/>
        </w:rPr>
      </w:pPr>
    </w:p>
    <w:p>
      <w:pPr>
        <w:pStyle w:val="Heading2"/>
        <w:spacing w:line="240" w:lineRule="auto"/>
        <w:ind w:right="141"/>
        <w:jc w:val="left"/>
        <w:rPr>
          <w:b w:val="0"/>
          <w:bCs w:val="0"/>
        </w:rPr>
      </w:pP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1"/>
        <w:jc w:val="left"/>
      </w:pPr>
      <w:r>
        <w:rPr/>
        <w:t>资产负债表日存在的重要承诺</w:t>
      </w:r>
    </w:p>
    <w:p>
      <w:pPr>
        <w:pStyle w:val="BodyText"/>
        <w:spacing w:line="240" w:lineRule="auto" w:before="117"/>
        <w:ind w:right="141"/>
        <w:jc w:val="left"/>
      </w:pPr>
      <w:r>
        <w:rPr/>
        <w:t>（</w:t>
      </w:r>
      <w:r>
        <w:rPr>
          <w:rFonts w:ascii="Times New Roman" w:hAnsi="Times New Roman" w:cs="Times New Roman" w:eastAsia="Times New Roman" w:hint="default"/>
        </w:rPr>
        <w:t>1</w:t>
      </w:r>
      <w:r>
        <w:rPr/>
        <w:t>）香港</w:t>
      </w:r>
      <w:r>
        <w:rPr>
          <w:rFonts w:ascii="Times New Roman" w:hAnsi="Times New Roman" w:cs="Times New Roman" w:eastAsia="Times New Roman" w:hint="default"/>
        </w:rPr>
        <w:t>NIFTY</w:t>
      </w:r>
      <w:r>
        <w:rPr/>
        <w:t>和解承诺</w:t>
      </w:r>
    </w:p>
    <w:p>
      <w:pPr>
        <w:pStyle w:val="BodyText"/>
        <w:spacing w:line="300" w:lineRule="auto" w:before="103"/>
        <w:ind w:right="189" w:firstLine="358"/>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日，香港医学与雅士能基因科技有限公司和香港中文大学就专利诉讼签署了《和解协议》（详见招股书披 露）。根据《和解协议》，香港医学已于</w:t>
      </w:r>
      <w:r>
        <w:rPr>
          <w:rFonts w:ascii="Times New Roman" w:hAnsi="Times New Roman" w:cs="Times New Roman" w:eastAsia="Times New Roman" w:hint="default"/>
        </w:rPr>
        <w:t>2017</w:t>
      </w:r>
      <w:r>
        <w:rPr/>
        <w:t>年支付雅士能第一年年度的费用，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-2021</w:t>
      </w:r>
      <w:r>
        <w:rPr/>
        <w:t>年预计每年支付原告方的费用 低于公司</w:t>
      </w:r>
      <w:r>
        <w:rPr>
          <w:rFonts w:ascii="Times New Roman" w:hAnsi="Times New Roman" w:cs="Times New Roman" w:eastAsia="Times New Roman" w:hint="default"/>
        </w:rPr>
        <w:t>2017</w:t>
      </w:r>
      <w:r>
        <w:rPr/>
        <w:t>年利润总额的</w:t>
      </w:r>
      <w:r>
        <w:rPr>
          <w:rFonts w:ascii="Times New Roman" w:hAnsi="Times New Roman" w:cs="Times New Roman" w:eastAsia="Times New Roman" w:hint="default"/>
        </w:rPr>
        <w:t>1%</w:t>
      </w:r>
      <w:r>
        <w:rPr/>
        <w:t>。</w:t>
      </w:r>
    </w:p>
    <w:p>
      <w:pPr>
        <w:pStyle w:val="BodyText"/>
        <w:spacing w:line="240" w:lineRule="auto" w:before="51"/>
        <w:ind w:right="141"/>
        <w:jc w:val="left"/>
      </w:pPr>
      <w:r>
        <w:rPr/>
        <w:t>（</w:t>
      </w:r>
      <w:r>
        <w:rPr>
          <w:rFonts w:ascii="Times New Roman" w:hAnsi="Times New Roman" w:cs="Times New Roman" w:eastAsia="Times New Roman" w:hint="default"/>
        </w:rPr>
        <w:t>2</w:t>
      </w:r>
      <w:r>
        <w:rPr/>
        <w:t>）资本承诺</w:t>
      </w:r>
    </w:p>
    <w:p>
      <w:pPr>
        <w:spacing w:line="240" w:lineRule="auto" w:before="12"/>
        <w:rPr>
          <w:rFonts w:ascii="宋体" w:hAnsi="宋体" w:cs="宋体" w:eastAsia="宋体" w:hint="default"/>
          <w:sz w:val="27"/>
          <w:szCs w:val="27"/>
        </w:rPr>
      </w:pPr>
    </w:p>
    <w:tbl>
      <w:tblPr>
        <w:tblW w:w="0" w:type="auto"/>
        <w:jc w:val="left"/>
        <w:tblInd w:w="306" w:type="dxa"/>
        <w:tblLayout w:type="fixed"/>
        <w:tblCellMar>
          <w:top w:w="0" w:type="dxa"/>
          <w:left w:w="0" w:type="dxa"/>
          <w:bottom w:w="0" w:type="dxa"/>
          <w:right w:w="0" w:type="dxa"/>
        </w:tblCellMar>
        <w:tblLook w:val="01E0"/>
      </w:tblPr>
      <w:tblGrid>
        <w:gridCol w:w="4820"/>
        <w:gridCol w:w="2268"/>
        <w:gridCol w:w="1981"/>
      </w:tblGrid>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6" w:right="0"/>
              <w:jc w:val="left"/>
              <w:rPr>
                <w:rFonts w:ascii="宋体" w:hAnsi="宋体" w:cs="宋体" w:eastAsia="宋体" w:hint="default"/>
                <w:sz w:val="18"/>
                <w:szCs w:val="18"/>
              </w:rPr>
            </w:pPr>
            <w:r>
              <w:rPr>
                <w:rFonts w:ascii="宋体" w:hAnsi="宋体" w:cs="宋体" w:eastAsia="宋体" w:hint="default"/>
                <w:sz w:val="18"/>
                <w:szCs w:val="18"/>
              </w:rPr>
              <w:t>资本承诺</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已签约但未拨备</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17,475,801.48</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25,158,044.93</w:t>
            </w:r>
          </w:p>
        </w:tc>
      </w:tr>
    </w:tbl>
    <w:p>
      <w:pPr>
        <w:pStyle w:val="BodyText"/>
        <w:spacing w:line="376" w:lineRule="auto" w:before="10"/>
        <w:ind w:right="329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经营租赁承诺</w:t>
      </w:r>
      <w:r>
        <w:rPr>
          <w:w w:val="99"/>
        </w:rPr>
        <w:t> </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日，公司对外签订的不可撤销经营租赁的最低租赁付款额如下：</w:t>
      </w:r>
    </w:p>
    <w:tbl>
      <w:tblPr>
        <w:tblW w:w="0" w:type="auto"/>
        <w:jc w:val="left"/>
        <w:tblInd w:w="402" w:type="dxa"/>
        <w:tblLayout w:type="fixed"/>
        <w:tblCellMar>
          <w:top w:w="0" w:type="dxa"/>
          <w:left w:w="0" w:type="dxa"/>
          <w:bottom w:w="0" w:type="dxa"/>
          <w:right w:w="0" w:type="dxa"/>
        </w:tblCellMar>
        <w:tblLook w:val="01E0"/>
      </w:tblPr>
      <w:tblGrid>
        <w:gridCol w:w="4822"/>
        <w:gridCol w:w="2268"/>
        <w:gridCol w:w="1983"/>
      </w:tblGrid>
      <w:tr>
        <w:trPr>
          <w:trHeight w:val="470" w:hRule="exact"/>
        </w:trPr>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475" w:hRule="exact"/>
        </w:trPr>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18,809,534.05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23,980,601.56</w:t>
            </w:r>
          </w:p>
        </w:tc>
      </w:tr>
      <w:tr>
        <w:trPr>
          <w:trHeight w:val="475" w:hRule="exact"/>
        </w:trPr>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5,685,300.45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16,875,368.91</w:t>
            </w:r>
          </w:p>
        </w:tc>
      </w:tr>
      <w:tr>
        <w:trPr>
          <w:trHeight w:val="476" w:hRule="exact"/>
        </w:trPr>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pacing w:val="-1"/>
                <w:sz w:val="18"/>
              </w:rPr>
              <w:t>655,488.00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18"/>
                <w:szCs w:val="18"/>
              </w:rPr>
            </w:pPr>
            <w:r>
              <w:rPr>
                <w:rFonts w:ascii="Times New Roman"/>
                <w:spacing w:val="-1"/>
                <w:sz w:val="18"/>
              </w:rPr>
              <w:t>7,253,161.16</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402" w:type="dxa"/>
        <w:tblLayout w:type="fixed"/>
        <w:tblCellMar>
          <w:top w:w="0" w:type="dxa"/>
          <w:left w:w="0" w:type="dxa"/>
          <w:bottom w:w="0" w:type="dxa"/>
          <w:right w:w="0" w:type="dxa"/>
        </w:tblCellMar>
        <w:tblLook w:val="01E0"/>
      </w:tblPr>
      <w:tblGrid>
        <w:gridCol w:w="4822"/>
        <w:gridCol w:w="2268"/>
        <w:gridCol w:w="1983"/>
      </w:tblGrid>
      <w:tr>
        <w:trPr>
          <w:trHeight w:val="440" w:hRule="exact"/>
        </w:trPr>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8"/>
                <w:szCs w:val="18"/>
              </w:rPr>
            </w:pPr>
            <w:r>
              <w:rPr>
                <w:rFonts w:ascii="Times New Roman"/>
                <w:spacing w:val="-1"/>
                <w:sz w:val="18"/>
              </w:rPr>
              <w:t>2,367,856.00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18"/>
                <w:szCs w:val="18"/>
              </w:rPr>
            </w:pPr>
            <w:r>
              <w:rPr>
                <w:rFonts w:ascii="Times New Roman"/>
                <w:spacing w:val="-1"/>
                <w:sz w:val="18"/>
              </w:rPr>
              <w:t>6,634,208.09</w:t>
            </w:r>
          </w:p>
        </w:tc>
      </w:tr>
      <w:tr>
        <w:trPr>
          <w:trHeight w:val="528" w:hRule="exact"/>
        </w:trPr>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27,518,178.50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54,743,339.72</w:t>
            </w:r>
          </w:p>
        </w:tc>
      </w:tr>
    </w:tbl>
    <w:p>
      <w:pPr>
        <w:spacing w:line="240" w:lineRule="auto" w:before="3"/>
        <w:rPr>
          <w:rFonts w:ascii="宋体" w:hAnsi="宋体" w:cs="宋体" w:eastAsia="宋体" w:hint="default"/>
          <w:sz w:val="19"/>
          <w:szCs w:val="19"/>
        </w:rPr>
      </w:pPr>
    </w:p>
    <w:p>
      <w:pPr>
        <w:pStyle w:val="Heading3"/>
        <w:spacing w:line="240" w:lineRule="auto" w:before="36"/>
        <w:ind w:right="324"/>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6"/>
          <w:szCs w:val="26"/>
        </w:rPr>
      </w:pPr>
    </w:p>
    <w:p>
      <w:pPr>
        <w:pStyle w:val="Heading4"/>
        <w:spacing w:line="588" w:lineRule="auto" w:before="0"/>
        <w:ind w:right="6792"/>
        <w:jc w:val="left"/>
        <w:rPr>
          <w:rFonts w:ascii="宋体" w:hAnsi="宋体" w:cs="宋体" w:eastAsia="宋体" w:hint="default"/>
          <w:b w:val="0"/>
          <w:bCs w:val="0"/>
        </w:rPr>
      </w:pPr>
      <w:r>
        <w:rPr/>
        <w:t>（</w:t>
      </w:r>
      <w:r>
        <w:rPr>
          <w:rFonts w:ascii="Times New Roman" w:hAnsi="Times New Roman" w:cs="Times New Roman" w:eastAsia="Times New Roman" w:hint="default"/>
        </w:rPr>
        <w:t>1</w:t>
      </w:r>
      <w:r>
        <w:rPr/>
        <w:t>）资产负债表日存在的重要或有事项</w:t>
      </w:r>
      <w:r>
        <w:rPr>
          <w:w w:val="99"/>
        </w:rPr>
        <w:t> </w:t>
      </w:r>
      <w:r>
        <w:rPr>
          <w:rFonts w:ascii="宋体" w:hAnsi="宋体" w:cs="宋体" w:eastAsia="宋体" w:hint="default"/>
          <w:b w:val="0"/>
          <w:bCs w:val="0"/>
        </w:rPr>
        <w:t>无</w:t>
      </w:r>
    </w:p>
    <w:p>
      <w:pPr>
        <w:spacing w:line="590" w:lineRule="auto" w:before="118"/>
        <w:ind w:left="152" w:right="5527"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）公司没有需要披露的重要或有事项，也应予以说明</w:t>
      </w:r>
      <w:r>
        <w:rPr>
          <w:rFonts w:ascii="宋体" w:hAnsi="宋体" w:cs="宋体" w:eastAsia="宋体" w:hint="default"/>
          <w:b/>
          <w:bCs/>
          <w:w w:val="99"/>
          <w:sz w:val="18"/>
          <w:szCs w:val="18"/>
        </w:rPr>
        <w:t> </w:t>
      </w:r>
      <w:r>
        <w:rPr>
          <w:rFonts w:ascii="宋体" w:hAnsi="宋体" w:cs="宋体" w:eastAsia="宋体" w:hint="default"/>
          <w:sz w:val="18"/>
          <w:szCs w:val="18"/>
        </w:rPr>
        <w:t>公司不存在需要披露的重要或有事项。</w:t>
      </w:r>
    </w:p>
    <w:p>
      <w:pPr>
        <w:pStyle w:val="Heading3"/>
        <w:spacing w:line="240" w:lineRule="auto" w:before="88"/>
        <w:ind w:right="324"/>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324"/>
        <w:jc w:val="left"/>
      </w:pPr>
      <w:r>
        <w:rPr/>
        <w:t>无</w:t>
      </w:r>
    </w:p>
    <w:p>
      <w:pPr>
        <w:spacing w:line="240" w:lineRule="auto" w:before="3"/>
        <w:rPr>
          <w:rFonts w:ascii="宋体" w:hAnsi="宋体" w:cs="宋体" w:eastAsia="宋体" w:hint="default"/>
          <w:sz w:val="25"/>
          <w:szCs w:val="25"/>
        </w:rPr>
      </w:pPr>
    </w:p>
    <w:p>
      <w:pPr>
        <w:pStyle w:val="Heading2"/>
        <w:spacing w:line="240" w:lineRule="auto"/>
        <w:ind w:right="324"/>
        <w:jc w:val="left"/>
        <w:rPr>
          <w:b w:val="0"/>
          <w:bCs w:val="0"/>
        </w:rPr>
      </w:pP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24"/>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32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324"/>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3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83"/>
        <w:gridCol w:w="4585"/>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120,030,000.00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120,030,000.00</w:t>
            </w:r>
          </w:p>
        </w:tc>
      </w:tr>
    </w:tbl>
    <w:p>
      <w:pPr>
        <w:spacing w:line="240" w:lineRule="auto" w:before="3"/>
        <w:rPr>
          <w:rFonts w:ascii="宋体" w:hAnsi="宋体" w:cs="宋体" w:eastAsia="宋体" w:hint="default"/>
          <w:sz w:val="19"/>
          <w:szCs w:val="19"/>
        </w:rPr>
      </w:pPr>
    </w:p>
    <w:p>
      <w:pPr>
        <w:pStyle w:val="Heading3"/>
        <w:spacing w:line="240" w:lineRule="auto" w:before="36"/>
        <w:ind w:right="324"/>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32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324"/>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pStyle w:val="BodyText"/>
        <w:spacing w:line="624" w:lineRule="exact" w:before="57"/>
        <w:ind w:left="513" w:right="324"/>
        <w:jc w:val="left"/>
      </w:pPr>
      <w:r>
        <w:rPr/>
        <w:t>作为出租人 融资租赁：于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日，未实现融资收益的余额为人民币</w:t>
      </w:r>
      <w:r>
        <w:rPr>
          <w:rFonts w:ascii="Times New Roman" w:hAnsi="Times New Roman" w:cs="Times New Roman" w:eastAsia="Times New Roman" w:hint="default"/>
        </w:rPr>
        <w:t>1,264,957.26</w:t>
      </w:r>
      <w:r>
        <w:rPr/>
        <w:t>元，采用实际利率法在租赁期内各个期间</w:t>
      </w:r>
    </w:p>
    <w:p>
      <w:pPr>
        <w:pStyle w:val="BodyText"/>
        <w:spacing w:line="213" w:lineRule="exact"/>
        <w:ind w:right="324"/>
        <w:jc w:val="left"/>
      </w:pPr>
      <w:r>
        <w:rPr/>
        <w:t>进行分摊。根据与承租人签订的租赁合同，不可撤销租赁的最低租赁收款额如下：</w:t>
      </w:r>
    </w:p>
    <w:p>
      <w:pPr>
        <w:spacing w:line="240" w:lineRule="auto" w:before="11"/>
        <w:rPr>
          <w:rFonts w:ascii="宋体" w:hAnsi="宋体" w:cs="宋体" w:eastAsia="宋体" w:hint="default"/>
          <w:sz w:val="28"/>
          <w:szCs w:val="28"/>
        </w:rPr>
      </w:pPr>
    </w:p>
    <w:tbl>
      <w:tblPr>
        <w:tblW w:w="0" w:type="auto"/>
        <w:jc w:val="left"/>
        <w:tblInd w:w="260" w:type="dxa"/>
        <w:tblLayout w:type="fixed"/>
        <w:tblCellMar>
          <w:top w:w="0" w:type="dxa"/>
          <w:left w:w="0" w:type="dxa"/>
          <w:bottom w:w="0" w:type="dxa"/>
          <w:right w:w="0" w:type="dxa"/>
        </w:tblCellMar>
        <w:tblLook w:val="01E0"/>
      </w:tblPr>
      <w:tblGrid>
        <w:gridCol w:w="4537"/>
        <w:gridCol w:w="2607"/>
        <w:gridCol w:w="2605"/>
      </w:tblGrid>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800,000.00</w:t>
            </w:r>
          </w:p>
        </w:tc>
        <w:tc>
          <w:tcPr>
            <w:tcW w:w="26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800"/>
        </w:sectPr>
      </w:pPr>
    </w:p>
    <w:p>
      <w:pPr>
        <w:spacing w:line="240" w:lineRule="auto" w:before="8"/>
        <w:rPr>
          <w:rFonts w:ascii="宋体" w:hAnsi="宋体" w:cs="宋体" w:eastAsia="宋体" w:hint="default"/>
          <w:sz w:val="24"/>
          <w:szCs w:val="24"/>
        </w:rPr>
      </w:pPr>
    </w:p>
    <w:tbl>
      <w:tblPr>
        <w:tblW w:w="0" w:type="auto"/>
        <w:jc w:val="left"/>
        <w:tblInd w:w="260" w:type="dxa"/>
        <w:tblLayout w:type="fixed"/>
        <w:tblCellMar>
          <w:top w:w="0" w:type="dxa"/>
          <w:left w:w="0" w:type="dxa"/>
          <w:bottom w:w="0" w:type="dxa"/>
          <w:right w:w="0" w:type="dxa"/>
        </w:tblCellMar>
        <w:tblLook w:val="01E0"/>
      </w:tblPr>
      <w:tblGrid>
        <w:gridCol w:w="4537"/>
        <w:gridCol w:w="2607"/>
        <w:gridCol w:w="2605"/>
      </w:tblGrid>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800,000.00</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800,000.00</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800,000.00</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3,200,000.00</w:t>
            </w:r>
          </w:p>
        </w:tc>
        <w:tc>
          <w:tcPr>
            <w:tcW w:w="26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right="324"/>
        <w:jc w:val="left"/>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24"/>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6"/>
          <w:szCs w:val="26"/>
        </w:rPr>
      </w:pPr>
    </w:p>
    <w:p>
      <w:pPr>
        <w:pStyle w:val="Heading4"/>
        <w:spacing w:line="588" w:lineRule="auto" w:before="0"/>
        <w:ind w:right="8599"/>
        <w:jc w:val="left"/>
        <w:rPr>
          <w:rFonts w:ascii="宋体" w:hAnsi="宋体" w:cs="宋体" w:eastAsia="宋体" w:hint="default"/>
          <w:b w:val="0"/>
          <w:bCs w:val="0"/>
        </w:rPr>
      </w:pPr>
      <w:r>
        <w:rPr/>
        <w:t>（</w:t>
      </w:r>
      <w:r>
        <w:rPr>
          <w:rFonts w:ascii="Times New Roman" w:hAnsi="Times New Roman" w:cs="Times New Roman" w:eastAsia="Times New Roman" w:hint="default"/>
        </w:rPr>
        <w:t>1</w:t>
      </w:r>
      <w:r>
        <w:rPr/>
        <w:t>）追溯重述法</w:t>
      </w:r>
      <w:r>
        <w:rPr>
          <w:w w:val="99"/>
        </w:rPr>
        <w:t> </w:t>
      </w:r>
      <w:r>
        <w:rPr>
          <w:rFonts w:ascii="宋体" w:hAnsi="宋体" w:cs="宋体" w:eastAsia="宋体" w:hint="default"/>
          <w:b w:val="0"/>
          <w:bCs w:val="0"/>
        </w:rPr>
        <w:t>无</w:t>
      </w:r>
    </w:p>
    <w:p>
      <w:pPr>
        <w:pStyle w:val="Heading4"/>
        <w:spacing w:line="590" w:lineRule="auto" w:before="118"/>
        <w:ind w:right="8599"/>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）未来适用法</w:t>
      </w:r>
      <w:r>
        <w:rPr>
          <w:w w:val="99"/>
        </w:rPr>
        <w:t> </w:t>
      </w:r>
      <w:r>
        <w:rPr>
          <w:rFonts w:ascii="宋体" w:hAnsi="宋体" w:cs="宋体" w:eastAsia="宋体" w:hint="default"/>
          <w:b w:val="0"/>
          <w:bCs w:val="0"/>
        </w:rPr>
        <w:t>无</w:t>
      </w:r>
    </w:p>
    <w:p>
      <w:pPr>
        <w:pStyle w:val="Heading3"/>
        <w:spacing w:line="240" w:lineRule="auto" w:before="90"/>
        <w:ind w:right="324"/>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32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324"/>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6"/>
          <w:szCs w:val="26"/>
        </w:rPr>
      </w:pPr>
    </w:p>
    <w:p>
      <w:pPr>
        <w:pStyle w:val="Heading4"/>
        <w:spacing w:line="590" w:lineRule="auto" w:before="0"/>
        <w:ind w:right="8057"/>
        <w:jc w:val="left"/>
        <w:rPr>
          <w:rFonts w:ascii="宋体" w:hAnsi="宋体" w:cs="宋体" w:eastAsia="宋体" w:hint="default"/>
          <w:b w:val="0"/>
          <w:bCs w:val="0"/>
        </w:rPr>
      </w:pPr>
      <w:r>
        <w:rPr/>
        <w:t>（</w:t>
      </w:r>
      <w:r>
        <w:rPr>
          <w:rFonts w:ascii="Times New Roman" w:hAnsi="Times New Roman" w:cs="Times New Roman" w:eastAsia="Times New Roman" w:hint="default"/>
        </w:rPr>
        <w:t>1</w:t>
      </w:r>
      <w:r>
        <w:rPr/>
        <w:t>）非货币性资产交换</w:t>
      </w:r>
      <w:r>
        <w:rPr>
          <w:w w:val="99"/>
        </w:rPr>
        <w:t> </w:t>
      </w:r>
      <w:r>
        <w:rPr>
          <w:rFonts w:ascii="宋体" w:hAnsi="宋体" w:cs="宋体" w:eastAsia="宋体" w:hint="default"/>
          <w:b w:val="0"/>
          <w:bCs w:val="0"/>
        </w:rPr>
        <w:t>无</w:t>
      </w:r>
    </w:p>
    <w:p>
      <w:pPr>
        <w:pStyle w:val="Heading4"/>
        <w:spacing w:line="588" w:lineRule="auto" w:before="116"/>
        <w:ind w:right="8418"/>
        <w:jc w:val="left"/>
        <w:rPr>
          <w:rFonts w:ascii="宋体" w:hAnsi="宋体" w:cs="宋体" w:eastAsia="宋体" w:hint="default"/>
          <w:b w:val="0"/>
          <w:bCs w:val="0"/>
        </w:rPr>
      </w:pPr>
      <w:r>
        <w:rPr/>
        <w:t>（</w:t>
      </w:r>
      <w:r>
        <w:rPr>
          <w:rFonts w:ascii="Times New Roman" w:hAnsi="Times New Roman" w:cs="Times New Roman" w:eastAsia="Times New Roman" w:hint="default"/>
        </w:rPr>
        <w:t>2</w:t>
      </w:r>
      <w:r>
        <w:rPr/>
        <w:t>）其他资产置换</w:t>
      </w:r>
      <w:r>
        <w:rPr>
          <w:w w:val="99"/>
        </w:rPr>
        <w:t> </w:t>
      </w:r>
      <w:r>
        <w:rPr>
          <w:rFonts w:ascii="宋体" w:hAnsi="宋体" w:cs="宋体" w:eastAsia="宋体" w:hint="default"/>
          <w:b w:val="0"/>
          <w:bCs w:val="0"/>
        </w:rPr>
        <w:t>无</w:t>
      </w:r>
    </w:p>
    <w:p>
      <w:pPr>
        <w:pStyle w:val="Heading3"/>
        <w:spacing w:line="240" w:lineRule="auto" w:before="93"/>
        <w:ind w:right="324"/>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32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324"/>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24"/>
        <w:jc w:val="left"/>
      </w:pPr>
      <w:r>
        <w:rPr/>
        <w:t>无</w:t>
      </w:r>
    </w:p>
    <w:p>
      <w:pPr>
        <w:spacing w:after="0" w:line="240" w:lineRule="auto"/>
        <w:jc w:val="left"/>
        <w:sectPr>
          <w:pgSz w:w="11910" w:h="16840"/>
          <w:pgMar w:header="880" w:footer="974" w:top="1100" w:bottom="1160" w:left="980" w:right="800"/>
        </w:sectPr>
      </w:pPr>
    </w:p>
    <w:p>
      <w:pPr>
        <w:spacing w:line="240" w:lineRule="auto" w:before="12"/>
        <w:rPr>
          <w:rFonts w:ascii="宋体" w:hAnsi="宋体" w:cs="宋体" w:eastAsia="宋体" w:hint="default"/>
          <w:sz w:val="20"/>
          <w:szCs w:val="20"/>
        </w:rPr>
      </w:pPr>
    </w:p>
    <w:p>
      <w:pPr>
        <w:pStyle w:val="Heading3"/>
        <w:spacing w:line="240" w:lineRule="auto" w:before="36"/>
        <w:ind w:right="691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6"/>
          <w:szCs w:val="26"/>
        </w:rPr>
      </w:pPr>
    </w:p>
    <w:p>
      <w:pPr>
        <w:pStyle w:val="Heading4"/>
        <w:spacing w:line="588" w:lineRule="auto" w:before="0"/>
        <w:ind w:right="6913"/>
        <w:jc w:val="left"/>
        <w:rPr>
          <w:rFonts w:ascii="宋体" w:hAnsi="宋体" w:cs="宋体" w:eastAsia="宋体" w:hint="default"/>
          <w:b w:val="0"/>
          <w:bCs w:val="0"/>
        </w:rPr>
      </w:pPr>
      <w:r>
        <w:rPr/>
        <w:t>（</w:t>
      </w:r>
      <w:r>
        <w:rPr>
          <w:rFonts w:ascii="Times New Roman" w:hAnsi="Times New Roman" w:cs="Times New Roman" w:eastAsia="Times New Roman" w:hint="default"/>
        </w:rPr>
        <w:t>1</w:t>
      </w:r>
      <w:r>
        <w:rPr/>
        <w:t>）报告分部的确定依据与会计政策</w:t>
      </w:r>
      <w:r>
        <w:rPr>
          <w:w w:val="99"/>
        </w:rPr>
        <w:t> </w:t>
      </w:r>
      <w:r>
        <w:rPr>
          <w:rFonts w:ascii="宋体" w:hAnsi="宋体" w:cs="宋体" w:eastAsia="宋体" w:hint="default"/>
          <w:b w:val="0"/>
          <w:bCs w:val="0"/>
        </w:rPr>
        <w:t>无</w:t>
      </w:r>
    </w:p>
    <w:p>
      <w:pPr>
        <w:pStyle w:val="Heading4"/>
        <w:spacing w:line="590" w:lineRule="auto" w:before="118"/>
        <w:ind w:right="7816"/>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）报告分部的财务信息</w:t>
      </w:r>
      <w:r>
        <w:rPr>
          <w:w w:val="99"/>
        </w:rPr>
        <w:t> </w:t>
      </w:r>
      <w:r>
        <w:rPr>
          <w:rFonts w:ascii="宋体" w:hAnsi="宋体" w:cs="宋体" w:eastAsia="宋体" w:hint="default"/>
          <w:b w:val="0"/>
          <w:bCs w:val="0"/>
        </w:rPr>
        <w:t>无</w:t>
      </w:r>
    </w:p>
    <w:p>
      <w:pPr>
        <w:pStyle w:val="Heading4"/>
        <w:spacing w:line="240" w:lineRule="auto" w:before="113"/>
        <w:ind w:right="354"/>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8"/>
        <w:ind w:right="354" w:firstLine="360"/>
        <w:jc w:val="left"/>
      </w:pPr>
      <w:r>
        <w:rPr/>
        <w:t>公司依托世界领先的生物信息研发、转化和应用平台，通过基因检测、分析、解读等手段，提供完整的基因组学解决 方案，为临床行为提供诊断和治疗依据，为生命科学及医学创新提供技术和研究服务。管理层从内部组织机构、管理要 求、内部报告制度等方面考虑，认为公司内各公司的业务具有明显的相似性，因此把公司内所有公司视为一个经营分部。</w:t>
      </w:r>
    </w:p>
    <w:p>
      <w:pPr>
        <w:spacing w:line="240" w:lineRule="auto" w:before="7"/>
        <w:rPr>
          <w:rFonts w:ascii="宋体" w:hAnsi="宋体" w:cs="宋体" w:eastAsia="宋体" w:hint="default"/>
          <w:sz w:val="24"/>
          <w:szCs w:val="24"/>
        </w:rPr>
      </w:pPr>
    </w:p>
    <w:p>
      <w:pPr>
        <w:pStyle w:val="Heading4"/>
        <w:spacing w:line="240" w:lineRule="auto" w:before="0"/>
        <w:ind w:right="691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left="513" w:right="353" w:firstLine="60"/>
        <w:jc w:val="left"/>
      </w:pPr>
      <w:r>
        <w:rPr/>
        <w:t>经营分部 公司依托世界领先的生物信息研发、转化和应用平台，通过基因检测、分析、解读等手段，提供完整的基因组学解决</w:t>
      </w:r>
    </w:p>
    <w:p>
      <w:pPr>
        <w:pStyle w:val="BodyText"/>
        <w:spacing w:line="316" w:lineRule="auto" w:before="19"/>
        <w:ind w:right="354"/>
        <w:jc w:val="left"/>
      </w:pPr>
      <w:r>
        <w:rPr/>
        <w:t>方案，为临床行为提供诊断和治疗依据，为生命科学及医学创新提供技术和研究服务。管理层从内部组织机构、管理要 求、内部报告制度等方面考虑，认为公司内各公司的业务具有明显的相似性，因此把公司内所有公司视为一个经营分部。</w:t>
      </w:r>
    </w:p>
    <w:p>
      <w:pPr>
        <w:pStyle w:val="BodyText"/>
        <w:spacing w:line="316" w:lineRule="auto" w:before="19"/>
        <w:ind w:left="513" w:right="8273"/>
        <w:jc w:val="left"/>
      </w:pPr>
      <w:r>
        <w:rPr/>
        <w:t>产品和劳务信息 对外交易收入</w:t>
      </w:r>
    </w:p>
    <w:tbl>
      <w:tblPr>
        <w:tblW w:w="0" w:type="auto"/>
        <w:jc w:val="left"/>
        <w:tblInd w:w="448" w:type="dxa"/>
        <w:tblLayout w:type="fixed"/>
        <w:tblCellMar>
          <w:top w:w="0" w:type="dxa"/>
          <w:left w:w="0" w:type="dxa"/>
          <w:bottom w:w="0" w:type="dxa"/>
          <w:right w:w="0" w:type="dxa"/>
        </w:tblCellMar>
        <w:tblLook w:val="01E0"/>
      </w:tblPr>
      <w:tblGrid>
        <w:gridCol w:w="4933"/>
        <w:gridCol w:w="2134"/>
        <w:gridCol w:w="2425"/>
      </w:tblGrid>
      <w:tr>
        <w:trPr>
          <w:trHeight w:val="427" w:hRule="exact"/>
        </w:trPr>
        <w:tc>
          <w:tcPr>
            <w:tcW w:w="4933"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427" w:hRule="exact"/>
        </w:trPr>
        <w:tc>
          <w:tcPr>
            <w:tcW w:w="4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 w:right="0"/>
              <w:jc w:val="left"/>
              <w:rPr>
                <w:rFonts w:ascii="宋体" w:hAnsi="宋体" w:cs="宋体" w:eastAsia="宋体" w:hint="default"/>
                <w:sz w:val="18"/>
                <w:szCs w:val="18"/>
              </w:rPr>
            </w:pPr>
            <w:r>
              <w:rPr>
                <w:rFonts w:ascii="宋体" w:hAnsi="宋体" w:cs="宋体" w:eastAsia="宋体" w:hint="default"/>
                <w:sz w:val="18"/>
                <w:szCs w:val="18"/>
              </w:rPr>
              <w:t>生育健康</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1,136,064,795.57</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929,069,058.76</w:t>
            </w:r>
          </w:p>
        </w:tc>
      </w:tr>
      <w:tr>
        <w:trPr>
          <w:trHeight w:val="425" w:hRule="exact"/>
        </w:trPr>
        <w:tc>
          <w:tcPr>
            <w:tcW w:w="4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 w:right="0"/>
              <w:jc w:val="left"/>
              <w:rPr>
                <w:rFonts w:ascii="宋体" w:hAnsi="宋体" w:cs="宋体" w:eastAsia="宋体" w:hint="default"/>
                <w:sz w:val="18"/>
                <w:szCs w:val="18"/>
              </w:rPr>
            </w:pPr>
            <w:r>
              <w:rPr>
                <w:rFonts w:ascii="宋体" w:hAnsi="宋体" w:cs="宋体" w:eastAsia="宋体" w:hint="default"/>
                <w:sz w:val="18"/>
                <w:szCs w:val="18"/>
              </w:rPr>
              <w:t>复杂疾病</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456,523,704.01</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383,273,874.89</w:t>
            </w:r>
          </w:p>
        </w:tc>
      </w:tr>
      <w:tr>
        <w:trPr>
          <w:trHeight w:val="427" w:hRule="exact"/>
        </w:trPr>
        <w:tc>
          <w:tcPr>
            <w:tcW w:w="4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3" w:right="0"/>
              <w:jc w:val="left"/>
              <w:rPr>
                <w:rFonts w:ascii="宋体" w:hAnsi="宋体" w:cs="宋体" w:eastAsia="宋体" w:hint="default"/>
                <w:sz w:val="18"/>
                <w:szCs w:val="18"/>
              </w:rPr>
            </w:pPr>
            <w:r>
              <w:rPr>
                <w:rFonts w:ascii="宋体" w:hAnsi="宋体" w:cs="宋体" w:eastAsia="宋体" w:hint="default"/>
                <w:sz w:val="18"/>
                <w:szCs w:val="18"/>
              </w:rPr>
              <w:t>基础科研</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404,183,564.36</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329,138,478.37</w:t>
            </w:r>
          </w:p>
        </w:tc>
      </w:tr>
      <w:tr>
        <w:trPr>
          <w:trHeight w:val="427" w:hRule="exact"/>
        </w:trPr>
        <w:tc>
          <w:tcPr>
            <w:tcW w:w="4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3" w:right="0"/>
              <w:jc w:val="left"/>
              <w:rPr>
                <w:rFonts w:ascii="宋体" w:hAnsi="宋体" w:cs="宋体" w:eastAsia="宋体" w:hint="default"/>
                <w:sz w:val="18"/>
                <w:szCs w:val="18"/>
              </w:rPr>
            </w:pPr>
            <w:r>
              <w:rPr>
                <w:rFonts w:ascii="宋体" w:hAnsi="宋体" w:cs="宋体" w:eastAsia="宋体" w:hint="default"/>
                <w:sz w:val="18"/>
                <w:szCs w:val="18"/>
              </w:rPr>
              <w:t>药物研发</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90,856,777.25</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59,403,603.50</w:t>
            </w:r>
          </w:p>
        </w:tc>
      </w:tr>
      <w:tr>
        <w:trPr>
          <w:trHeight w:val="427" w:hRule="exact"/>
        </w:trPr>
        <w:tc>
          <w:tcPr>
            <w:tcW w:w="4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7,915,430.25</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10,613,238.14</w:t>
            </w:r>
          </w:p>
        </w:tc>
      </w:tr>
      <w:tr>
        <w:trPr>
          <w:trHeight w:val="428" w:hRule="exact"/>
        </w:trPr>
        <w:tc>
          <w:tcPr>
            <w:tcW w:w="4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3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2,095,544,271.44</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1,711,498,253.66</w:t>
            </w:r>
          </w:p>
        </w:tc>
      </w:tr>
    </w:tbl>
    <w:p>
      <w:pPr>
        <w:spacing w:line="240" w:lineRule="auto" w:before="12"/>
        <w:rPr>
          <w:rFonts w:ascii="宋体" w:hAnsi="宋体" w:cs="宋体" w:eastAsia="宋体" w:hint="default"/>
          <w:sz w:val="21"/>
          <w:szCs w:val="21"/>
        </w:rPr>
      </w:pPr>
    </w:p>
    <w:p>
      <w:pPr>
        <w:pStyle w:val="BodyText"/>
        <w:spacing w:line="316" w:lineRule="auto" w:before="44"/>
        <w:ind w:left="513" w:right="8453"/>
        <w:jc w:val="left"/>
      </w:pPr>
      <w:r>
        <w:rPr/>
        <w:t>地理信息 对外交易收入</w:t>
      </w:r>
    </w:p>
    <w:tbl>
      <w:tblPr>
        <w:tblW w:w="0" w:type="auto"/>
        <w:jc w:val="left"/>
        <w:tblInd w:w="448" w:type="dxa"/>
        <w:tblLayout w:type="fixed"/>
        <w:tblCellMar>
          <w:top w:w="0" w:type="dxa"/>
          <w:left w:w="0" w:type="dxa"/>
          <w:bottom w:w="0" w:type="dxa"/>
          <w:right w:w="0" w:type="dxa"/>
        </w:tblCellMar>
        <w:tblLook w:val="01E0"/>
      </w:tblPr>
      <w:tblGrid>
        <w:gridCol w:w="4943"/>
        <w:gridCol w:w="2066"/>
        <w:gridCol w:w="2427"/>
      </w:tblGrid>
      <w:tr>
        <w:trPr>
          <w:trHeight w:val="427" w:hRule="exact"/>
        </w:trPr>
        <w:tc>
          <w:tcPr>
            <w:tcW w:w="4943" w:type="dxa"/>
            <w:tcBorders>
              <w:top w:val="single" w:sz="6" w:space="0" w:color="000000"/>
              <w:left w:val="single" w:sz="6" w:space="0" w:color="000000"/>
              <w:bottom w:val="single" w:sz="6" w:space="0" w:color="000000"/>
              <w:right w:val="single" w:sz="6" w:space="0" w:color="000000"/>
            </w:tcBorders>
          </w:tcPr>
          <w:p>
            <w:pP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427" w:hRule="exact"/>
        </w:trPr>
        <w:tc>
          <w:tcPr>
            <w:tcW w:w="4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1,596,075,469.56</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1,303,925,557.28</w:t>
            </w:r>
          </w:p>
        </w:tc>
      </w:tr>
      <w:tr>
        <w:trPr>
          <w:trHeight w:val="427" w:hRule="exact"/>
        </w:trPr>
        <w:tc>
          <w:tcPr>
            <w:tcW w:w="4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欧洲、非洲及中东</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198,281,337.79</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180,915,902.05</w:t>
            </w:r>
          </w:p>
        </w:tc>
      </w:tr>
      <w:tr>
        <w:trPr>
          <w:trHeight w:val="427" w:hRule="exact"/>
        </w:trPr>
        <w:tc>
          <w:tcPr>
            <w:tcW w:w="4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3" w:right="0"/>
              <w:jc w:val="left"/>
              <w:rPr>
                <w:rFonts w:ascii="宋体" w:hAnsi="宋体" w:cs="宋体" w:eastAsia="宋体" w:hint="default"/>
                <w:sz w:val="18"/>
                <w:szCs w:val="18"/>
              </w:rPr>
            </w:pPr>
            <w:r>
              <w:rPr>
                <w:rFonts w:ascii="宋体" w:hAnsi="宋体" w:cs="宋体" w:eastAsia="宋体" w:hint="default"/>
                <w:sz w:val="18"/>
                <w:szCs w:val="18"/>
              </w:rPr>
              <w:t>美洲</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139,998,611.52</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111,712,494.82</w:t>
            </w:r>
          </w:p>
        </w:tc>
      </w:tr>
      <w:tr>
        <w:trPr>
          <w:trHeight w:val="428" w:hRule="exact"/>
        </w:trPr>
        <w:tc>
          <w:tcPr>
            <w:tcW w:w="4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 w:right="0"/>
              <w:jc w:val="left"/>
              <w:rPr>
                <w:rFonts w:ascii="宋体" w:hAnsi="宋体" w:cs="宋体" w:eastAsia="宋体" w:hint="default"/>
                <w:sz w:val="18"/>
                <w:szCs w:val="18"/>
              </w:rPr>
            </w:pPr>
            <w:r>
              <w:rPr>
                <w:rFonts w:ascii="宋体" w:hAnsi="宋体" w:cs="宋体" w:eastAsia="宋体" w:hint="default"/>
                <w:sz w:val="18"/>
                <w:szCs w:val="18"/>
              </w:rPr>
              <w:t>亚洲（不含中国大陆）</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161,188,852.57</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114,944,299.51</w:t>
            </w:r>
          </w:p>
        </w:tc>
      </w:tr>
      <w:tr>
        <w:trPr>
          <w:trHeight w:val="427" w:hRule="exact"/>
        </w:trPr>
        <w:tc>
          <w:tcPr>
            <w:tcW w:w="4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2,095,544,271.44</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1,711,498,253.66</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8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316" w:lineRule="auto" w:before="44"/>
        <w:ind w:left="513" w:right="6533"/>
        <w:jc w:val="left"/>
      </w:pPr>
      <w:r>
        <w:rPr/>
        <w:t>对外交易收入归属于客户所处区域。 非流动资产总额</w:t>
      </w:r>
    </w:p>
    <w:tbl>
      <w:tblPr>
        <w:tblW w:w="0" w:type="auto"/>
        <w:jc w:val="left"/>
        <w:tblInd w:w="448" w:type="dxa"/>
        <w:tblLayout w:type="fixed"/>
        <w:tblCellMar>
          <w:top w:w="0" w:type="dxa"/>
          <w:left w:w="0" w:type="dxa"/>
          <w:bottom w:w="0" w:type="dxa"/>
          <w:right w:w="0" w:type="dxa"/>
        </w:tblCellMar>
        <w:tblLook w:val="01E0"/>
      </w:tblPr>
      <w:tblGrid>
        <w:gridCol w:w="4962"/>
        <w:gridCol w:w="2081"/>
        <w:gridCol w:w="2312"/>
      </w:tblGrid>
      <w:tr>
        <w:trPr>
          <w:trHeight w:val="427" w:hRule="exact"/>
        </w:trPr>
        <w:tc>
          <w:tcPr>
            <w:tcW w:w="4962" w:type="dxa"/>
            <w:tcBorders>
              <w:top w:val="single" w:sz="6" w:space="0" w:color="000000"/>
              <w:left w:val="single" w:sz="6" w:space="0" w:color="000000"/>
              <w:bottom w:val="single" w:sz="6" w:space="0" w:color="000000"/>
              <w:right w:val="single" w:sz="6" w:space="0" w:color="000000"/>
            </w:tcBorders>
          </w:tcPr>
          <w:p>
            <w:pP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427" w:hRule="exact"/>
        </w:trPr>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702,043,862.27</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637,615,987.68</w:t>
            </w:r>
          </w:p>
        </w:tc>
      </w:tr>
      <w:tr>
        <w:trPr>
          <w:trHeight w:val="427" w:hRule="exact"/>
        </w:trPr>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259,038,562.04</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150,132,259.30</w:t>
            </w:r>
          </w:p>
        </w:tc>
      </w:tr>
      <w:tr>
        <w:trPr>
          <w:trHeight w:val="427" w:hRule="exact"/>
        </w:trPr>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9,098,702.06</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8,670,815.67</w:t>
            </w:r>
          </w:p>
        </w:tc>
      </w:tr>
      <w:tr>
        <w:trPr>
          <w:trHeight w:val="427" w:hRule="exact"/>
        </w:trPr>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5,610,362.90</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6,027,903.46</w:t>
            </w:r>
          </w:p>
        </w:tc>
      </w:tr>
      <w:tr>
        <w:trPr>
          <w:trHeight w:val="428" w:hRule="exact"/>
        </w:trPr>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975,791,489.27</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802,446,966.11</w:t>
            </w:r>
          </w:p>
        </w:tc>
      </w:tr>
    </w:tbl>
    <w:p>
      <w:pPr>
        <w:spacing w:line="240" w:lineRule="auto" w:before="12"/>
        <w:rPr>
          <w:rFonts w:ascii="宋体" w:hAnsi="宋体" w:cs="宋体" w:eastAsia="宋体" w:hint="default"/>
          <w:sz w:val="27"/>
          <w:szCs w:val="27"/>
        </w:rPr>
      </w:pPr>
    </w:p>
    <w:p>
      <w:pPr>
        <w:pStyle w:val="BodyText"/>
        <w:spacing w:line="316" w:lineRule="auto" w:before="44"/>
        <w:ind w:left="513" w:right="953"/>
        <w:jc w:val="left"/>
      </w:pPr>
      <w:r>
        <w:rPr/>
        <w:t>非流动资产归属于该资产所处区域，不包括金融资产、长期股权投资、递延所得税资产和其他非流动资产。 主要客户信息</w:t>
      </w:r>
    </w:p>
    <w:p>
      <w:pPr>
        <w:pStyle w:val="BodyText"/>
        <w:spacing w:line="240" w:lineRule="auto" w:before="19"/>
        <w:ind w:left="513" w:right="141"/>
        <w:jc w:val="left"/>
      </w:pPr>
      <w:r>
        <w:rPr>
          <w:rFonts w:ascii="Times New Roman" w:hAnsi="Times New Roman" w:cs="Times New Roman" w:eastAsia="Times New Roman" w:hint="default"/>
        </w:rPr>
        <w:t>2017</w:t>
      </w:r>
      <w:r>
        <w:rPr/>
        <w:t>年度及</w:t>
      </w:r>
      <w:r>
        <w:rPr>
          <w:rFonts w:ascii="Times New Roman" w:hAnsi="Times New Roman" w:cs="Times New Roman" w:eastAsia="Times New Roman" w:hint="default"/>
        </w:rPr>
        <w:t>2016</w:t>
      </w:r>
      <w:r>
        <w:rPr/>
        <w:t>年度，无对某一单个客户的收入达到或超过公司收入</w:t>
      </w:r>
      <w:r>
        <w:rPr>
          <w:rFonts w:ascii="Times New Roman" w:hAnsi="Times New Roman" w:cs="Times New Roman" w:eastAsia="Times New Roman" w:hint="default"/>
        </w:rPr>
        <w:t>10%</w:t>
      </w:r>
      <w:r>
        <w:rPr/>
        <w:t>。</w:t>
      </w:r>
    </w:p>
    <w:p>
      <w:pPr>
        <w:spacing w:line="240" w:lineRule="auto" w:before="13"/>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1"/>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1"/>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41"/>
        <w:jc w:val="left"/>
      </w:pPr>
      <w:r>
        <w:rPr/>
        <w:t>无</w:t>
      </w:r>
    </w:p>
    <w:p>
      <w:pPr>
        <w:spacing w:line="240" w:lineRule="auto" w:before="3"/>
        <w:rPr>
          <w:rFonts w:ascii="宋体" w:hAnsi="宋体" w:cs="宋体" w:eastAsia="宋体" w:hint="default"/>
          <w:sz w:val="25"/>
          <w:szCs w:val="25"/>
        </w:rPr>
      </w:pPr>
    </w:p>
    <w:p>
      <w:pPr>
        <w:pStyle w:val="Heading2"/>
        <w:spacing w:line="240" w:lineRule="auto"/>
        <w:ind w:right="141"/>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、其他应收款</w:t>
      </w:r>
      <w:r>
        <w:rPr>
          <w:b w:val="0"/>
          <w:bCs w:val="0"/>
        </w:rPr>
      </w:r>
    </w:p>
    <w:p>
      <w:pPr>
        <w:spacing w:line="240" w:lineRule="auto" w:before="7"/>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635"/>
        <w:gridCol w:w="763"/>
        <w:gridCol w:w="761"/>
        <w:gridCol w:w="763"/>
        <w:gridCol w:w="761"/>
        <w:gridCol w:w="790"/>
        <w:gridCol w:w="655"/>
        <w:gridCol w:w="761"/>
        <w:gridCol w:w="814"/>
        <w:gridCol w:w="932"/>
        <w:gridCol w:w="934"/>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979,105,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377.95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99.95%</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979,105,3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77.95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655,230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,845.97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99.91%</w:t>
            </w:r>
          </w:p>
        </w:tc>
        <w:tc>
          <w:tcPr>
            <w:tcW w:w="81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655,230,84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5.97</w:t>
            </w: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508,374.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508,374.3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574,471</w:t>
            </w:r>
          </w:p>
          <w:p>
            <w:pPr>
              <w:pStyle w:val="TableParagraph"/>
              <w:spacing w:line="240" w:lineRule="auto" w:before="102"/>
              <w:ind w:left="396" w:right="0"/>
              <w:jc w:val="left"/>
              <w:rPr>
                <w:rFonts w:ascii="Times New Roman" w:hAnsi="Times New Roman" w:cs="Times New Roman" w:eastAsia="Times New Roman" w:hint="default"/>
                <w:sz w:val="18"/>
                <w:szCs w:val="18"/>
              </w:rPr>
            </w:pPr>
            <w:r>
              <w:rPr>
                <w:rFonts w:ascii="Times New Roman"/>
                <w:sz w:val="18"/>
              </w:rPr>
              <w:t>.37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81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574,471.37</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0" w:right="0"/>
              <w:jc w:val="center"/>
              <w:rPr>
                <w:rFonts w:ascii="Times New Roman" w:hAnsi="Times New Roman" w:cs="Times New Roman" w:eastAsia="Times New Roman" w:hint="default"/>
                <w:sz w:val="18"/>
                <w:szCs w:val="18"/>
              </w:rPr>
            </w:pPr>
            <w:r>
              <w:rPr>
                <w:rFonts w:ascii="Times New Roman"/>
                <w:sz w:val="18"/>
              </w:rPr>
              <w:t>979,613,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8" w:right="0"/>
              <w:jc w:val="left"/>
              <w:rPr>
                <w:rFonts w:ascii="Times New Roman" w:hAnsi="Times New Roman" w:cs="Times New Roman" w:eastAsia="Times New Roman" w:hint="default"/>
                <w:sz w:val="18"/>
                <w:szCs w:val="18"/>
              </w:rPr>
            </w:pPr>
            <w:r>
              <w:rPr>
                <w:rFonts w:ascii="Times New Roman"/>
                <w:sz w:val="18"/>
              </w:rPr>
              <w:t>979,613,7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2" w:right="0"/>
              <w:jc w:val="center"/>
              <w:rPr>
                <w:rFonts w:ascii="Times New Roman" w:hAnsi="Times New Roman" w:cs="Times New Roman" w:eastAsia="Times New Roman" w:hint="default"/>
                <w:sz w:val="18"/>
                <w:szCs w:val="18"/>
              </w:rPr>
            </w:pPr>
            <w:r>
              <w:rPr>
                <w:rFonts w:ascii="Times New Roman"/>
                <w:sz w:val="18"/>
              </w:rPr>
              <w:t>655,805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655,805,31</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635"/>
        <w:gridCol w:w="763"/>
        <w:gridCol w:w="761"/>
        <w:gridCol w:w="763"/>
        <w:gridCol w:w="761"/>
        <w:gridCol w:w="790"/>
        <w:gridCol w:w="655"/>
        <w:gridCol w:w="761"/>
        <w:gridCol w:w="814"/>
        <w:gridCol w:w="932"/>
        <w:gridCol w:w="936"/>
      </w:tblGrid>
      <w:tr>
        <w:trPr>
          <w:trHeight w:val="36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7" w:right="0"/>
              <w:jc w:val="left"/>
              <w:rPr>
                <w:rFonts w:ascii="Times New Roman" w:hAnsi="Times New Roman" w:cs="Times New Roman" w:eastAsia="Times New Roman" w:hint="default"/>
                <w:sz w:val="18"/>
                <w:szCs w:val="18"/>
              </w:rPr>
            </w:pPr>
            <w:r>
              <w:rPr>
                <w:rFonts w:ascii="Times New Roman"/>
                <w:sz w:val="18"/>
              </w:rPr>
              <w:t>752.33</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2" w:right="0"/>
              <w:jc w:val="left"/>
              <w:rPr>
                <w:rFonts w:ascii="Times New Roman" w:hAnsi="Times New Roman" w:cs="Times New Roman" w:eastAsia="Times New Roman" w:hint="default"/>
                <w:sz w:val="18"/>
                <w:szCs w:val="18"/>
              </w:rPr>
            </w:pPr>
            <w:r>
              <w:rPr>
                <w:rFonts w:ascii="Times New Roman"/>
                <w:sz w:val="18"/>
              </w:rPr>
              <w:t>52.33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1" w:right="0"/>
              <w:jc w:val="left"/>
              <w:rPr>
                <w:rFonts w:ascii="Times New Roman" w:hAnsi="Times New Roman" w:cs="Times New Roman" w:eastAsia="Times New Roman" w:hint="default"/>
                <w:sz w:val="18"/>
                <w:szCs w:val="18"/>
              </w:rPr>
            </w:pPr>
            <w:r>
              <w:rPr>
                <w:rFonts w:ascii="Times New Roman"/>
                <w:sz w:val="18"/>
              </w:rPr>
              <w:t>,317.34</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5" w:right="0"/>
              <w:jc w:val="left"/>
              <w:rPr>
                <w:rFonts w:ascii="Times New Roman" w:hAnsi="Times New Roman" w:cs="Times New Roman" w:eastAsia="Times New Roman" w:hint="default"/>
                <w:sz w:val="18"/>
                <w:szCs w:val="18"/>
              </w:rPr>
            </w:pPr>
            <w:r>
              <w:rPr>
                <w:rFonts w:ascii="Times New Roman"/>
                <w:sz w:val="18"/>
              </w:rPr>
              <w:t>7.34</w:t>
            </w:r>
          </w:p>
        </w:tc>
      </w:tr>
    </w:tbl>
    <w:p>
      <w:pPr>
        <w:pStyle w:val="BodyText"/>
        <w:spacing w:line="240" w:lineRule="auto" w:before="51"/>
        <w:ind w:right="141"/>
        <w:jc w:val="left"/>
      </w:pPr>
      <w:r>
        <w:rPr/>
        <w:t>期末单项金额重大并单项计提坏账准备的其他应收款：</w:t>
      </w:r>
    </w:p>
    <w:p>
      <w:pPr>
        <w:pStyle w:val="BodyText"/>
        <w:spacing w:line="340" w:lineRule="auto" w:before="11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338" w:lineRule="auto" w:before="41"/>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组合中，采用余额百分比法计提坏账准备的其他应收款：</w:t>
      </w:r>
    </w:p>
    <w:p>
      <w:pPr>
        <w:pStyle w:val="BodyText"/>
        <w:spacing w:line="340" w:lineRule="auto" w:before="43"/>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4"/>
        <w:spacing w:line="240" w:lineRule="auto" w:before="130"/>
        <w:ind w:right="14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0"/>
        <w:rPr>
          <w:rFonts w:ascii="宋体" w:hAnsi="宋体" w:cs="宋体" w:eastAsia="宋体" w:hint="default"/>
          <w:b/>
          <w:bCs/>
          <w:sz w:val="18"/>
          <w:szCs w:val="18"/>
        </w:rPr>
      </w:pPr>
    </w:p>
    <w:p>
      <w:pPr>
        <w:pStyle w:val="BodyText"/>
        <w:spacing w:line="340" w:lineRule="auto" w:before="127"/>
        <w:ind w:right="4106"/>
        <w:jc w:val="left"/>
      </w:pPr>
      <w:r>
        <w:rPr/>
        <w:t>本期计提坏账准备金额</w:t>
      </w:r>
      <w:r>
        <w:rPr>
          <w:spacing w:val="-46"/>
        </w:rPr>
        <w:t> </w:t>
      </w:r>
      <w:r>
        <w:rPr>
          <w:rFonts w:ascii="Times New Roman" w:hAnsi="Times New Roman" w:cs="Times New Roman" w:eastAsia="Times New Roman" w:hint="default"/>
        </w:rPr>
        <w:t>0.00 </w:t>
      </w:r>
      <w:r>
        <w:rPr/>
        <w:t>元；本期收回或转回坏账准备金额</w:t>
      </w:r>
      <w:r>
        <w:rPr>
          <w:spacing w:val="-46"/>
        </w:rPr>
        <w:t> </w:t>
      </w:r>
      <w:r>
        <w:rPr>
          <w:rFonts w:ascii="Times New Roman" w:hAnsi="Times New Roman" w:cs="Times New Roman" w:eastAsia="Times New Roman" w:hint="default"/>
        </w:rPr>
        <w:t>0.00 </w:t>
      </w:r>
      <w:r>
        <w:rPr/>
        <w:t>元。 其中本期坏账准备转回或收回金额重要的：</w:t>
      </w:r>
    </w:p>
    <w:p>
      <w:pPr>
        <w:pStyle w:val="BodyText"/>
        <w:spacing w:line="240" w:lineRule="auto" w:before="39"/>
        <w:ind w:right="141"/>
        <w:jc w:val="left"/>
      </w:pPr>
      <w:r>
        <w:rPr/>
        <w:t>无</w:t>
      </w:r>
    </w:p>
    <w:p>
      <w:pPr>
        <w:spacing w:line="240" w:lineRule="auto" w:before="0"/>
        <w:rPr>
          <w:rFonts w:ascii="宋体" w:hAnsi="宋体" w:cs="宋体" w:eastAsia="宋体" w:hint="default"/>
          <w:sz w:val="18"/>
          <w:szCs w:val="18"/>
        </w:rPr>
      </w:pPr>
    </w:p>
    <w:p>
      <w:pPr>
        <w:pStyle w:val="Heading4"/>
        <w:spacing w:line="590" w:lineRule="auto" w:before="143"/>
        <w:ind w:right="6793"/>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）本期实际核销的其他应收款情况</w:t>
      </w:r>
      <w:r>
        <w:rPr>
          <w:w w:val="99"/>
        </w:rPr>
        <w:t> </w:t>
      </w:r>
      <w:r>
        <w:rPr>
          <w:rFonts w:ascii="宋体" w:hAnsi="宋体" w:cs="宋体" w:eastAsia="宋体" w:hint="default"/>
          <w:b w:val="0"/>
          <w:bCs w:val="0"/>
        </w:rPr>
        <w:t>无</w:t>
      </w:r>
    </w:p>
    <w:p>
      <w:pPr>
        <w:pStyle w:val="Heading4"/>
        <w:spacing w:line="240" w:lineRule="auto" w:before="116"/>
        <w:ind w:right="141"/>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68"/>
        <w:gridCol w:w="3101"/>
        <w:gridCol w:w="3099"/>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员工业务借款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443,057.48</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98,950.00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应收关联方款项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979,105,377.95</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655,230,845.97</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65,316.90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475,521.37</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979,613,752.33</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655,805,317.34</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683"/>
        <w:gridCol w:w="1553"/>
        <w:gridCol w:w="1550"/>
        <w:gridCol w:w="1553"/>
        <w:gridCol w:w="1616"/>
        <w:gridCol w:w="1615"/>
      </w:tblGrid>
      <w:tr>
        <w:trPr>
          <w:trHeight w:val="713"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26.50%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144,817,797.13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14.78%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135,487,313.05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13.83%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98,164,074.04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10.02%</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683"/>
        <w:gridCol w:w="1553"/>
        <w:gridCol w:w="1550"/>
        <w:gridCol w:w="1553"/>
        <w:gridCol w:w="1616"/>
        <w:gridCol w:w="1615"/>
      </w:tblGrid>
      <w:tr>
        <w:trPr>
          <w:trHeight w:val="363" w:hRule="exact"/>
        </w:trPr>
        <w:tc>
          <w:tcPr>
            <w:tcW w:w="168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58,260,552.93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696,329,737.15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71.08%</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0"/>
          <w:szCs w:val="20"/>
        </w:rPr>
      </w:pPr>
    </w:p>
    <w:p>
      <w:pPr>
        <w:pStyle w:val="Heading4"/>
        <w:spacing w:line="590" w:lineRule="auto"/>
        <w:ind w:right="7335"/>
        <w:jc w:val="left"/>
        <w:rPr>
          <w:rFonts w:ascii="宋体" w:hAnsi="宋体" w:cs="宋体" w:eastAsia="宋体" w:hint="default"/>
          <w:b w:val="0"/>
          <w:bCs w:val="0"/>
        </w:rPr>
      </w:pPr>
      <w:r>
        <w:rPr/>
        <w:t>（</w:t>
      </w:r>
      <w:r>
        <w:rPr>
          <w:rFonts w:ascii="Times New Roman" w:hAnsi="Times New Roman" w:cs="Times New Roman" w:eastAsia="Times New Roman" w:hint="default"/>
        </w:rPr>
        <w:t>6</w:t>
      </w:r>
      <w:r>
        <w:rPr/>
        <w:t>）涉及政府补助的应收款项</w:t>
      </w:r>
      <w:r>
        <w:rPr>
          <w:w w:val="99"/>
        </w:rPr>
        <w:t> </w:t>
      </w:r>
      <w:r>
        <w:rPr>
          <w:rFonts w:ascii="宋体" w:hAnsi="宋体" w:cs="宋体" w:eastAsia="宋体" w:hint="default"/>
          <w:b w:val="0"/>
          <w:bCs w:val="0"/>
        </w:rPr>
        <w:t>无</w:t>
      </w:r>
    </w:p>
    <w:p>
      <w:pPr>
        <w:pStyle w:val="Heading4"/>
        <w:spacing w:line="588" w:lineRule="auto" w:before="116"/>
        <w:ind w:right="6070"/>
        <w:jc w:val="left"/>
        <w:rPr>
          <w:rFonts w:ascii="宋体" w:hAnsi="宋体" w:cs="宋体" w:eastAsia="宋体" w:hint="default"/>
          <w:b w:val="0"/>
          <w:bCs w:val="0"/>
        </w:rPr>
      </w:pPr>
      <w:r>
        <w:rPr/>
        <w:t>（</w:t>
      </w:r>
      <w:r>
        <w:rPr>
          <w:rFonts w:ascii="Times New Roman" w:hAnsi="Times New Roman" w:cs="Times New Roman" w:eastAsia="Times New Roman" w:hint="default"/>
        </w:rPr>
        <w:t>7</w:t>
      </w:r>
      <w:r>
        <w:rPr/>
        <w:t>）因金融资产转移而终止确认的其他应收款</w:t>
      </w:r>
      <w:r>
        <w:rPr>
          <w:w w:val="99"/>
        </w:rPr>
        <w:t> </w:t>
      </w:r>
      <w:r>
        <w:rPr>
          <w:rFonts w:ascii="宋体" w:hAnsi="宋体" w:cs="宋体" w:eastAsia="宋体" w:hint="default"/>
          <w:b w:val="0"/>
          <w:bCs w:val="0"/>
        </w:rPr>
        <w:t>无</w:t>
      </w:r>
    </w:p>
    <w:p>
      <w:pPr>
        <w:pStyle w:val="Heading4"/>
        <w:spacing w:line="590" w:lineRule="auto" w:before="118"/>
        <w:ind w:right="5347"/>
        <w:jc w:val="left"/>
        <w:rPr>
          <w:rFonts w:ascii="宋体" w:hAnsi="宋体" w:cs="宋体" w:eastAsia="宋体" w:hint="default"/>
          <w:b w:val="0"/>
          <w:bCs w:val="0"/>
        </w:rPr>
      </w:pPr>
      <w:r>
        <w:rPr/>
        <w:t>（</w:t>
      </w:r>
      <w:r>
        <w:rPr>
          <w:rFonts w:ascii="Times New Roman" w:hAnsi="Times New Roman" w:cs="Times New Roman" w:eastAsia="Times New Roman" w:hint="default"/>
        </w:rPr>
        <w:t>8</w:t>
      </w:r>
      <w:r>
        <w:rPr/>
        <w:t>）转移其他应收款且继续涉入形成的资产、负债金额</w:t>
      </w:r>
      <w:r>
        <w:rPr>
          <w:w w:val="99"/>
        </w:rPr>
        <w:t> </w:t>
      </w:r>
      <w:r>
        <w:rPr>
          <w:rFonts w:ascii="宋体" w:hAnsi="宋体" w:cs="宋体" w:eastAsia="宋体" w:hint="default"/>
          <w:b w:val="0"/>
          <w:bCs w:val="0"/>
        </w:rPr>
        <w:t>无</w:t>
      </w:r>
    </w:p>
    <w:p>
      <w:pPr>
        <w:pStyle w:val="Heading3"/>
        <w:spacing w:line="240" w:lineRule="auto" w:before="90"/>
        <w:ind w:right="141"/>
        <w:jc w:val="left"/>
        <w:rPr>
          <w:b w:val="0"/>
          <w:bCs w:val="0"/>
        </w:rPr>
      </w:pPr>
      <w:r>
        <w:rPr>
          <w:rFonts w:ascii="Times New Roman" w:hAnsi="Times New Roman" w:cs="Times New Roman" w:eastAsia="Times New Roman" w:hint="default"/>
        </w:rPr>
        <w:t>2</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2,987,319,931.21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2,987,319,931.21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2,503,458,591.59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2,503,458,591.59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465,081.11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465,081.11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1,539,114.82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1,539,114.82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2,987,785,012.32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2,987,785,012.32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2,504,997,706.41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2,504,997,706.41</w:t>
            </w: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448"/>
        <w:gridCol w:w="1335"/>
        <w:gridCol w:w="1337"/>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上海华大基因科 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16,576,742.23</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16,576,742.23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北京华大优康科 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9,720,608.00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9,720,608.00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武汉华大医学检 验所有限公司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93,860,001.00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231,140,000.00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325,000,001.00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南京华大基因科 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19,033,750.00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19,033,750.00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448"/>
        <w:gridCol w:w="1335"/>
        <w:gridCol w:w="1337"/>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北京华大医学检 验所有限公司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7,920,000.00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本溪华大医学检 验所有限公司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272"/>
              <w:jc w:val="left"/>
              <w:rPr>
                <w:rFonts w:ascii="Times New Roman" w:hAnsi="Times New Roman" w:cs="Times New Roman" w:eastAsia="Times New Roman" w:hint="default"/>
                <w:sz w:val="18"/>
                <w:szCs w:val="18"/>
              </w:rPr>
            </w:pPr>
            <w:r>
              <w:rPr>
                <w:rFonts w:ascii="Times New Roman"/>
                <w:sz w:val="18"/>
              </w:rPr>
              <w:t>BGI</w:t>
            </w:r>
            <w:r>
              <w:rPr>
                <w:rFonts w:ascii="Times New Roman"/>
                <w:spacing w:val="-1"/>
                <w:sz w:val="18"/>
              </w:rPr>
              <w:t> </w:t>
            </w:r>
            <w:r>
              <w:rPr>
                <w:rFonts w:ascii="Times New Roman"/>
                <w:spacing w:val="-3"/>
                <w:sz w:val="18"/>
              </w:rPr>
              <w:t>HEALTH</w:t>
            </w:r>
            <w:r>
              <w:rPr>
                <w:rFonts w:ascii="Times New Roman"/>
                <w:w w:val="99"/>
                <w:sz w:val="18"/>
              </w:rPr>
              <w:t> </w:t>
            </w:r>
            <w:r>
              <w:rPr>
                <w:rFonts w:ascii="Times New Roman"/>
                <w:sz w:val="18"/>
              </w:rPr>
              <w:t>(HK) CO.,</w:t>
            </w:r>
            <w:r>
              <w:rPr>
                <w:rFonts w:ascii="Times New Roman"/>
                <w:spacing w:val="-2"/>
                <w:sz w:val="18"/>
              </w:rPr>
              <w:t> </w:t>
            </w:r>
            <w:r>
              <w:rPr>
                <w:rFonts w:ascii="Times New Roman"/>
                <w:spacing w:val="-7"/>
                <w:sz w:val="18"/>
              </w:rPr>
              <w:t>LTD</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36,090,815.00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36,090,815.00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天津华大基因科 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17,536,894.85</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17,536,894.85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天津华大医学检 验所有限公司</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170,412,939.62</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170,412,939.62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深圳华大临床检 验中心</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31,910,195.80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82,308,400.00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114,218,595.80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广州华大基因医 学检验所有限公 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深圳华大基因科 技服务有限公司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2,189,170,915.80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2,189,170,915.80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潍坊华大基因健 康科技有限公司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云南华大基因医 学有限公司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华大生物科技</w:t>
            </w:r>
          </w:p>
          <w:p>
            <w:pPr>
              <w:pStyle w:val="TableParagraph"/>
              <w:spacing w:line="316" w:lineRule="auto" w:before="76"/>
              <w:ind w:left="24" w:right="153"/>
              <w:jc w:val="left"/>
              <w:rPr>
                <w:rFonts w:ascii="宋体" w:hAnsi="宋体" w:cs="宋体" w:eastAsia="宋体" w:hint="default"/>
                <w:sz w:val="18"/>
                <w:szCs w:val="18"/>
              </w:rPr>
            </w:pPr>
            <w:r>
              <w:rPr>
                <w:rFonts w:ascii="宋体" w:hAnsi="宋体" w:cs="宋体" w:eastAsia="宋体" w:hint="default"/>
                <w:sz w:val="18"/>
                <w:szCs w:val="18"/>
              </w:rPr>
              <w:t>（武汉）有限公 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19,835,995.57</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19,835,995.57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3"/>
              <w:jc w:val="both"/>
              <w:rPr>
                <w:rFonts w:ascii="宋体" w:hAnsi="宋体" w:cs="宋体" w:eastAsia="宋体" w:hint="default"/>
                <w:sz w:val="18"/>
                <w:szCs w:val="18"/>
              </w:rPr>
            </w:pPr>
            <w:r>
              <w:rPr>
                <w:rFonts w:ascii="宋体" w:hAnsi="宋体" w:cs="宋体" w:eastAsia="宋体" w:hint="default"/>
                <w:sz w:val="18"/>
                <w:szCs w:val="18"/>
              </w:rPr>
              <w:t>深圳华大基因生 物医学工程有限 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12,431,955.96</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12,431,955.96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BGI Europe</w:t>
            </w:r>
            <w:r>
              <w:rPr>
                <w:rFonts w:ascii="Times New Roman"/>
                <w:spacing w:val="-13"/>
                <w:sz w:val="18"/>
              </w:rPr>
              <w:t> </w:t>
            </w:r>
            <w:r>
              <w:rPr>
                <w:rFonts w:ascii="Times New Roman"/>
                <w:sz w:val="18"/>
              </w:rPr>
              <w:t>A/S</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2,370,717.38</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2,370,717.38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53"/>
              <w:jc w:val="both"/>
              <w:rPr>
                <w:rFonts w:ascii="宋体" w:hAnsi="宋体" w:cs="宋体" w:eastAsia="宋体" w:hint="default"/>
                <w:sz w:val="18"/>
                <w:szCs w:val="18"/>
              </w:rPr>
            </w:pPr>
            <w:r>
              <w:rPr>
                <w:rFonts w:ascii="宋体" w:hAnsi="宋体" w:cs="宋体" w:eastAsia="宋体" w:hint="default"/>
                <w:sz w:val="18"/>
                <w:szCs w:val="18"/>
              </w:rPr>
              <w:t>青岛华大精准医 学管理中心有限 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2,503,458,591.59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483,861,339.62</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2,987,319,931.21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0"/>
          <w:szCs w:val="20"/>
        </w:rPr>
      </w:pPr>
    </w:p>
    <w:p>
      <w:pPr>
        <w:pStyle w:val="Heading4"/>
        <w:spacing w:line="240" w:lineRule="auto"/>
        <w:ind w:right="141"/>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795"/>
        <w:gridCol w:w="1049"/>
        <w:gridCol w:w="547"/>
        <w:gridCol w:w="797"/>
        <w:gridCol w:w="1066"/>
        <w:gridCol w:w="530"/>
        <w:gridCol w:w="800"/>
        <w:gridCol w:w="797"/>
        <w:gridCol w:w="799"/>
        <w:gridCol w:w="620"/>
        <w:gridCol w:w="977"/>
        <w:gridCol w:w="797"/>
      </w:tblGrid>
      <w:tr>
        <w:trPr>
          <w:trHeight w:val="401" w:hRule="exact"/>
        </w:trPr>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6" w:hRule="exact"/>
        </w:trPr>
        <w:tc>
          <w:tcPr>
            <w:tcW w:w="795"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8" w:right="86"/>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3"/>
              <w:ind w:left="76" w:right="77"/>
              <w:jc w:val="left"/>
              <w:rPr>
                <w:rFonts w:ascii="宋体" w:hAnsi="宋体" w:cs="宋体" w:eastAsia="宋体" w:hint="default"/>
                <w:sz w:val="18"/>
                <w:szCs w:val="18"/>
              </w:rPr>
            </w:pPr>
            <w:r>
              <w:rPr>
                <w:rFonts w:ascii="宋体" w:hAnsi="宋体" w:cs="宋体" w:eastAsia="宋体" w:hint="default"/>
                <w:sz w:val="18"/>
                <w:szCs w:val="18"/>
              </w:rPr>
              <w:t>权益法下确 认的投资损</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3"/>
              <w:ind w:left="81" w:right="77"/>
              <w:jc w:val="left"/>
              <w:rPr>
                <w:rFonts w:ascii="宋体" w:hAnsi="宋体" w:cs="宋体" w:eastAsia="宋体" w:hint="default"/>
                <w:sz w:val="18"/>
                <w:szCs w:val="18"/>
              </w:rPr>
            </w:pPr>
            <w:r>
              <w:rPr>
                <w:rFonts w:ascii="宋体" w:hAnsi="宋体" w:cs="宋体" w:eastAsia="宋体" w:hint="default"/>
                <w:sz w:val="18"/>
                <w:szCs w:val="18"/>
              </w:rPr>
              <w:t>其他 综合</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3"/>
              <w:ind w:left="33" w:right="31"/>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795"/>
        <w:gridCol w:w="1049"/>
        <w:gridCol w:w="547"/>
        <w:gridCol w:w="797"/>
        <w:gridCol w:w="1066"/>
        <w:gridCol w:w="530"/>
        <w:gridCol w:w="800"/>
        <w:gridCol w:w="797"/>
        <w:gridCol w:w="799"/>
        <w:gridCol w:w="620"/>
        <w:gridCol w:w="977"/>
        <w:gridCol w:w="797"/>
      </w:tblGrid>
      <w:tr>
        <w:trPr>
          <w:trHeight w:val="675" w:hRule="exact"/>
        </w:trPr>
        <w:tc>
          <w:tcPr>
            <w:tcW w:w="79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81" w:right="77"/>
              <w:jc w:val="left"/>
              <w:rPr>
                <w:rFonts w:ascii="宋体" w:hAnsi="宋体" w:cs="宋体" w:eastAsia="宋体" w:hint="default"/>
                <w:sz w:val="18"/>
                <w:szCs w:val="18"/>
              </w:rPr>
            </w:pPr>
            <w:r>
              <w:rPr>
                <w:rFonts w:ascii="宋体" w:hAnsi="宋体" w:cs="宋体" w:eastAsia="宋体" w:hint="default"/>
                <w:sz w:val="18"/>
                <w:szCs w:val="18"/>
              </w:rPr>
              <w:t>收益 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深圳市同 并相联科 技有限公 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1,539,114.82</w:t>
            </w:r>
          </w:p>
        </w:tc>
        <w:tc>
          <w:tcPr>
            <w:tcW w:w="5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-1,074,033.71</w:t>
            </w:r>
          </w:p>
        </w:tc>
        <w:tc>
          <w:tcPr>
            <w:tcW w:w="53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465,081.11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center"/>
              <w:rPr>
                <w:rFonts w:ascii="Times New Roman" w:hAnsi="Times New Roman" w:cs="Times New Roman" w:eastAsia="Times New Roman" w:hint="default"/>
                <w:sz w:val="18"/>
                <w:szCs w:val="18"/>
              </w:rPr>
            </w:pPr>
            <w:r>
              <w:rPr>
                <w:rFonts w:ascii="Times New Roman"/>
                <w:sz w:val="18"/>
              </w:rPr>
              <w:t>1,539,114.82</w:t>
            </w:r>
          </w:p>
        </w:tc>
        <w:tc>
          <w:tcPr>
            <w:tcW w:w="5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-1,074,033.71</w:t>
            </w:r>
          </w:p>
        </w:tc>
        <w:tc>
          <w:tcPr>
            <w:tcW w:w="53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465,081.11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7" w:right="0"/>
              <w:jc w:val="center"/>
              <w:rPr>
                <w:rFonts w:ascii="Times New Roman" w:hAnsi="Times New Roman" w:cs="Times New Roman" w:eastAsia="Times New Roman" w:hint="default"/>
                <w:sz w:val="18"/>
                <w:szCs w:val="18"/>
              </w:rPr>
            </w:pPr>
            <w:r>
              <w:rPr>
                <w:rFonts w:ascii="Times New Roman"/>
                <w:sz w:val="18"/>
              </w:rPr>
              <w:t>1,539,114.82</w:t>
            </w:r>
          </w:p>
        </w:tc>
        <w:tc>
          <w:tcPr>
            <w:tcW w:w="5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-1,074,033.71</w:t>
            </w:r>
          </w:p>
        </w:tc>
        <w:tc>
          <w:tcPr>
            <w:tcW w:w="53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465,081.11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0"/>
          <w:szCs w:val="20"/>
        </w:rPr>
      </w:pPr>
    </w:p>
    <w:p>
      <w:pPr>
        <w:pStyle w:val="Heading4"/>
        <w:spacing w:line="590" w:lineRule="auto"/>
        <w:ind w:right="860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）其他说明</w:t>
      </w:r>
      <w:r>
        <w:rPr>
          <w:w w:val="99"/>
        </w:rPr>
        <w:t> </w:t>
      </w:r>
      <w:r>
        <w:rPr>
          <w:rFonts w:ascii="宋体" w:hAnsi="宋体" w:cs="宋体" w:eastAsia="宋体" w:hint="default"/>
          <w:b w:val="0"/>
          <w:bCs w:val="0"/>
        </w:rPr>
        <w:t>无</w:t>
      </w:r>
    </w:p>
    <w:p>
      <w:pPr>
        <w:pStyle w:val="Heading3"/>
        <w:spacing w:line="240" w:lineRule="auto" w:before="90"/>
        <w:ind w:right="141"/>
        <w:jc w:val="left"/>
        <w:rPr>
          <w:b w:val="0"/>
          <w:bCs w:val="0"/>
        </w:rPr>
      </w:pPr>
      <w:r>
        <w:rPr>
          <w:rFonts w:ascii="Times New Roman" w:hAnsi="Times New Roman" w:cs="Times New Roman" w:eastAsia="Times New Roman" w:hint="default"/>
        </w:rPr>
        <w:t>3</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95"/>
        <w:gridCol w:w="1837"/>
        <w:gridCol w:w="1913"/>
        <w:gridCol w:w="1913"/>
        <w:gridCol w:w="1913"/>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2,466,787.44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1,259,524.57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2,939,835.00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1,374,437.25</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179,471,189.93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123,495,745.67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181,937,977.37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1,259,524.57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126,435,580.67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1,374,437.25</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4</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25"/>
        <w:gridCol w:w="3058"/>
        <w:gridCol w:w="3188"/>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-1,074,033.71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-684,258.07</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子公司分红</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103,683,692.96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65,294,939.81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71,079,165.72</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167,904,599.06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70,394,907.65</w:t>
            </w:r>
          </w:p>
        </w:tc>
      </w:tr>
    </w:tbl>
    <w:p>
      <w:pPr>
        <w:spacing w:line="240" w:lineRule="auto" w:before="3"/>
        <w:rPr>
          <w:rFonts w:ascii="宋体" w:hAnsi="宋体" w:cs="宋体" w:eastAsia="宋体" w:hint="default"/>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1"/>
        <w:jc w:val="left"/>
      </w:pPr>
      <w:r>
        <w:rPr/>
        <w:t>无</w:t>
      </w:r>
    </w:p>
    <w:p>
      <w:pPr>
        <w:spacing w:after="0" w:line="240" w:lineRule="auto"/>
        <w:jc w:val="left"/>
        <w:sectPr>
          <w:pgSz w:w="11910" w:h="16840"/>
          <w:pgMar w:header="880" w:footer="974" w:top="1100" w:bottom="1160" w:left="980" w:right="980"/>
        </w:sectPr>
      </w:pPr>
    </w:p>
    <w:p>
      <w:pPr>
        <w:spacing w:line="240" w:lineRule="auto" w:before="12"/>
        <w:rPr>
          <w:rFonts w:ascii="宋体" w:hAnsi="宋体" w:cs="宋体" w:eastAsia="宋体" w:hint="default"/>
          <w:sz w:val="19"/>
          <w:szCs w:val="19"/>
        </w:rPr>
      </w:pPr>
    </w:p>
    <w:p>
      <w:pPr>
        <w:pStyle w:val="Heading2"/>
        <w:spacing w:line="240" w:lineRule="auto" w:before="26"/>
        <w:ind w:right="141"/>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25"/>
        <w:gridCol w:w="3058"/>
        <w:gridCol w:w="3188"/>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-1,274,044.68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32,043,629.59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68,654,207.02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4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5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1,587,462.97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-9,837,215.53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12,002,806.82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1,013,267.68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78,157,964.87</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1"/>
        <w:jc w:val="left"/>
      </w:pPr>
      <w:r>
        <w:rPr/>
        <w:t>对公司根据《公开发行证券的公司信息披露解释性公告第</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非经常性损益》定义界定的非经常性损益项目，以及把</w:t>
      </w:r>
    </w:p>
    <w:p>
      <w:pPr>
        <w:pStyle w:val="BodyText"/>
        <w:spacing w:line="300" w:lineRule="auto" w:before="63"/>
        <w:ind w:right="236"/>
        <w:jc w:val="left"/>
      </w:pPr>
      <w:r>
        <w:rPr/>
        <w:t>《公开发行证券的公司信息披露解释性公告第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非经常性损益》中列举的非经常性损益项目界定为经常性损益的项 目，应说明原因。</w:t>
      </w:r>
    </w:p>
    <w:p>
      <w:pPr>
        <w:pStyle w:val="BodyText"/>
        <w:spacing w:line="240" w:lineRule="auto" w:before="70"/>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2663"/>
        <w:gridCol w:w="3080"/>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0"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w:t>
            </w:r>
          </w:p>
        </w:tc>
      </w:tr>
      <w:tr>
        <w:trPr>
          <w:trHeight w:val="716"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0.84</w:t>
            </w:r>
          </w:p>
        </w:tc>
      </w:tr>
    </w:tbl>
    <w:p>
      <w:pPr>
        <w:spacing w:line="240" w:lineRule="auto" w:before="3"/>
        <w:rPr>
          <w:rFonts w:ascii="宋体" w:hAnsi="宋体" w:cs="宋体" w:eastAsia="宋体" w:hint="default"/>
          <w:b/>
          <w:bCs/>
          <w:sz w:val="19"/>
          <w:szCs w:val="19"/>
        </w:rPr>
      </w:pPr>
    </w:p>
    <w:p>
      <w:pPr>
        <w:pStyle w:val="Heading3"/>
        <w:spacing w:line="240" w:lineRule="auto" w:before="36"/>
        <w:ind w:right="141"/>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6"/>
          <w:szCs w:val="26"/>
        </w:rPr>
      </w:pPr>
    </w:p>
    <w:p>
      <w:pPr>
        <w:pStyle w:val="Heading4"/>
        <w:spacing w:line="240" w:lineRule="auto" w:before="0"/>
        <w:ind w:right="141"/>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4"/>
        <w:spacing w:line="240" w:lineRule="auto" w:before="129"/>
        <w:ind w:right="141"/>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0" w:footer="974" w:top="1100" w:bottom="1160" w:left="980" w:right="980"/>
        </w:sectPr>
      </w:pPr>
    </w:p>
    <w:p>
      <w:pPr>
        <w:spacing w:line="240" w:lineRule="auto" w:before="3"/>
        <w:rPr>
          <w:rFonts w:ascii="宋体" w:hAnsi="宋体" w:cs="宋体" w:eastAsia="宋体" w:hint="default"/>
          <w:sz w:val="22"/>
          <w:szCs w:val="22"/>
        </w:rPr>
      </w:pPr>
    </w:p>
    <w:p>
      <w:pPr>
        <w:pStyle w:val="Heading4"/>
        <w:spacing w:line="302" w:lineRule="auto"/>
        <w:ind w:right="472"/>
        <w:jc w:val="left"/>
        <w:rPr>
          <w:b w:val="0"/>
          <w:bCs w:val="0"/>
        </w:rPr>
      </w:pPr>
      <w:r>
        <w:rPr>
          <w:w w:val="95"/>
        </w:rPr>
        <w:t>（</w:t>
      </w:r>
      <w:r>
        <w:rPr>
          <w:rFonts w:ascii="Times New Roman" w:hAnsi="Times New Roman" w:cs="Times New Roman" w:eastAsia="Times New Roman" w:hint="default"/>
          <w:w w:val="95"/>
        </w:rPr>
        <w:t>3</w:t>
      </w:r>
      <w:r>
        <w:rPr>
          <w:w w:val="95"/>
        </w:rPr>
        <w:t>）境内外会计准则下会计数据差异原因说明，对已经境外审计机构审计的数据进行差异调节的，应注明该境外机构的名    </w:t>
      </w:r>
      <w:r>
        <w:rPr>
          <w:spacing w:val="15"/>
          <w:w w:val="95"/>
        </w:rPr>
        <w:t> </w:t>
      </w:r>
      <w:r>
        <w:rPr>
          <w:spacing w:val="15"/>
          <w:w w:val="95"/>
        </w:rPr>
      </w:r>
      <w:r>
        <w:rPr/>
        <w:t>称</w:t>
      </w:r>
      <w:r>
        <w:rPr>
          <w:b w:val="0"/>
          <w:bCs w:val="0"/>
        </w:rPr>
      </w:r>
    </w:p>
    <w:p>
      <w:pPr>
        <w:spacing w:line="240" w:lineRule="auto" w:before="0"/>
        <w:rPr>
          <w:rFonts w:ascii="宋体" w:hAnsi="宋体" w:cs="宋体" w:eastAsia="宋体" w:hint="default"/>
          <w:b/>
          <w:bCs/>
          <w:sz w:val="25"/>
          <w:szCs w:val="25"/>
        </w:rPr>
      </w:pPr>
    </w:p>
    <w:p>
      <w:pPr>
        <w:spacing w:line="607" w:lineRule="auto" w:before="0"/>
        <w:ind w:left="152" w:right="9142" w:firstLine="0"/>
        <w:jc w:val="left"/>
        <w:rPr>
          <w:rFonts w:ascii="宋体" w:hAnsi="宋体" w:cs="宋体" w:eastAsia="宋体" w:hint="default"/>
          <w:sz w:val="18"/>
          <w:szCs w:val="18"/>
        </w:rPr>
      </w:pPr>
      <w:r>
        <w:rPr>
          <w:rFonts w:ascii="宋体" w:hAnsi="宋体" w:cs="宋体" w:eastAsia="宋体" w:hint="default"/>
          <w:sz w:val="18"/>
          <w:szCs w:val="18"/>
        </w:rPr>
        <w:t>无 </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w:t>
      </w:r>
      <w:r>
        <w:rPr>
          <w:rFonts w:ascii="宋体" w:hAnsi="宋体" w:cs="宋体" w:eastAsia="宋体" w:hint="default"/>
          <w:b/>
          <w:bCs/>
          <w:w w:val="99"/>
          <w:sz w:val="18"/>
          <w:szCs w:val="18"/>
        </w:rPr>
        <w:t> </w:t>
      </w:r>
      <w:r>
        <w:rPr>
          <w:rFonts w:ascii="宋体" w:hAnsi="宋体" w:cs="宋体" w:eastAsia="宋体" w:hint="default"/>
          <w:sz w:val="18"/>
          <w:szCs w:val="18"/>
        </w:rPr>
        <w:t>无</w:t>
      </w:r>
    </w:p>
    <w:p>
      <w:pPr>
        <w:spacing w:after="0" w:line="607"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1"/>
        <w:spacing w:line="240" w:lineRule="auto"/>
        <w:ind w:left="3285" w:right="141"/>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439" w:lineRule="auto"/>
        <w:ind w:left="424" w:right="1311" w:firstLine="91"/>
        <w:jc w:val="left"/>
      </w:pPr>
      <w:r>
        <w:rPr/>
        <w:t>一、载有公司法定代表人、主管会计工作的公司负责人与公司会计机构负责人签名并盖章的财务报表。 二、载有会计师事务所盖章、注册会计师签名并盖章的审计报告原件。 三、报告期内在中国证监会指定网站上公开披露过的所有公司文件的正本及公告的原稿。 四、经公司法定代表人尹烨先生签名的</w:t>
      </w:r>
      <w:r>
        <w:rPr>
          <w:rFonts w:ascii="Times New Roman" w:hAnsi="Times New Roman" w:cs="Times New Roman" w:eastAsia="Times New Roman" w:hint="default"/>
        </w:rPr>
        <w:t>2017</w:t>
      </w:r>
      <w:r>
        <w:rPr/>
        <w:t>年年度报告文本原件。</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6"/>
          <w:szCs w:val="16"/>
        </w:rPr>
      </w:pPr>
    </w:p>
    <w:p>
      <w:pPr>
        <w:pStyle w:val="BodyText"/>
        <w:spacing w:line="240" w:lineRule="auto"/>
        <w:ind w:left="424" w:right="141"/>
        <w:jc w:val="left"/>
      </w:pPr>
      <w:r>
        <w:rPr/>
        <w:t>以上备查文件的备置地点：深圳华大基因股份有限公司证券部办公室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18"/>
        <w:ind w:left="0" w:right="151"/>
        <w:jc w:val="right"/>
      </w:pPr>
      <w:r>
        <w:rPr/>
        <w:t>深圳华大基因股份有限公司</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left="0" w:right="151"/>
        <w:jc w:val="right"/>
      </w:pPr>
      <w:r>
        <w:rPr/>
        <w:t>法定代表人：尹烨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left="0" w:right="240"/>
        <w:jc w:val="righ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w:t>
      </w:r>
    </w:p>
    <w:sectPr>
      <w:pgSz w:w="11910" w:h="16840"/>
      <w:pgMar w:header="880" w:footer="974"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87793pt;width:6.5pt;height:11pt;mso-position-horizontal-relative:page;mso-position-vertical-relative:page;z-index:-12766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2.197937pt;width:13.15pt;height:11pt;mso-position-horizontal-relative:page;mso-position-vertical-relative:page;z-index:-1276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2.197937pt;width:13.15pt;height:11pt;mso-position-horizontal-relative:page;mso-position-vertical-relative:page;z-index:-1276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96</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2.197937pt;width:15.7pt;height:11pt;mso-position-horizontal-relative:page;mso-position-vertical-relative:page;z-index:-12762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1276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2.197937pt;width:17.3pt;height:11pt;mso-position-horizontal-relative:page;mso-position-vertical-relative:page;z-index:-1276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1276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7998pt;margin-top:535.573914pt;width:17.7pt;height:11pt;mso-position-horizontal-relative:page;mso-position-vertical-relative:page;z-index:-1276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1276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147</w:t>
                </w:r>
                <w:r>
                  <w:rPr/>
                  <w:fldChar w:fldCharType="end"/>
                </w:r>
                <w:r>
                  <w:rPr>
                    <w:rFonts w:ascii="Times New Roman"/>
                    <w:spacing w:val="1"/>
                  </w:rPr>
                </w:r>
                <w:r>
                  <w:rPr>
                    <w:rFonts w:ascii="Times New Roman"/>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1276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151</w:t>
                </w:r>
                <w:r>
                  <w:rPr/>
                  <w:fldChar w:fldCharType="end"/>
                </w:r>
                <w:r>
                  <w:rPr>
                    <w:rFonts w:ascii="Times New Roman"/>
                    <w:spacing w:val="1"/>
                  </w:rPr>
                </w:r>
                <w:r>
                  <w:rPr>
                    <w:rFonts w:ascii="Times New Roman"/>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1276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2.197937pt;width:13.15pt;height:11pt;mso-position-horizontal-relative:page;mso-position-vertical-relative:page;z-index:-1276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1276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161</w:t>
                </w:r>
                <w:r>
                  <w:rPr/>
                  <w:fldChar w:fldCharType="end"/>
                </w:r>
                <w:r>
                  <w:rPr>
                    <w:rFonts w:ascii="Times New Roman"/>
                    <w:spacing w:val="1"/>
                  </w:rPr>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1276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169</w:t>
                </w:r>
                <w:r>
                  <w:rPr/>
                  <w:fldChar w:fldCharType="end"/>
                </w:r>
                <w:r>
                  <w:rPr>
                    <w:rFonts w:ascii="Times New Roman"/>
                    <w:spacing w:val="1"/>
                  </w:rPr>
                </w:r>
                <w:r>
                  <w:rPr>
                    <w:rFonts w:ascii="Times New Roman"/>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1275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174</w:t>
                </w:r>
                <w:r>
                  <w:rPr/>
                  <w:fldChar w:fldCharType="end"/>
                </w:r>
                <w:r>
                  <w:rPr>
                    <w:rFonts w:ascii="Times New Roman"/>
                    <w:spacing w:val="1"/>
                  </w:rPr>
                </w:r>
                <w:r>
                  <w:rPr>
                    <w:rFonts w:ascii="Times New Roman"/>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1275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181</w:t>
                </w:r>
                <w:r>
                  <w:rPr/>
                  <w:fldChar w:fldCharType="end"/>
                </w:r>
                <w:r>
                  <w:rPr>
                    <w:rFonts w:ascii="Times New Roman"/>
                    <w:spacing w:val="1"/>
                  </w:rPr>
                </w:r>
                <w:r>
                  <w:rPr>
                    <w:rFonts w:ascii="Times New Roman"/>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7998pt;margin-top:535.573914pt;width:17.7pt;height:11pt;mso-position-horizontal-relative:page;mso-position-vertical-relative:page;z-index:-12758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183</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82.197937pt;width:13.15pt;height:11pt;mso-position-horizontal-relative:page;mso-position-vertical-relative:page;z-index:-1276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w:t>
                </w:r>
                <w:r>
                  <w:rPr/>
                  <w:fldChar w:fldCharType="end"/>
                </w:r>
                <w:r>
                  <w:rPr>
                    <w:rFonts w:ascii="Times New Roman"/>
                    <w:spacing w:val="1"/>
                  </w:rPr>
                </w:r>
                <w:r>
                  <w:rPr>
                    <w:rFonts w:ascii="Times New Roman"/>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12757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185</w:t>
                </w:r>
                <w:r>
                  <w:rPr/>
                  <w:fldChar w:fldCharType="end"/>
                </w:r>
                <w:r>
                  <w:rPr>
                    <w:rFonts w:ascii="Times New Roman"/>
                    <w:spacing w:val="1"/>
                  </w:rPr>
                </w:r>
                <w:r>
                  <w:rPr>
                    <w:rFonts w:ascii="Times New Roman"/>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1275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7998pt;margin-top:535.573914pt;width:17.7pt;height:11pt;mso-position-horizontal-relative:page;mso-position-vertical-relative:page;z-index:-12757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222</w:t>
                </w:r>
                <w:r>
                  <w:rPr/>
                  <w:fldChar w:fldCharType="end"/>
                </w:r>
                <w:r>
                  <w:rPr>
                    <w:rFonts w:ascii="Times New Roman"/>
                    <w:spacing w:val="1"/>
                  </w:rPr>
                </w:r>
                <w:r>
                  <w:rPr>
                    <w:rFonts w:ascii="Times New Roman"/>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12756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224</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82.197937pt;width:13.15pt;height:11pt;mso-position-horizontal-relative:page;mso-position-vertical-relative:page;z-index:-1276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22</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2.197937pt;width:13.15pt;height:11pt;mso-position-horizontal-relative:page;mso-position-vertical-relative:page;z-index:-1276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27</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2.197937pt;width:13.15pt;height:11pt;mso-position-horizontal-relative:page;mso-position-vertical-relative:page;z-index:-1276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28</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573914pt;width:13.15pt;height:11pt;mso-position-horizontal-relative:page;mso-position-vertical-relative:page;z-index:-1276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57</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2.197937pt;width:13.15pt;height:11pt;mso-position-horizontal-relative:page;mso-position-vertical-relative:page;z-index:-1276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59</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385609pt;width:195.75pt;height:11.5pt;mso-position-horizontal-relative:page;mso-position-vertical-relative:page;z-index:-1276720" type="#_x0000_t202" filled="false" stroked="false">
          <v:textbox inset="0,0,0,0">
            <w:txbxContent>
              <w:p>
                <w:pPr>
                  <w:pStyle w:val="BodyText"/>
                  <w:spacing w:line="214" w:lineRule="exact"/>
                  <w:ind w:left="20" w:right="0"/>
                  <w:jc w:val="left"/>
                </w:pPr>
                <w:r>
                  <w:rPr/>
                  <w:t>深圳华大基因股份有限公司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2759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985607pt;width:195.75pt;height:11.5pt;mso-position-horizontal-relative:page;mso-position-vertical-relative:page;z-index:-1275928" type="#_x0000_t202" filled="false" stroked="false">
          <v:textbox inset="0,0,0,0">
            <w:txbxContent>
              <w:p>
                <w:pPr>
                  <w:pStyle w:val="BodyText"/>
                  <w:spacing w:line="214" w:lineRule="exact"/>
                  <w:ind w:left="20" w:right="0"/>
                  <w:jc w:val="left"/>
                </w:pPr>
                <w:r>
                  <w:rPr/>
                  <w:t>深圳华大基因股份有限公司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2.985634pt;width:195.7pt;height:11.5pt;mso-position-horizontal-relative:page;mso-position-vertical-relative:page;z-index:-1275880" type="#_x0000_t202" filled="false" stroked="false">
          <v:textbox inset="0,0,0,0">
            <w:txbxContent>
              <w:p>
                <w:pPr>
                  <w:pStyle w:val="BodyText"/>
                  <w:spacing w:line="214" w:lineRule="exact"/>
                  <w:ind w:left="20" w:right="0"/>
                  <w:jc w:val="left"/>
                </w:pPr>
                <w:r>
                  <w:rPr/>
                  <w:t>深圳华大基因股份有限公司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2758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985607pt;width:195.75pt;height:11.5pt;mso-position-horizontal-relative:page;mso-position-vertical-relative:page;z-index:-1275808" type="#_x0000_t202" filled="false" stroked="false">
          <v:textbox inset="0,0,0,0">
            <w:txbxContent>
              <w:p>
                <w:pPr>
                  <w:pStyle w:val="BodyText"/>
                  <w:spacing w:line="214" w:lineRule="exact"/>
                  <w:ind w:left="20" w:right="0"/>
                  <w:jc w:val="left"/>
                </w:pPr>
                <w:r>
                  <w:rPr/>
                  <w:t>深圳华大基因股份有限公司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2.985634pt;width:195.7pt;height:11.5pt;mso-position-horizontal-relative:page;mso-position-vertical-relative:page;z-index:-1275736" type="#_x0000_t202" filled="false" stroked="false">
          <v:textbox inset="0,0,0,0">
            <w:txbxContent>
              <w:p>
                <w:pPr>
                  <w:pStyle w:val="BodyText"/>
                  <w:spacing w:line="214" w:lineRule="exact"/>
                  <w:ind w:left="20" w:right="0"/>
                  <w:jc w:val="left"/>
                </w:pPr>
                <w:r>
                  <w:rPr/>
                  <w:t>深圳华大基因股份有限公司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2756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985607pt;width:195.75pt;height:11.5pt;mso-position-horizontal-relative:page;mso-position-vertical-relative:page;z-index:-1275664" type="#_x0000_t202" filled="false" stroked="false">
          <v:textbox inset="0,0,0,0">
            <w:txbxContent>
              <w:p>
                <w:pPr>
                  <w:pStyle w:val="BodyText"/>
                  <w:spacing w:line="214" w:lineRule="exact"/>
                  <w:ind w:left="20" w:right="0"/>
                  <w:jc w:val="left"/>
                </w:pPr>
                <w:r>
                  <w:rPr/>
                  <w:t>深圳华大基因股份有限公司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5.559982pt;width:428.15pt;height:.1pt;mso-position-horizontal-relative:page;mso-position-vertical-relative:page;z-index:-1276648" coordorigin="1673,1111" coordsize="8563,2">
          <v:shape style="position:absolute;left:1673;top:1111;width:8563;height:2" coordorigin="1673,1111" coordsize="8563,0" path="m1673,1111l10235,1111e" filled="false" stroked="true" strokeweight=".72pt" strokecolor="#000000">
            <v:path arrowok="t"/>
          </v:shape>
          <w10:wrap type="none"/>
        </v:group>
      </w:pict>
    </w:r>
    <w:r>
      <w:rPr/>
      <w:pict>
        <v:shape style="position:absolute;margin-left:315.730011pt;margin-top:42.985607pt;width:195.75pt;height:11.5pt;mso-position-horizontal-relative:page;mso-position-vertical-relative:page;z-index:-1276624" type="#_x0000_t202" filled="false" stroked="false">
          <v:textbox inset="0,0,0,0">
            <w:txbxContent>
              <w:p>
                <w:pPr>
                  <w:pStyle w:val="BodyText"/>
                  <w:spacing w:line="214" w:lineRule="exact"/>
                  <w:ind w:left="20" w:right="0"/>
                  <w:jc w:val="left"/>
                </w:pPr>
                <w:r>
                  <w:rPr/>
                  <w:t>深圳华大基因股份有限公司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2765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985607pt;width:195.75pt;height:11.5pt;mso-position-horizontal-relative:page;mso-position-vertical-relative:page;z-index:-1276528" type="#_x0000_t202" filled="false" stroked="false">
          <v:textbox inset="0,0,0,0">
            <w:txbxContent>
              <w:p>
                <w:pPr>
                  <w:pStyle w:val="BodyText"/>
                  <w:spacing w:line="214" w:lineRule="exact"/>
                  <w:ind w:left="20" w:right="0"/>
                  <w:jc w:val="left"/>
                </w:pPr>
                <w:r>
                  <w:rPr/>
                  <w:t>深圳华大基因股份有限公司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2.985634pt;width:195.7pt;height:11.5pt;mso-position-horizontal-relative:page;mso-position-vertical-relative:page;z-index:-1276456" type="#_x0000_t202" filled="false" stroked="false">
          <v:textbox inset="0,0,0,0">
            <w:txbxContent>
              <w:p>
                <w:pPr>
                  <w:pStyle w:val="BodyText"/>
                  <w:spacing w:line="214" w:lineRule="exact"/>
                  <w:ind w:left="20" w:right="0"/>
                  <w:jc w:val="left"/>
                </w:pPr>
                <w:r>
                  <w:rPr/>
                  <w:t>深圳华大基因股份有限公司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2764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985607pt;width:195.75pt;height:11.5pt;mso-position-horizontal-relative:page;mso-position-vertical-relative:page;z-index:-1276384" type="#_x0000_t202" filled="false" stroked="false">
          <v:textbox inset="0,0,0,0">
            <w:txbxContent>
              <w:p>
                <w:pPr>
                  <w:pStyle w:val="BodyText"/>
                  <w:spacing w:line="214" w:lineRule="exact"/>
                  <w:ind w:left="20" w:right="0"/>
                  <w:jc w:val="left"/>
                </w:pPr>
                <w:r>
                  <w:rPr/>
                  <w:t>深圳华大基因股份有限公司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2.985634pt;width:195.7pt;height:11.5pt;mso-position-horizontal-relative:page;mso-position-vertical-relative:page;z-index:-1276192" type="#_x0000_t202" filled="false" stroked="false">
          <v:textbox inset="0,0,0,0">
            <w:txbxContent>
              <w:p>
                <w:pPr>
                  <w:pStyle w:val="BodyText"/>
                  <w:spacing w:line="214" w:lineRule="exact"/>
                  <w:ind w:left="20" w:right="0"/>
                  <w:jc w:val="left"/>
                </w:pPr>
                <w:r>
                  <w:rPr/>
                  <w:t>深圳华大基因股份有限公司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2761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985607pt;width:195.75pt;height:11.5pt;mso-position-horizontal-relative:page;mso-position-vertical-relative:page;z-index:-1276120" type="#_x0000_t202" filled="false" stroked="false">
          <v:textbox inset="0,0,0,0">
            <w:txbxContent>
              <w:p>
                <w:pPr>
                  <w:pStyle w:val="BodyText"/>
                  <w:spacing w:line="214" w:lineRule="exact"/>
                  <w:ind w:left="20" w:right="0"/>
                  <w:jc w:val="left"/>
                </w:pPr>
                <w:r>
                  <w:rPr/>
                  <w:t>深圳华大基因股份有限公司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b/>
      <w:bCs/>
      <w:sz w:val="28"/>
      <w:szCs w:val="2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36"/>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44"/>
      <w:ind w:left="152"/>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bgi.com/" TargetMode="External"/><Relationship Id="rId11" Type="http://schemas.openxmlformats.org/officeDocument/2006/relationships/hyperlink" Target="mailto:ir@bgi.com"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jpeg"/><Relationship Id="rId24" Type="http://schemas.openxmlformats.org/officeDocument/2006/relationships/footer" Target="footer4.xml"/><Relationship Id="rId25" Type="http://schemas.openxmlformats.org/officeDocument/2006/relationships/header" Target="header3.xml"/><Relationship Id="rId26" Type="http://schemas.openxmlformats.org/officeDocument/2006/relationships/footer" Target="footer5.xml"/><Relationship Id="rId27" Type="http://schemas.openxmlformats.org/officeDocument/2006/relationships/footer" Target="footer6.xml"/><Relationship Id="rId28" Type="http://schemas.openxmlformats.org/officeDocument/2006/relationships/header" Target="header4.xml"/><Relationship Id="rId29" Type="http://schemas.openxmlformats.org/officeDocument/2006/relationships/footer" Target="footer7.xml"/><Relationship Id="rId30" Type="http://schemas.openxmlformats.org/officeDocument/2006/relationships/header" Target="header5.xml"/><Relationship Id="rId31" Type="http://schemas.openxmlformats.org/officeDocument/2006/relationships/footer" Target="footer8.xml"/><Relationship Id="rId32" Type="http://schemas.openxmlformats.org/officeDocument/2006/relationships/hyperlink" Target="http://irm.cninfo.com.cn/ssessgs/S300" TargetMode="External"/><Relationship Id="rId33" Type="http://schemas.openxmlformats.org/officeDocument/2006/relationships/header" Target="header6.xml"/><Relationship Id="rId34" Type="http://schemas.openxmlformats.org/officeDocument/2006/relationships/footer" Target="footer9.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footer" Target="footer12.xml"/><Relationship Id="rId38" Type="http://schemas.openxmlformats.org/officeDocument/2006/relationships/footer" Target="footer13.xml"/><Relationship Id="rId39" Type="http://schemas.openxmlformats.org/officeDocument/2006/relationships/image" Target="media/image12.png"/><Relationship Id="rId40" Type="http://schemas.openxmlformats.org/officeDocument/2006/relationships/footer" Target="footer14.xml"/><Relationship Id="rId41" Type="http://schemas.openxmlformats.org/officeDocument/2006/relationships/footer" Target="footer15.xml"/><Relationship Id="rId42" Type="http://schemas.openxmlformats.org/officeDocument/2006/relationships/header" Target="header7.xml"/><Relationship Id="rId43" Type="http://schemas.openxmlformats.org/officeDocument/2006/relationships/footer" Target="footer16.xml"/><Relationship Id="rId44" Type="http://schemas.openxmlformats.org/officeDocument/2006/relationships/header" Target="header8.xml"/><Relationship Id="rId45" Type="http://schemas.openxmlformats.org/officeDocument/2006/relationships/footer" Target="footer17.xml"/><Relationship Id="rId46" Type="http://schemas.openxmlformats.org/officeDocument/2006/relationships/footer" Target="footer18.xml"/><Relationship Id="rId47" Type="http://schemas.openxmlformats.org/officeDocument/2006/relationships/footer" Target="footer19.xml"/><Relationship Id="rId48" Type="http://schemas.openxmlformats.org/officeDocument/2006/relationships/footer" Target="footer20.xml"/><Relationship Id="rId49" Type="http://schemas.openxmlformats.org/officeDocument/2006/relationships/header" Target="header9.xml"/><Relationship Id="rId50" Type="http://schemas.openxmlformats.org/officeDocument/2006/relationships/footer" Target="footer21.xml"/><Relationship Id="rId51" Type="http://schemas.openxmlformats.org/officeDocument/2006/relationships/footer" Target="footer22.xml"/><Relationship Id="rId52" Type="http://schemas.openxmlformats.org/officeDocument/2006/relationships/header" Target="header10.xml"/><Relationship Id="rId53" Type="http://schemas.openxmlformats.org/officeDocument/2006/relationships/footer" Target="footer23.xml"/><Relationship Id="rId54" Type="http://schemas.openxmlformats.org/officeDocument/2006/relationships/footer" Target="footer24.xml"/><Relationship Id="rId55" Type="http://schemas.openxmlformats.org/officeDocument/2006/relationships/header" Target="header11.xml"/><Relationship Id="rId56" Type="http://schemas.openxmlformats.org/officeDocument/2006/relationships/footer" Target="footer25.xml"/><Relationship Id="rId57" Type="http://schemas.openxmlformats.org/officeDocument/2006/relationships/header" Target="header12.xml"/><Relationship Id="rId58" Type="http://schemas.openxmlformats.org/officeDocument/2006/relationships/footer" Target="footer26.xml"/><Relationship Id="rId59" Type="http://schemas.openxmlformats.org/officeDocument/2006/relationships/header" Target="header13.xml"/><Relationship Id="rId60" Type="http://schemas.openxmlformats.org/officeDocument/2006/relationships/footer" Target="footer27.xml"/><Relationship Id="rId61" Type="http://schemas.openxmlformats.org/officeDocument/2006/relationships/footer" Target="footer28.xml"/><Relationship Id="rId62" Type="http://schemas.openxmlformats.org/officeDocument/2006/relationships/header" Target="header14.xml"/><Relationship Id="rId63" Type="http://schemas.openxmlformats.org/officeDocument/2006/relationships/footer" Target="footer29.xml"/><Relationship Id="rId64" Type="http://schemas.openxmlformats.org/officeDocument/2006/relationships/header" Target="header15.xml"/><Relationship Id="rId65" Type="http://schemas.openxmlformats.org/officeDocument/2006/relationships/footer" Target="footer30.xml"/><Relationship Id="rId66" Type="http://schemas.openxmlformats.org/officeDocument/2006/relationships/header" Target="header16.xml"/><Relationship Id="rId67" Type="http://schemas.openxmlformats.org/officeDocument/2006/relationships/footer" Target="footer31.xml"/><Relationship Id="rId68" Type="http://schemas.openxmlformats.org/officeDocument/2006/relationships/footer" Target="footer32.xml"/><Relationship Id="rId69" Type="http://schemas.openxmlformats.org/officeDocument/2006/relationships/header" Target="header17.xml"/><Relationship Id="rId70" Type="http://schemas.openxmlformats.org/officeDocument/2006/relationships/footer" Target="footer33.xml"/><Relationship Id="rId71" Type="http://schemas.openxmlformats.org/officeDocument/2006/relationships/header" Target="header18.xml"/><Relationship Id="rId72" Type="http://schemas.openxmlformats.org/officeDocument/2006/relationships/footer" Target="footer3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深圳华大基因股份有限公司</dc:creator>
  <dc:title>深圳华大基因股份有限公司2017年年度报告全文</dc:title>
  <dcterms:created xsi:type="dcterms:W3CDTF">2020-05-03T01:18:59Z</dcterms:created>
  <dcterms:modified xsi:type="dcterms:W3CDTF">2020-05-03T01:18:59Z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Microsoft® Word 2016</vt:lpwstr>
  </property>
  <property fmtid="{D5CDD505-2E9C-101B-9397-08002B2CF9AE}" pid="4" name="LastSaved">
    <vt:filetime>2020-05-02T00:00:00Z</vt:filetime>
  </property>
</Properties>
</file>